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rebuchet MS" w:hAnsi="Trebuchet MS"/>
        </w:rPr>
        <w:id w:val="1805816338"/>
        <w:docPartObj>
          <w:docPartGallery w:val="Cover Pages"/>
          <w:docPartUnique/>
        </w:docPartObj>
      </w:sdtPr>
      <w:sdtEndPr/>
      <w:sdtContent>
        <w:p w14:paraId="06E990BA" w14:textId="22BD4987" w:rsidR="00FD72BD" w:rsidRPr="00937A99" w:rsidRDefault="00FD72BD" w:rsidP="00AC7971">
          <w:pPr>
            <w:jc w:val="both"/>
            <w:rPr>
              <w:rFonts w:ascii="Trebuchet MS" w:hAnsi="Trebuchet MS"/>
            </w:rPr>
          </w:pPr>
        </w:p>
        <w:sdt>
          <w:sdtPr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id w:val="1900946494"/>
            <w:docPartObj>
              <w:docPartGallery w:val="Cover Pages"/>
              <w:docPartUnique/>
            </w:docPartObj>
          </w:sdtPr>
          <w:sdtEndPr/>
          <w:sdtContent>
            <w:p w14:paraId="416F519E" w14:textId="43500D18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</w:p>
            <w:p w14:paraId="669AE6F9" w14:textId="77777777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</w:p>
            <w:p w14:paraId="5F9BD0B9" w14:textId="77777777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</w:p>
            <w:p w14:paraId="77A3231E" w14:textId="77777777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</w:p>
            <w:p w14:paraId="488734E7" w14:textId="77777777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</w:p>
            <w:p w14:paraId="06055744" w14:textId="77777777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</w:p>
            <w:p w14:paraId="15F17AE9" w14:textId="1C96F70A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  <w:r w:rsidRPr="000348A5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>(INTERREG VI-</w:t>
              </w:r>
              <w:r w:rsidR="00B426B5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>A</w:t>
              </w:r>
              <w:r w:rsidRPr="000348A5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 xml:space="preserve">) NEXT </w:t>
              </w:r>
              <w:r w:rsidR="00B426B5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>Romania-Ukraine</w:t>
              </w:r>
              <w:r w:rsidRPr="000348A5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 xml:space="preserve"> Programme</w:t>
              </w:r>
            </w:p>
            <w:p w14:paraId="6C0500C1" w14:textId="77777777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</w:p>
            <w:p w14:paraId="16FACA3A" w14:textId="77777777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</w:p>
            <w:p w14:paraId="2E2CCBF1" w14:textId="77777777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</w:p>
            <w:p w14:paraId="0798B139" w14:textId="1DCDB987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  <w:r w:rsidRPr="000348A5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 xml:space="preserve">Annex </w:t>
              </w:r>
              <w:r w:rsidR="00E15DC0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>3</w:t>
              </w:r>
              <w:r w:rsidRPr="000348A5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>:</w:t>
              </w:r>
            </w:p>
            <w:p w14:paraId="5B050AEF" w14:textId="03ACA116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  <w:r w:rsidRPr="00EF56FF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 xml:space="preserve">Procurement </w:t>
              </w:r>
              <w:r w:rsidR="00494B33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>r</w:t>
              </w:r>
              <w:r w:rsidRPr="00EF56FF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 xml:space="preserve">isk </w:t>
              </w:r>
              <w:r w:rsidR="00494B33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>i</w:t>
              </w:r>
              <w:r w:rsidRPr="00EF56FF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>ndicators</w:t>
              </w:r>
            </w:p>
          </w:sdtContent>
        </w:sdt>
        <w:p w14:paraId="58D3E684" w14:textId="77777777" w:rsidR="00EF56FF" w:rsidRDefault="00EF56FF" w:rsidP="00AC7971">
          <w:pPr>
            <w:jc w:val="both"/>
            <w:rPr>
              <w:rFonts w:ascii="Trebuchet MS" w:hAnsi="Trebuchet MS"/>
            </w:rPr>
          </w:pPr>
        </w:p>
        <w:p w14:paraId="1866C16B" w14:textId="77777777" w:rsidR="00EF56FF" w:rsidRDefault="00EF56FF">
          <w:pPr>
            <w:rPr>
              <w:rFonts w:ascii="Trebuchet MS" w:hAnsi="Trebuchet MS"/>
            </w:rPr>
          </w:pPr>
          <w:r>
            <w:rPr>
              <w:rFonts w:ascii="Trebuchet MS" w:hAnsi="Trebuchet MS"/>
            </w:rPr>
            <w:br w:type="page"/>
          </w:r>
        </w:p>
        <w:p w14:paraId="4D8B24B0" w14:textId="543F387C" w:rsidR="00FD72BD" w:rsidRPr="00937A99" w:rsidRDefault="00E15DC0" w:rsidP="00AC7971">
          <w:pPr>
            <w:jc w:val="both"/>
            <w:rPr>
              <w:rFonts w:ascii="Trebuchet MS" w:hAnsi="Trebuchet MS"/>
            </w:rPr>
          </w:pPr>
        </w:p>
      </w:sdtContent>
    </w:sdt>
    <w:p w14:paraId="7110F152" w14:textId="5495C577" w:rsidR="000773F0" w:rsidRDefault="000A7D51" w:rsidP="000A7D51">
      <w:pPr>
        <w:spacing w:line="276" w:lineRule="auto"/>
        <w:jc w:val="center"/>
        <w:rPr>
          <w:rFonts w:ascii="Trebuchet MS" w:eastAsia="Times New Roman" w:hAnsi="Trebuchet MS" w:cs="Times New Roman"/>
          <w:b/>
          <w:snapToGrid w:val="0"/>
          <w:color w:val="1F4E79"/>
          <w:sz w:val="32"/>
          <w:szCs w:val="32"/>
          <w:lang w:val="en-GB"/>
        </w:rPr>
      </w:pPr>
      <w:r w:rsidRPr="000A7D51">
        <w:rPr>
          <w:rFonts w:ascii="Trebuchet MS" w:eastAsia="Times New Roman" w:hAnsi="Trebuchet MS" w:cs="Times New Roman"/>
          <w:b/>
          <w:snapToGrid w:val="0"/>
          <w:color w:val="1F4E79"/>
          <w:sz w:val="32"/>
          <w:szCs w:val="32"/>
          <w:lang w:val="en-GB"/>
        </w:rPr>
        <w:t>Procurement</w:t>
      </w:r>
      <w:r>
        <w:rPr>
          <w:rFonts w:ascii="Trebuchet MS" w:eastAsia="Times New Roman" w:hAnsi="Trebuchet MS" w:cs="Times New Roman"/>
          <w:b/>
          <w:snapToGrid w:val="0"/>
          <w:color w:val="1F4E79"/>
          <w:sz w:val="32"/>
          <w:szCs w:val="32"/>
          <w:lang w:val="en-GB"/>
        </w:rPr>
        <w:t xml:space="preserve"> </w:t>
      </w:r>
      <w:r w:rsidR="00494B33">
        <w:rPr>
          <w:rFonts w:ascii="Trebuchet MS" w:eastAsia="Times New Roman" w:hAnsi="Trebuchet MS" w:cs="Times New Roman"/>
          <w:b/>
          <w:snapToGrid w:val="0"/>
          <w:color w:val="1F4E79"/>
          <w:sz w:val="32"/>
          <w:szCs w:val="32"/>
          <w:lang w:val="en-GB"/>
        </w:rPr>
        <w:t>r</w:t>
      </w:r>
      <w:r w:rsidRPr="000A7D51">
        <w:rPr>
          <w:rFonts w:ascii="Trebuchet MS" w:eastAsia="Times New Roman" w:hAnsi="Trebuchet MS" w:cs="Times New Roman"/>
          <w:b/>
          <w:snapToGrid w:val="0"/>
          <w:color w:val="1F4E79"/>
          <w:sz w:val="32"/>
          <w:szCs w:val="32"/>
          <w:lang w:val="en-GB"/>
        </w:rPr>
        <w:t xml:space="preserve">isk </w:t>
      </w:r>
      <w:r w:rsidR="00494B33">
        <w:rPr>
          <w:rFonts w:ascii="Trebuchet MS" w:eastAsia="Times New Roman" w:hAnsi="Trebuchet MS" w:cs="Times New Roman"/>
          <w:b/>
          <w:snapToGrid w:val="0"/>
          <w:color w:val="1F4E79"/>
          <w:sz w:val="32"/>
          <w:szCs w:val="32"/>
          <w:lang w:val="en-GB"/>
        </w:rPr>
        <w:t>i</w:t>
      </w:r>
      <w:r w:rsidRPr="000A7D51">
        <w:rPr>
          <w:rFonts w:ascii="Trebuchet MS" w:eastAsia="Times New Roman" w:hAnsi="Trebuchet MS" w:cs="Times New Roman"/>
          <w:b/>
          <w:snapToGrid w:val="0"/>
          <w:color w:val="1F4E79"/>
          <w:sz w:val="32"/>
          <w:szCs w:val="32"/>
          <w:lang w:val="en-GB"/>
        </w:rPr>
        <w:t>ndicators</w:t>
      </w:r>
    </w:p>
    <w:p w14:paraId="18D61F32" w14:textId="77777777" w:rsidR="000A7D51" w:rsidRPr="00F04CF0" w:rsidRDefault="000A7D51" w:rsidP="00F04CF0">
      <w:pPr>
        <w:spacing w:line="276" w:lineRule="auto"/>
        <w:jc w:val="both"/>
        <w:rPr>
          <w:rFonts w:ascii="Trebuchet MS" w:eastAsia="Times New Roman" w:hAnsi="Trebuchet MS" w:cs="Times New Roman"/>
          <w:b/>
          <w:snapToGrid w:val="0"/>
          <w:color w:val="1F4E79"/>
          <w:sz w:val="22"/>
          <w:szCs w:val="22"/>
          <w:lang w:val="en-GB"/>
        </w:rPr>
      </w:pPr>
    </w:p>
    <w:p w14:paraId="7C0323E8" w14:textId="77777777" w:rsidR="00F04CF0" w:rsidRPr="00F04CF0" w:rsidRDefault="000773F0" w:rsidP="00B76E91">
      <w:pPr>
        <w:pStyle w:val="ListParagraph"/>
        <w:numPr>
          <w:ilvl w:val="0"/>
          <w:numId w:val="33"/>
        </w:numPr>
        <w:tabs>
          <w:tab w:val="num" w:pos="283"/>
        </w:tabs>
        <w:spacing w:after="12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Inconsistencies in the dates of the documents or illogical sequence of dates.</w:t>
      </w:r>
    </w:p>
    <w:p w14:paraId="3206BEB7" w14:textId="216D5FDB" w:rsidR="000773F0" w:rsidRPr="00F04CF0" w:rsidRDefault="000773F0" w:rsidP="00B76E91">
      <w:pPr>
        <w:pStyle w:val="ListParagraph"/>
        <w:spacing w:after="120" w:line="276" w:lineRule="auto"/>
        <w:jc w:val="both"/>
        <w:rPr>
          <w:rFonts w:ascii="Trebuchet MS" w:eastAsia="Times New Roman" w:hAnsi="Trebuchet MS" w:cs="Times New Roman"/>
          <w:b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b/>
          <w:sz w:val="22"/>
          <w:szCs w:val="22"/>
          <w:lang w:val="en-GB"/>
        </w:rPr>
        <w:t>Examples:</w:t>
      </w:r>
    </w:p>
    <w:p w14:paraId="47CF49EC" w14:textId="0FE11971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Tender dated after the award of contract or before the sending of the invitations to tender</w:t>
      </w:r>
      <w:r w:rsidR="00D202DC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7653BB99" w14:textId="4999CCBB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Tender by the winning tenderer dated before the publication date of the tender or dated significantly later than tenders from other tenderers</w:t>
      </w:r>
      <w:r w:rsidR="00D202DC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0550C6C2" w14:textId="2C50031E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Tenders by different candidates all having the same date</w:t>
      </w:r>
      <w:r w:rsidR="00D202DC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06E5C2CB" w14:textId="76951D36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Dates on documents not plausible/consistent with dates on accompanying documentation (</w:t>
      </w:r>
      <w:r w:rsidR="00B76E91"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e.g.,</w:t>
      </w: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 date on the tender not plausible/consistent with the postal date on the envelope)</w:t>
      </w:r>
      <w:r w:rsidR="00D202DC">
        <w:rPr>
          <w:rFonts w:ascii="Trebuchet MS" w:eastAsia="Times New Roman" w:hAnsi="Trebuchet MS" w:cs="Times New Roman"/>
          <w:sz w:val="22"/>
          <w:szCs w:val="22"/>
          <w:lang w:val="en-GB"/>
        </w:rPr>
        <w:t>.</w:t>
      </w:r>
    </w:p>
    <w:p w14:paraId="376E8FB5" w14:textId="77777777" w:rsidR="000773F0" w:rsidRPr="00F04CF0" w:rsidRDefault="000773F0" w:rsidP="00B76E91">
      <w:pPr>
        <w:pStyle w:val="ListParagraph"/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76D8B6F1" w14:textId="77777777" w:rsidR="00F04CF0" w:rsidRPr="00F04CF0" w:rsidRDefault="000773F0" w:rsidP="00B76E91">
      <w:pPr>
        <w:pStyle w:val="ListParagraph"/>
        <w:numPr>
          <w:ilvl w:val="0"/>
          <w:numId w:val="33"/>
        </w:numPr>
        <w:tabs>
          <w:tab w:val="num" w:pos="283"/>
        </w:tabs>
        <w:spacing w:after="12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Unusual similarities in tenders by candidates participating in the same tender.</w:t>
      </w:r>
    </w:p>
    <w:p w14:paraId="278BE1CE" w14:textId="5B2D606A" w:rsidR="000773F0" w:rsidRPr="00F04CF0" w:rsidRDefault="000773F0" w:rsidP="00B76E91">
      <w:pPr>
        <w:pStyle w:val="ListParagraph"/>
        <w:spacing w:after="120" w:line="276" w:lineRule="auto"/>
        <w:jc w:val="both"/>
        <w:rPr>
          <w:rFonts w:ascii="Trebuchet MS" w:eastAsia="Times New Roman" w:hAnsi="Trebuchet MS" w:cs="Times New Roman"/>
          <w:b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b/>
          <w:sz w:val="22"/>
          <w:szCs w:val="22"/>
          <w:lang w:val="en-GB"/>
        </w:rPr>
        <w:t>Examples:</w:t>
      </w:r>
    </w:p>
    <w:p w14:paraId="3C626784" w14:textId="25765BC3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Same wording, sentences and terminology in tenders from different tenderers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2629F7F7" w14:textId="6DC7EC87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Same layout and format (</w:t>
      </w:r>
      <w:r w:rsidR="00B76E91"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e.g.,</w:t>
      </w: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 font type, font size, margin sizes, indents, paragraph wrapping, etc.) in tenders from different tenderers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331A7D5F" w14:textId="6654F79C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Similar letterhead paper or logos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1A4879A9" w14:textId="64ABF6DC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Same prices used in tenders from different tenderers for a number of subcomponents or line items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696FFB32" w14:textId="342A31EF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Identical grammar, spelling or typing errors in tenders from different tenderers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08048CDA" w14:textId="51CA79C3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Use of similar stamps and similarities in signatures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.</w:t>
      </w:r>
    </w:p>
    <w:p w14:paraId="319C38F3" w14:textId="77777777" w:rsidR="000773F0" w:rsidRPr="00F04CF0" w:rsidRDefault="000773F0" w:rsidP="00B76E91">
      <w:pPr>
        <w:pStyle w:val="ListParagraph"/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51418D21" w14:textId="64BDEFB2" w:rsidR="000773F0" w:rsidRPr="00F04CF0" w:rsidRDefault="000773F0" w:rsidP="00B76E91">
      <w:pPr>
        <w:pStyle w:val="ListParagraph"/>
        <w:numPr>
          <w:ilvl w:val="0"/>
          <w:numId w:val="33"/>
        </w:numPr>
        <w:tabs>
          <w:tab w:val="num" w:pos="283"/>
        </w:tabs>
        <w:spacing w:after="24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Financial statement or other information indicating that two tenderers participating in the same tender are related or part of the same group (</w:t>
      </w:r>
      <w:r w:rsidR="00B76E91"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e.g.,</w:t>
      </w: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 where financial statements are provided, the notes to the financial statements may disclose ultimate ownership of the group. Ownership information may also be found in public registers for accounts.)</w:t>
      </w:r>
    </w:p>
    <w:p w14:paraId="5AD0166F" w14:textId="77777777" w:rsidR="000773F0" w:rsidRPr="00F04CF0" w:rsidRDefault="000773F0" w:rsidP="00B76E91">
      <w:pPr>
        <w:pStyle w:val="ListParagraph"/>
        <w:tabs>
          <w:tab w:val="num" w:pos="283"/>
        </w:tabs>
        <w:spacing w:after="24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7BF98C4B" w14:textId="0F7F0ECD" w:rsidR="000773F0" w:rsidRPr="00F04CF0" w:rsidRDefault="000773F0" w:rsidP="00B76E91">
      <w:pPr>
        <w:pStyle w:val="ListParagraph"/>
        <w:numPr>
          <w:ilvl w:val="0"/>
          <w:numId w:val="33"/>
        </w:numPr>
        <w:tabs>
          <w:tab w:val="num" w:pos="283"/>
        </w:tabs>
        <w:spacing w:after="12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Inconsistencies in the selection and award decision process.</w:t>
      </w:r>
    </w:p>
    <w:p w14:paraId="2F880FA2" w14:textId="77777777" w:rsidR="000773F0" w:rsidRPr="00F04CF0" w:rsidRDefault="000773F0" w:rsidP="00B76E91">
      <w:pPr>
        <w:pStyle w:val="ListParagraph"/>
        <w:tabs>
          <w:tab w:val="num" w:pos="283"/>
        </w:tabs>
        <w:spacing w:after="120" w:line="276" w:lineRule="auto"/>
        <w:jc w:val="both"/>
        <w:rPr>
          <w:rFonts w:ascii="Trebuchet MS" w:eastAsia="Times New Roman" w:hAnsi="Trebuchet MS" w:cs="Times New Roman"/>
          <w:b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b/>
          <w:sz w:val="22"/>
          <w:szCs w:val="22"/>
          <w:lang w:val="en-GB"/>
        </w:rPr>
        <w:t>Examples:</w:t>
      </w:r>
    </w:p>
    <w:p w14:paraId="11CC9365" w14:textId="1215279A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Award decisions not plausible / consistent with selection and award criteria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703F3F7D" w14:textId="509CF4D1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Errors in the application of the selection and award criteria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45738849" w14:textId="6CE32F07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A regular supplier of the </w:t>
      </w:r>
      <w:r w:rsidR="00FF2D78">
        <w:rPr>
          <w:rFonts w:ascii="Trebuchet MS" w:eastAsia="Times New Roman" w:hAnsi="Trebuchet MS" w:cs="Times New Roman"/>
          <w:sz w:val="22"/>
          <w:szCs w:val="22"/>
          <w:lang w:val="en-GB"/>
        </w:rPr>
        <w:t>Partner</w:t>
      </w: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 participates as a member of a tender evaluation committee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.</w:t>
      </w:r>
    </w:p>
    <w:p w14:paraId="7C402551" w14:textId="77777777" w:rsidR="000773F0" w:rsidRPr="00F04CF0" w:rsidRDefault="000773F0" w:rsidP="00B76E91">
      <w:pPr>
        <w:pStyle w:val="ListParagraph"/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43E49B99" w14:textId="77777777" w:rsidR="000773F0" w:rsidRPr="00F04CF0" w:rsidRDefault="000773F0" w:rsidP="00B76E91">
      <w:pPr>
        <w:pStyle w:val="ListParagraph"/>
        <w:numPr>
          <w:ilvl w:val="0"/>
          <w:numId w:val="33"/>
        </w:numPr>
        <w:tabs>
          <w:tab w:val="num" w:pos="283"/>
        </w:tabs>
        <w:spacing w:after="12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Other elements and examples indicating a risk of a privileged relationship with tenderers:</w:t>
      </w:r>
    </w:p>
    <w:p w14:paraId="34320A22" w14:textId="4369DC2C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The same tenderer (or small group of tenderers) is invited with unusual frequency to tender for different contracts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7EBB941D" w14:textId="4F305E33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The same tenderer (or small group of tenderers) wins an unusually high proportion of the bids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7D2E0D99" w14:textId="0D9A98AE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A tenderer is frequently awarded contracts for different types of goods or services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6ACCAA87" w14:textId="7E4FB0A4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The winning tenderer invoices additional goods not provided for in the tender (</w:t>
      </w:r>
      <w:r w:rsidR="00B76E91"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e.g.,</w:t>
      </w: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 additional spare parts invoiced without clear justification, installation costs invoiced although not provided for in the tender).</w:t>
      </w:r>
    </w:p>
    <w:p w14:paraId="48B6F84D" w14:textId="77777777" w:rsidR="000773F0" w:rsidRPr="00F04CF0" w:rsidRDefault="000773F0" w:rsidP="00B76E91">
      <w:pPr>
        <w:pStyle w:val="ListParagraph"/>
        <w:tabs>
          <w:tab w:val="num" w:pos="426"/>
        </w:tabs>
        <w:spacing w:after="24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2E60742C" w14:textId="77777777" w:rsidR="000773F0" w:rsidRPr="00F04CF0" w:rsidRDefault="000773F0" w:rsidP="00B76E91">
      <w:pPr>
        <w:pStyle w:val="ListParagraph"/>
        <w:numPr>
          <w:ilvl w:val="0"/>
          <w:numId w:val="33"/>
        </w:numPr>
        <w:tabs>
          <w:tab w:val="num" w:pos="283"/>
        </w:tabs>
        <w:spacing w:after="12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Other documentation, issues and examples indicating a risk of irregularities:</w:t>
      </w:r>
    </w:p>
    <w:p w14:paraId="4555796D" w14:textId="7EE00FFE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Use of photocopies instead of original documents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7B202256" w14:textId="74D279BB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Use of pro-forma invoices as supporting documents instead of official invoices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1AD231FC" w14:textId="6465E6F7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Manual changes on original documents (</w:t>
      </w:r>
      <w:r w:rsidR="00B76E91"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e.g.,</w:t>
      </w: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 figures manually changed, figures ‘</w:t>
      </w:r>
      <w:proofErr w:type="spellStart"/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tippexed</w:t>
      </w:r>
      <w:proofErr w:type="spellEnd"/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’, etc.)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0CD44407" w14:textId="198ABAFB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Use of non-official documents (</w:t>
      </w:r>
      <w:r w:rsidR="00B76E91"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e.g.,</w:t>
      </w: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 letterhead not showing certain official information such as commercial registry number, company tax number, etc.).</w:t>
      </w:r>
    </w:p>
    <w:p w14:paraId="2B083D79" w14:textId="77777777" w:rsidR="008A4AA5" w:rsidRDefault="008A4AA5" w:rsidP="00B76E91">
      <w:pPr>
        <w:pStyle w:val="Heading1"/>
        <w:tabs>
          <w:tab w:val="left" w:pos="8081"/>
        </w:tabs>
        <w:spacing w:before="0" w:line="276" w:lineRule="auto"/>
        <w:jc w:val="both"/>
        <w:rPr>
          <w:rFonts w:ascii="Trebuchet MS" w:eastAsiaTheme="minorHAnsi" w:hAnsi="Trebuchet MS" w:cstheme="minorBidi"/>
          <w:color w:val="auto"/>
          <w:sz w:val="22"/>
          <w:szCs w:val="22"/>
        </w:rPr>
      </w:pPr>
    </w:p>
    <w:p w14:paraId="0FC390C2" w14:textId="2D82FDDB" w:rsidR="008A4AA5" w:rsidRPr="008A4AA5" w:rsidRDefault="008A4AA5" w:rsidP="00B76E91">
      <w:pPr>
        <w:spacing w:line="276" w:lineRule="auto"/>
        <w:ind w:left="36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8A4AA5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Contract and procurement fraud schemes and indicators </w:t>
      </w:r>
      <w:r w:rsidR="00B63961" w:rsidRPr="008A4AA5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may be </w:t>
      </w:r>
      <w:bookmarkStart w:id="0" w:name="_Hlk148628877"/>
      <w:r>
        <w:rPr>
          <w:rFonts w:ascii="Trebuchet MS" w:eastAsia="Times New Roman" w:hAnsi="Trebuchet MS" w:cs="Times New Roman"/>
          <w:sz w:val="22"/>
          <w:szCs w:val="22"/>
          <w:lang w:val="en-GB"/>
        </w:rPr>
        <w:t>found</w:t>
      </w:r>
      <w:r w:rsidRPr="008A4AA5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 </w:t>
      </w:r>
      <w:bookmarkEnd w:id="0"/>
      <w:r w:rsidRPr="008A4AA5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as well in Annex 1 of the </w:t>
      </w:r>
      <w:r w:rsidRPr="008A4AA5">
        <w:rPr>
          <w:rFonts w:ascii="Trebuchet MS" w:eastAsia="Times New Roman" w:hAnsi="Trebuchet MS" w:cs="Times New Roman"/>
          <w:i/>
          <w:iCs/>
          <w:sz w:val="22"/>
          <w:szCs w:val="22"/>
          <w:lang w:val="en-GB"/>
        </w:rPr>
        <w:t>Information Note on Fraud Indicators for ERDF, ESF and CF</w:t>
      </w:r>
      <w:r w:rsidRPr="008A4AA5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 of the European Commission (COCOF 09/0003/00-EN)</w:t>
      </w:r>
      <w:r>
        <w:rPr>
          <w:rFonts w:ascii="Trebuchet MS" w:eastAsia="Times New Roman" w:hAnsi="Trebuchet MS" w:cs="Times New Roman"/>
          <w:sz w:val="22"/>
          <w:szCs w:val="22"/>
          <w:lang w:val="en-GB"/>
        </w:rPr>
        <w:t>:</w:t>
      </w:r>
    </w:p>
    <w:p w14:paraId="6387ACC4" w14:textId="723FFF00" w:rsidR="0075183E" w:rsidRPr="008A4AA5" w:rsidRDefault="00E15DC0" w:rsidP="00B76E91">
      <w:pPr>
        <w:spacing w:after="120" w:line="276" w:lineRule="auto"/>
        <w:ind w:left="36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hyperlink r:id="rId8" w:history="1">
        <w:r w:rsidR="008A4AA5" w:rsidRPr="008A4AA5">
          <w:rPr>
            <w:rFonts w:ascii="Trebuchet MS" w:eastAsia="Times New Roman" w:hAnsi="Trebuchet MS" w:cs="Times New Roman"/>
            <w:sz w:val="22"/>
            <w:szCs w:val="22"/>
            <w:lang w:val="en-GB"/>
          </w:rPr>
          <w:t>https://ec.europa.eu/regional_policy/sources/cocof/2009/cocof_09_0003_00_en.pdf</w:t>
        </w:r>
      </w:hyperlink>
      <w:r w:rsidR="008A4AA5">
        <w:rPr>
          <w:rFonts w:ascii="Trebuchet MS" w:eastAsia="Times New Roman" w:hAnsi="Trebuchet MS" w:cs="Times New Roman"/>
          <w:sz w:val="22"/>
          <w:szCs w:val="22"/>
          <w:lang w:val="en-GB"/>
        </w:rPr>
        <w:t>.</w:t>
      </w:r>
    </w:p>
    <w:sectPr w:rsidR="0075183E" w:rsidRPr="008A4AA5" w:rsidSect="003F23DC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9" w:h="16834" w:code="9"/>
      <w:pgMar w:top="1440" w:right="979" w:bottom="1512" w:left="1440" w:header="67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FD589" w14:textId="77777777" w:rsidR="00F02932" w:rsidRDefault="00F02932" w:rsidP="002D5A83">
      <w:r>
        <w:separator/>
      </w:r>
    </w:p>
  </w:endnote>
  <w:endnote w:type="continuationSeparator" w:id="0">
    <w:p w14:paraId="01FB874F" w14:textId="77777777" w:rsidR="00F02932" w:rsidRDefault="00F02932" w:rsidP="002D5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4156257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color w:val="auto"/>
      </w:rPr>
    </w:sdtEndPr>
    <w:sdtContent>
      <w:p w14:paraId="59C786A0" w14:textId="3903FE28" w:rsidR="003F23DC" w:rsidRPr="00CF75E4" w:rsidRDefault="003F23DC">
        <w:pPr>
          <w:pStyle w:val="Footer"/>
          <w:jc w:val="right"/>
          <w:rPr>
            <w:rFonts w:ascii="Trebuchet MS" w:hAnsi="Trebuchet MS"/>
            <w:color w:val="auto"/>
          </w:rPr>
        </w:pPr>
        <w:r w:rsidRPr="00CF75E4">
          <w:rPr>
            <w:rFonts w:ascii="Trebuchet MS" w:hAnsi="Trebuchet MS"/>
            <w:color w:val="auto"/>
          </w:rPr>
          <w:fldChar w:fldCharType="begin"/>
        </w:r>
        <w:r w:rsidRPr="00CF75E4">
          <w:rPr>
            <w:rFonts w:ascii="Trebuchet MS" w:hAnsi="Trebuchet MS"/>
            <w:color w:val="auto"/>
          </w:rPr>
          <w:instrText xml:space="preserve"> PAGE   \* MERGEFORMAT </w:instrText>
        </w:r>
        <w:r w:rsidRPr="00CF75E4">
          <w:rPr>
            <w:rFonts w:ascii="Trebuchet MS" w:hAnsi="Trebuchet MS"/>
            <w:color w:val="auto"/>
          </w:rPr>
          <w:fldChar w:fldCharType="separate"/>
        </w:r>
        <w:r w:rsidRPr="00CF75E4">
          <w:rPr>
            <w:rFonts w:ascii="Trebuchet MS" w:hAnsi="Trebuchet MS"/>
            <w:noProof/>
            <w:color w:val="auto"/>
          </w:rPr>
          <w:t>2</w:t>
        </w:r>
        <w:r w:rsidRPr="00CF75E4">
          <w:rPr>
            <w:rFonts w:ascii="Trebuchet MS" w:hAnsi="Trebuchet MS"/>
            <w:noProof/>
            <w:color w:val="auto"/>
          </w:rPr>
          <w:fldChar w:fldCharType="end"/>
        </w:r>
      </w:p>
    </w:sdtContent>
  </w:sdt>
  <w:p w14:paraId="088C42C7" w14:textId="4F345F18" w:rsidR="003F23DC" w:rsidRPr="00A054C7" w:rsidRDefault="00A054C7">
    <w:pPr>
      <w:pStyle w:val="Footer"/>
      <w:rPr>
        <w:rFonts w:ascii="Trebuchet MS" w:hAnsi="Trebuchet MS"/>
        <w:color w:val="1F4E79"/>
        <w:szCs w:val="20"/>
        <w:lang w:val="en-GB"/>
      </w:rPr>
    </w:pPr>
    <w:r w:rsidRPr="00CF75E4">
      <w:rPr>
        <w:rFonts w:ascii="Trebuchet MS" w:hAnsi="Trebuchet MS"/>
        <w:color w:val="1F4E79"/>
        <w:szCs w:val="20"/>
        <w:lang w:val="en-GB"/>
      </w:rPr>
      <w:t xml:space="preserve">Annex </w:t>
    </w:r>
    <w:r w:rsidR="00E15DC0">
      <w:rPr>
        <w:rFonts w:ascii="Trebuchet MS" w:hAnsi="Trebuchet MS"/>
        <w:color w:val="1F4E79"/>
        <w:szCs w:val="20"/>
        <w:lang w:val="en-GB"/>
      </w:rPr>
      <w:t>3</w:t>
    </w:r>
    <w:r>
      <w:rPr>
        <w:rFonts w:ascii="Trebuchet MS" w:hAnsi="Trebuchet MS"/>
        <w:color w:val="1F4E79"/>
        <w:szCs w:val="20"/>
        <w:lang w:val="en-GB"/>
      </w:rPr>
      <w:t xml:space="preserve"> to Guide</w:t>
    </w:r>
    <w:r w:rsidRPr="00C26931">
      <w:rPr>
        <w:rFonts w:ascii="Trebuchet MS" w:hAnsi="Trebuchet MS"/>
        <w:color w:val="1F4E79"/>
        <w:szCs w:val="20"/>
        <w:lang w:val="en-GB"/>
      </w:rPr>
      <w:t xml:space="preserve"> for </w:t>
    </w:r>
    <w:r>
      <w:rPr>
        <w:rFonts w:ascii="Trebuchet MS" w:hAnsi="Trebuchet MS"/>
        <w:color w:val="1F4E79"/>
        <w:szCs w:val="20"/>
        <w:lang w:val="en-GB"/>
      </w:rPr>
      <w:t xml:space="preserve">control – INTERREG NEXT </w:t>
    </w:r>
    <w:r w:rsidR="00B426B5">
      <w:rPr>
        <w:rFonts w:ascii="Trebuchet MS" w:hAnsi="Trebuchet MS"/>
        <w:color w:val="1F4E79"/>
        <w:szCs w:val="20"/>
        <w:lang w:val="en-GB"/>
      </w:rPr>
      <w:t>Romania-Ukraine</w:t>
    </w:r>
    <w:r>
      <w:rPr>
        <w:rFonts w:ascii="Trebuchet MS" w:hAnsi="Trebuchet MS"/>
        <w:color w:val="1F4E79"/>
        <w:szCs w:val="20"/>
        <w:lang w:val="en-GB"/>
      </w:rPr>
      <w:t xml:space="preserve"> Programme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2392699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color w:val="auto"/>
      </w:rPr>
    </w:sdtEndPr>
    <w:sdtContent>
      <w:p w14:paraId="5E0DE7E7" w14:textId="7F226024" w:rsidR="003F23DC" w:rsidRPr="003F23DC" w:rsidRDefault="003F23DC">
        <w:pPr>
          <w:pStyle w:val="Footer"/>
          <w:jc w:val="right"/>
          <w:rPr>
            <w:rFonts w:ascii="Trebuchet MS" w:hAnsi="Trebuchet MS"/>
            <w:color w:val="auto"/>
          </w:rPr>
        </w:pPr>
        <w:r w:rsidRPr="003F23DC">
          <w:rPr>
            <w:rFonts w:ascii="Trebuchet MS" w:hAnsi="Trebuchet MS"/>
            <w:color w:val="auto"/>
          </w:rPr>
          <w:fldChar w:fldCharType="begin"/>
        </w:r>
        <w:r w:rsidRPr="003F23DC">
          <w:rPr>
            <w:rFonts w:ascii="Trebuchet MS" w:hAnsi="Trebuchet MS"/>
            <w:color w:val="auto"/>
          </w:rPr>
          <w:instrText xml:space="preserve"> PAGE   \* MERGEFORMAT </w:instrText>
        </w:r>
        <w:r w:rsidRPr="003F23DC">
          <w:rPr>
            <w:rFonts w:ascii="Trebuchet MS" w:hAnsi="Trebuchet MS"/>
            <w:color w:val="auto"/>
          </w:rPr>
          <w:fldChar w:fldCharType="separate"/>
        </w:r>
        <w:r w:rsidRPr="003F23DC">
          <w:rPr>
            <w:rFonts w:ascii="Trebuchet MS" w:hAnsi="Trebuchet MS"/>
            <w:noProof/>
            <w:color w:val="auto"/>
          </w:rPr>
          <w:t>2</w:t>
        </w:r>
        <w:r w:rsidRPr="003F23DC">
          <w:rPr>
            <w:rFonts w:ascii="Trebuchet MS" w:hAnsi="Trebuchet MS"/>
            <w:noProof/>
            <w:color w:val="auto"/>
          </w:rPr>
          <w:fldChar w:fldCharType="end"/>
        </w:r>
      </w:p>
    </w:sdtContent>
  </w:sdt>
  <w:p w14:paraId="13402C34" w14:textId="589872C8" w:rsidR="003F23DC" w:rsidRPr="00A054C7" w:rsidRDefault="00A054C7">
    <w:pPr>
      <w:pStyle w:val="Footer"/>
      <w:rPr>
        <w:rFonts w:ascii="Trebuchet MS" w:hAnsi="Trebuchet MS"/>
        <w:color w:val="1F4E79"/>
        <w:szCs w:val="20"/>
        <w:lang w:val="en-GB"/>
      </w:rPr>
    </w:pPr>
    <w:r w:rsidRPr="00CF75E4">
      <w:rPr>
        <w:rFonts w:ascii="Trebuchet MS" w:hAnsi="Trebuchet MS"/>
        <w:color w:val="1F4E79"/>
        <w:szCs w:val="20"/>
        <w:lang w:val="en-GB"/>
      </w:rPr>
      <w:t xml:space="preserve">Annex </w:t>
    </w:r>
    <w:r w:rsidR="00E15DC0">
      <w:rPr>
        <w:rFonts w:ascii="Trebuchet MS" w:hAnsi="Trebuchet MS"/>
        <w:color w:val="1F4E79"/>
        <w:szCs w:val="20"/>
        <w:lang w:val="en-GB"/>
      </w:rPr>
      <w:t>3</w:t>
    </w:r>
    <w:r>
      <w:rPr>
        <w:rFonts w:ascii="Trebuchet MS" w:hAnsi="Trebuchet MS"/>
        <w:color w:val="1F4E79"/>
        <w:szCs w:val="20"/>
        <w:lang w:val="en-GB"/>
      </w:rPr>
      <w:t xml:space="preserve"> to Guide</w:t>
    </w:r>
    <w:r w:rsidRPr="00C26931">
      <w:rPr>
        <w:rFonts w:ascii="Trebuchet MS" w:hAnsi="Trebuchet MS"/>
        <w:color w:val="1F4E79"/>
        <w:szCs w:val="20"/>
        <w:lang w:val="en-GB"/>
      </w:rPr>
      <w:t xml:space="preserve"> for </w:t>
    </w:r>
    <w:r>
      <w:rPr>
        <w:rFonts w:ascii="Trebuchet MS" w:hAnsi="Trebuchet MS"/>
        <w:color w:val="1F4E79"/>
        <w:szCs w:val="20"/>
        <w:lang w:val="en-GB"/>
      </w:rPr>
      <w:t xml:space="preserve">control – INTERREG NEXT </w:t>
    </w:r>
    <w:r w:rsidR="00B426B5">
      <w:rPr>
        <w:rFonts w:ascii="Trebuchet MS" w:hAnsi="Trebuchet MS"/>
        <w:color w:val="1F4E79"/>
        <w:szCs w:val="20"/>
        <w:lang w:val="en-GB"/>
      </w:rPr>
      <w:t xml:space="preserve">Romania-Ukraine </w:t>
    </w:r>
    <w:r>
      <w:rPr>
        <w:rFonts w:ascii="Trebuchet MS" w:hAnsi="Trebuchet MS"/>
        <w:color w:val="1F4E79"/>
        <w:szCs w:val="20"/>
        <w:lang w:val="en-GB"/>
      </w:rPr>
      <w:t>Programme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D2F23" w14:textId="77777777" w:rsidR="00F02932" w:rsidRDefault="00F02932" w:rsidP="002D5A83">
      <w:r>
        <w:separator/>
      </w:r>
    </w:p>
  </w:footnote>
  <w:footnote w:type="continuationSeparator" w:id="0">
    <w:p w14:paraId="711E6C8F" w14:textId="77777777" w:rsidR="00F02932" w:rsidRDefault="00F02932" w:rsidP="002D5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AAEC6" w14:textId="2A027980" w:rsidR="00F04A54" w:rsidRDefault="00F04A54">
    <w:pPr>
      <w:pStyle w:val="Header"/>
      <w:rPr>
        <w:noProof/>
        <w:lang w:val="en-GB" w:eastAsia="en-GB"/>
      </w:rPr>
    </w:pPr>
    <w:r>
      <w:rPr>
        <w:noProof/>
        <w:lang w:val="en-GB" w:eastAsia="en-GB"/>
      </w:rPr>
      <w:t xml:space="preserve">                                                                       </w:t>
    </w:r>
  </w:p>
  <w:p w14:paraId="50501044" w14:textId="7F7F7F15" w:rsidR="00F04A54" w:rsidRDefault="00F04A54">
    <w:pPr>
      <w:pStyle w:val="Header"/>
    </w:pPr>
    <w:r>
      <w:rPr>
        <w:noProof/>
        <w:lang w:val="en-GB" w:eastAsia="en-GB"/>
      </w:rPr>
      <w:t xml:space="preserve">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D68E6" w14:textId="70F17853" w:rsidR="00C80E0C" w:rsidRDefault="00C80E0C">
    <w:pPr>
      <w:pStyle w:val="Header"/>
    </w:pPr>
  </w:p>
  <w:p w14:paraId="4D9E0803" w14:textId="7A56035B" w:rsidR="00C80E0C" w:rsidRDefault="00C80E0C">
    <w:pPr>
      <w:pStyle w:val="Header"/>
    </w:pPr>
  </w:p>
  <w:p w14:paraId="4C8E8A52" w14:textId="1439C8C3" w:rsidR="00C80E0C" w:rsidRDefault="00C80E0C">
    <w:pPr>
      <w:pStyle w:val="Header"/>
    </w:pPr>
  </w:p>
  <w:p w14:paraId="7343C774" w14:textId="77777777" w:rsidR="00C80E0C" w:rsidRDefault="00C80E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301F3" w14:textId="30C2C105" w:rsidR="00716533" w:rsidRDefault="00B426B5">
    <w:pPr>
      <w:pStyle w:val="Header"/>
    </w:pPr>
    <w:r>
      <w:rPr>
        <w:noProof/>
      </w:rPr>
      <w:drawing>
        <wp:inline distT="0" distB="0" distL="0" distR="0" wp14:anchorId="3A73B5FB" wp14:editId="04193DDF">
          <wp:extent cx="3352800" cy="1043940"/>
          <wp:effectExtent l="0" t="0" r="0" b="3810"/>
          <wp:docPr id="4" name="Picture 4" descr="D:\Users\DanielaS\AppData\Local\Temp\Temp1_Interreg NEXT România - Ucraina-20211202T070749Z-001.zip\Interreg NEXT România - Ucraina\English\Interreg Logo NEXT Romania - Ucraina Pantone Color-0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D:\Users\DanielaS\AppData\Local\Temp\Temp1_Interreg NEXT România - Ucraina-20211202T070749Z-001.zip\Interreg NEXT România - Ucraina\English\Interreg Logo NEXT Romania - Ucraina Pantone Color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2800" cy="1043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013228" w14:textId="4EDCFCC9" w:rsidR="00716533" w:rsidRDefault="00716533">
    <w:pPr>
      <w:pStyle w:val="Header"/>
    </w:pPr>
  </w:p>
  <w:p w14:paraId="7A8D30A2" w14:textId="7433BA96" w:rsidR="00716533" w:rsidRDefault="00716533">
    <w:pPr>
      <w:pStyle w:val="Header"/>
    </w:pPr>
  </w:p>
  <w:p w14:paraId="278E23DD" w14:textId="77777777" w:rsidR="00716533" w:rsidRDefault="007165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12EB"/>
    <w:multiLevelType w:val="multilevel"/>
    <w:tmpl w:val="D0169B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Arial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Arial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Arial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  <w:b/>
      </w:rPr>
    </w:lvl>
  </w:abstractNum>
  <w:abstractNum w:abstractNumId="1" w15:restartNumberingAfterBreak="0">
    <w:nsid w:val="037D78F4"/>
    <w:multiLevelType w:val="hybridMultilevel"/>
    <w:tmpl w:val="461608A8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7110CDC2">
      <w:numFmt w:val="bullet"/>
      <w:lvlText w:val="•"/>
      <w:lvlJc w:val="left"/>
      <w:pPr>
        <w:ind w:left="1440" w:hanging="360"/>
      </w:pPr>
      <w:rPr>
        <w:rFonts w:ascii="Century Gothic" w:eastAsiaTheme="majorEastAsia" w:hAnsi="Century Gothic" w:cstheme="maj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A2332"/>
    <w:multiLevelType w:val="hybridMultilevel"/>
    <w:tmpl w:val="CB2AC5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07C63"/>
    <w:multiLevelType w:val="hybridMultilevel"/>
    <w:tmpl w:val="4DB44F4A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F0490"/>
    <w:multiLevelType w:val="multilevel"/>
    <w:tmpl w:val="DDDA8F7E"/>
    <w:lvl w:ilvl="0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1AA07C2"/>
    <w:multiLevelType w:val="hybridMultilevel"/>
    <w:tmpl w:val="A506432E"/>
    <w:lvl w:ilvl="0" w:tplc="25DEFB3A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2E1A50"/>
    <w:multiLevelType w:val="multilevel"/>
    <w:tmpl w:val="4A88AAF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3E0B6862"/>
    <w:multiLevelType w:val="multilevel"/>
    <w:tmpl w:val="A8068656"/>
    <w:lvl w:ilvl="0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20D3A98"/>
    <w:multiLevelType w:val="multilevel"/>
    <w:tmpl w:val="3F32EAD4"/>
    <w:lvl w:ilvl="0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34A2F10"/>
    <w:multiLevelType w:val="hybridMultilevel"/>
    <w:tmpl w:val="6004CEB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5123F2"/>
    <w:multiLevelType w:val="hybridMultilevel"/>
    <w:tmpl w:val="F1165A90"/>
    <w:lvl w:ilvl="0" w:tplc="8A80E6B2">
      <w:numFmt w:val="bullet"/>
      <w:lvlText w:val="•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A163F3"/>
    <w:multiLevelType w:val="multilevel"/>
    <w:tmpl w:val="C7D23D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A1D0232"/>
    <w:multiLevelType w:val="hybridMultilevel"/>
    <w:tmpl w:val="EA9E2F54"/>
    <w:lvl w:ilvl="0" w:tplc="0809000B">
      <w:start w:val="1"/>
      <w:numFmt w:val="bullet"/>
      <w:lvlText w:val=""/>
      <w:lvlJc w:val="left"/>
      <w:pPr>
        <w:ind w:left="78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3" w15:restartNumberingAfterBreak="0">
    <w:nsid w:val="4A432656"/>
    <w:multiLevelType w:val="multilevel"/>
    <w:tmpl w:val="0A8CDF4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1134" w:hanging="1134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C9648D2"/>
    <w:multiLevelType w:val="hybridMultilevel"/>
    <w:tmpl w:val="CD84D3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181C97"/>
    <w:multiLevelType w:val="hybridMultilevel"/>
    <w:tmpl w:val="15DABDA8"/>
    <w:lvl w:ilvl="0" w:tplc="8A80E6B2">
      <w:numFmt w:val="bullet"/>
      <w:lvlText w:val="•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182B3C"/>
    <w:multiLevelType w:val="hybridMultilevel"/>
    <w:tmpl w:val="0CA0D52E"/>
    <w:lvl w:ilvl="0" w:tplc="7946FABE">
      <w:numFmt w:val="bullet"/>
      <w:lvlText w:val="–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5C3A3A"/>
    <w:multiLevelType w:val="hybridMultilevel"/>
    <w:tmpl w:val="162E4AC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E65FF1"/>
    <w:multiLevelType w:val="hybridMultilevel"/>
    <w:tmpl w:val="C4801AE4"/>
    <w:lvl w:ilvl="0" w:tplc="8A80E6B2">
      <w:numFmt w:val="bullet"/>
      <w:lvlText w:val="•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1F59E9"/>
    <w:multiLevelType w:val="hybridMultilevel"/>
    <w:tmpl w:val="1742884C"/>
    <w:lvl w:ilvl="0" w:tplc="8A80E6B2">
      <w:numFmt w:val="bullet"/>
      <w:lvlText w:val="•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4A1621"/>
    <w:multiLevelType w:val="hybridMultilevel"/>
    <w:tmpl w:val="EFE825E4"/>
    <w:lvl w:ilvl="0" w:tplc="E06E9E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E6DC0622">
      <w:numFmt w:val="bullet"/>
      <w:lvlText w:val="-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DD61EAE"/>
    <w:multiLevelType w:val="hybridMultilevel"/>
    <w:tmpl w:val="485096FA"/>
    <w:lvl w:ilvl="0" w:tplc="8A80E6B2">
      <w:numFmt w:val="bullet"/>
      <w:lvlText w:val="•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F9C41B1"/>
    <w:multiLevelType w:val="hybridMultilevel"/>
    <w:tmpl w:val="A84AB83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42724E"/>
    <w:multiLevelType w:val="multilevel"/>
    <w:tmpl w:val="DDDA8F7E"/>
    <w:lvl w:ilvl="0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5802D0B"/>
    <w:multiLevelType w:val="hybridMultilevel"/>
    <w:tmpl w:val="DA9660C0"/>
    <w:lvl w:ilvl="0" w:tplc="7EF60B90">
      <w:numFmt w:val="bullet"/>
      <w:lvlText w:val="-"/>
      <w:lvlJc w:val="left"/>
      <w:pPr>
        <w:ind w:left="1353" w:hanging="360"/>
      </w:pPr>
      <w:rPr>
        <w:rFonts w:ascii="Trebuchet MS" w:eastAsia="MS Mincho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679D3826"/>
    <w:multiLevelType w:val="hybridMultilevel"/>
    <w:tmpl w:val="7142851C"/>
    <w:lvl w:ilvl="0" w:tplc="8A80E6B2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083965"/>
    <w:multiLevelType w:val="hybridMultilevel"/>
    <w:tmpl w:val="F670F286"/>
    <w:lvl w:ilvl="0" w:tplc="9B9ADCB0">
      <w:start w:val="1"/>
      <w:numFmt w:val="upperLetter"/>
      <w:lvlText w:val="%1."/>
      <w:lvlJc w:val="left"/>
      <w:pPr>
        <w:ind w:left="3336" w:hanging="360"/>
      </w:pPr>
      <w:rPr>
        <w:rFonts w:hint="default"/>
        <w:color w:val="993366"/>
      </w:rPr>
    </w:lvl>
    <w:lvl w:ilvl="1" w:tplc="0C0A0019" w:tentative="1">
      <w:start w:val="1"/>
      <w:numFmt w:val="lowerLetter"/>
      <w:lvlText w:val="%2."/>
      <w:lvlJc w:val="left"/>
      <w:pPr>
        <w:ind w:left="4056" w:hanging="360"/>
      </w:pPr>
    </w:lvl>
    <w:lvl w:ilvl="2" w:tplc="0C0A001B" w:tentative="1">
      <w:start w:val="1"/>
      <w:numFmt w:val="lowerRoman"/>
      <w:lvlText w:val="%3."/>
      <w:lvlJc w:val="right"/>
      <w:pPr>
        <w:ind w:left="4776" w:hanging="180"/>
      </w:pPr>
    </w:lvl>
    <w:lvl w:ilvl="3" w:tplc="0C0A000F" w:tentative="1">
      <w:start w:val="1"/>
      <w:numFmt w:val="decimal"/>
      <w:lvlText w:val="%4."/>
      <w:lvlJc w:val="left"/>
      <w:pPr>
        <w:ind w:left="5496" w:hanging="360"/>
      </w:pPr>
    </w:lvl>
    <w:lvl w:ilvl="4" w:tplc="0C0A0019" w:tentative="1">
      <w:start w:val="1"/>
      <w:numFmt w:val="lowerLetter"/>
      <w:lvlText w:val="%5."/>
      <w:lvlJc w:val="left"/>
      <w:pPr>
        <w:ind w:left="6216" w:hanging="360"/>
      </w:pPr>
    </w:lvl>
    <w:lvl w:ilvl="5" w:tplc="0C0A001B" w:tentative="1">
      <w:start w:val="1"/>
      <w:numFmt w:val="lowerRoman"/>
      <w:lvlText w:val="%6."/>
      <w:lvlJc w:val="right"/>
      <w:pPr>
        <w:ind w:left="6936" w:hanging="180"/>
      </w:pPr>
    </w:lvl>
    <w:lvl w:ilvl="6" w:tplc="0C0A000F" w:tentative="1">
      <w:start w:val="1"/>
      <w:numFmt w:val="decimal"/>
      <w:lvlText w:val="%7."/>
      <w:lvlJc w:val="left"/>
      <w:pPr>
        <w:ind w:left="7656" w:hanging="360"/>
      </w:pPr>
    </w:lvl>
    <w:lvl w:ilvl="7" w:tplc="0C0A0019" w:tentative="1">
      <w:start w:val="1"/>
      <w:numFmt w:val="lowerLetter"/>
      <w:lvlText w:val="%8."/>
      <w:lvlJc w:val="left"/>
      <w:pPr>
        <w:ind w:left="8376" w:hanging="360"/>
      </w:pPr>
    </w:lvl>
    <w:lvl w:ilvl="8" w:tplc="0C0A001B" w:tentative="1">
      <w:start w:val="1"/>
      <w:numFmt w:val="lowerRoman"/>
      <w:lvlText w:val="%9."/>
      <w:lvlJc w:val="right"/>
      <w:pPr>
        <w:ind w:left="9096" w:hanging="180"/>
      </w:pPr>
    </w:lvl>
  </w:abstractNum>
  <w:abstractNum w:abstractNumId="28" w15:restartNumberingAfterBreak="0">
    <w:nsid w:val="6BF035D2"/>
    <w:multiLevelType w:val="hybridMultilevel"/>
    <w:tmpl w:val="C74658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E774B0"/>
    <w:multiLevelType w:val="hybridMultilevel"/>
    <w:tmpl w:val="8A22DDC6"/>
    <w:lvl w:ilvl="0" w:tplc="3560FC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ind w:left="1800" w:hanging="360"/>
      </w:pPr>
    </w:lvl>
    <w:lvl w:ilvl="2" w:tplc="08090005" w:tentative="1">
      <w:start w:val="1"/>
      <w:numFmt w:val="lowerRoman"/>
      <w:lvlText w:val="%3."/>
      <w:lvlJc w:val="right"/>
      <w:pPr>
        <w:ind w:left="2520" w:hanging="180"/>
      </w:pPr>
    </w:lvl>
    <w:lvl w:ilvl="3" w:tplc="40D2097A" w:tentative="1">
      <w:start w:val="1"/>
      <w:numFmt w:val="decimal"/>
      <w:lvlText w:val="%4."/>
      <w:lvlJc w:val="left"/>
      <w:pPr>
        <w:ind w:left="3240" w:hanging="360"/>
      </w:pPr>
    </w:lvl>
    <w:lvl w:ilvl="4" w:tplc="08090003" w:tentative="1">
      <w:start w:val="1"/>
      <w:numFmt w:val="lowerLetter"/>
      <w:lvlText w:val="%5."/>
      <w:lvlJc w:val="left"/>
      <w:pPr>
        <w:ind w:left="3960" w:hanging="360"/>
      </w:pPr>
    </w:lvl>
    <w:lvl w:ilvl="5" w:tplc="08090005" w:tentative="1">
      <w:start w:val="1"/>
      <w:numFmt w:val="lowerRoman"/>
      <w:lvlText w:val="%6."/>
      <w:lvlJc w:val="right"/>
      <w:pPr>
        <w:ind w:left="4680" w:hanging="180"/>
      </w:pPr>
    </w:lvl>
    <w:lvl w:ilvl="6" w:tplc="08090001" w:tentative="1">
      <w:start w:val="1"/>
      <w:numFmt w:val="decimal"/>
      <w:lvlText w:val="%7."/>
      <w:lvlJc w:val="left"/>
      <w:pPr>
        <w:ind w:left="5400" w:hanging="360"/>
      </w:pPr>
    </w:lvl>
    <w:lvl w:ilvl="7" w:tplc="08090003" w:tentative="1">
      <w:start w:val="1"/>
      <w:numFmt w:val="lowerLetter"/>
      <w:lvlText w:val="%8."/>
      <w:lvlJc w:val="left"/>
      <w:pPr>
        <w:ind w:left="6120" w:hanging="360"/>
      </w:pPr>
    </w:lvl>
    <w:lvl w:ilvl="8" w:tplc="08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344472A"/>
    <w:multiLevelType w:val="hybridMultilevel"/>
    <w:tmpl w:val="AAD4FB3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"/>
  </w:num>
  <w:num w:numId="3">
    <w:abstractNumId w:val="14"/>
  </w:num>
  <w:num w:numId="4">
    <w:abstractNumId w:val="0"/>
  </w:num>
  <w:num w:numId="5">
    <w:abstractNumId w:val="3"/>
  </w:num>
  <w:num w:numId="6">
    <w:abstractNumId w:val="2"/>
  </w:num>
  <w:num w:numId="7">
    <w:abstractNumId w:val="9"/>
  </w:num>
  <w:num w:numId="8">
    <w:abstractNumId w:val="11"/>
  </w:num>
  <w:num w:numId="9">
    <w:abstractNumId w:val="22"/>
  </w:num>
  <w:num w:numId="10">
    <w:abstractNumId w:val="10"/>
  </w:num>
  <w:num w:numId="11">
    <w:abstractNumId w:val="15"/>
  </w:num>
  <w:num w:numId="12">
    <w:abstractNumId w:val="16"/>
  </w:num>
  <w:num w:numId="13">
    <w:abstractNumId w:val="18"/>
  </w:num>
  <w:num w:numId="14">
    <w:abstractNumId w:val="25"/>
  </w:num>
  <w:num w:numId="15">
    <w:abstractNumId w:val="1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26"/>
  </w:num>
  <w:num w:numId="19">
    <w:abstractNumId w:val="21"/>
  </w:num>
  <w:num w:numId="20">
    <w:abstractNumId w:val="19"/>
  </w:num>
  <w:num w:numId="21">
    <w:abstractNumId w:val="7"/>
  </w:num>
  <w:num w:numId="22">
    <w:abstractNumId w:val="23"/>
  </w:num>
  <w:num w:numId="23">
    <w:abstractNumId w:val="4"/>
  </w:num>
  <w:num w:numId="24">
    <w:abstractNumId w:val="8"/>
  </w:num>
  <w:num w:numId="25">
    <w:abstractNumId w:val="25"/>
  </w:num>
  <w:num w:numId="26">
    <w:abstractNumId w:val="20"/>
  </w:num>
  <w:num w:numId="27">
    <w:abstractNumId w:val="29"/>
  </w:num>
  <w:num w:numId="28">
    <w:abstractNumId w:val="24"/>
  </w:num>
  <w:num w:numId="29">
    <w:abstractNumId w:val="6"/>
  </w:num>
  <w:num w:numId="30">
    <w:abstractNumId w:val="12"/>
  </w:num>
  <w:num w:numId="31">
    <w:abstractNumId w:val="17"/>
  </w:num>
  <w:num w:numId="32">
    <w:abstractNumId w:val="5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A83"/>
    <w:rsid w:val="00000167"/>
    <w:rsid w:val="000036BA"/>
    <w:rsid w:val="00020378"/>
    <w:rsid w:val="0002148C"/>
    <w:rsid w:val="000275CB"/>
    <w:rsid w:val="00050AD9"/>
    <w:rsid w:val="00053E43"/>
    <w:rsid w:val="00067F31"/>
    <w:rsid w:val="000773F0"/>
    <w:rsid w:val="00091D59"/>
    <w:rsid w:val="0009589C"/>
    <w:rsid w:val="00097822"/>
    <w:rsid w:val="000A7D51"/>
    <w:rsid w:val="000B5E41"/>
    <w:rsid w:val="000C6AB5"/>
    <w:rsid w:val="000C7939"/>
    <w:rsid w:val="000D282A"/>
    <w:rsid w:val="000D42CE"/>
    <w:rsid w:val="000F2705"/>
    <w:rsid w:val="000F3EF7"/>
    <w:rsid w:val="0010482B"/>
    <w:rsid w:val="0011662B"/>
    <w:rsid w:val="00123E96"/>
    <w:rsid w:val="00127AF8"/>
    <w:rsid w:val="00156B14"/>
    <w:rsid w:val="001627CF"/>
    <w:rsid w:val="00191E23"/>
    <w:rsid w:val="00194DA2"/>
    <w:rsid w:val="0019753C"/>
    <w:rsid w:val="001B0216"/>
    <w:rsid w:val="001B06DC"/>
    <w:rsid w:val="001C1BB0"/>
    <w:rsid w:val="001C425B"/>
    <w:rsid w:val="002014D7"/>
    <w:rsid w:val="00207E27"/>
    <w:rsid w:val="00217605"/>
    <w:rsid w:val="002264D1"/>
    <w:rsid w:val="0023265E"/>
    <w:rsid w:val="0029077C"/>
    <w:rsid w:val="002C1480"/>
    <w:rsid w:val="002D0495"/>
    <w:rsid w:val="002D0ADD"/>
    <w:rsid w:val="002D4F75"/>
    <w:rsid w:val="002D5A83"/>
    <w:rsid w:val="002F31D0"/>
    <w:rsid w:val="00302BA4"/>
    <w:rsid w:val="00303AFD"/>
    <w:rsid w:val="00310933"/>
    <w:rsid w:val="00311890"/>
    <w:rsid w:val="00312D5B"/>
    <w:rsid w:val="00314D25"/>
    <w:rsid w:val="00334CB4"/>
    <w:rsid w:val="003356A0"/>
    <w:rsid w:val="003571D9"/>
    <w:rsid w:val="00366566"/>
    <w:rsid w:val="003742A4"/>
    <w:rsid w:val="00374B79"/>
    <w:rsid w:val="003804A3"/>
    <w:rsid w:val="003906DC"/>
    <w:rsid w:val="00393852"/>
    <w:rsid w:val="003F05E4"/>
    <w:rsid w:val="003F23DC"/>
    <w:rsid w:val="003F5289"/>
    <w:rsid w:val="00400497"/>
    <w:rsid w:val="004065DD"/>
    <w:rsid w:val="0040792C"/>
    <w:rsid w:val="00421F4F"/>
    <w:rsid w:val="004250D0"/>
    <w:rsid w:val="00426BDA"/>
    <w:rsid w:val="00445B67"/>
    <w:rsid w:val="00483B5D"/>
    <w:rsid w:val="00494B33"/>
    <w:rsid w:val="004A0311"/>
    <w:rsid w:val="004F7F13"/>
    <w:rsid w:val="00516834"/>
    <w:rsid w:val="00525482"/>
    <w:rsid w:val="005410FB"/>
    <w:rsid w:val="0058159A"/>
    <w:rsid w:val="005B119F"/>
    <w:rsid w:val="005E4729"/>
    <w:rsid w:val="005F314A"/>
    <w:rsid w:val="0064695F"/>
    <w:rsid w:val="006605BF"/>
    <w:rsid w:val="00672CBF"/>
    <w:rsid w:val="00683102"/>
    <w:rsid w:val="006C4BAB"/>
    <w:rsid w:val="006C7824"/>
    <w:rsid w:val="006E4769"/>
    <w:rsid w:val="006E7439"/>
    <w:rsid w:val="00716533"/>
    <w:rsid w:val="00726A64"/>
    <w:rsid w:val="007320CB"/>
    <w:rsid w:val="007434E1"/>
    <w:rsid w:val="0075183E"/>
    <w:rsid w:val="00767547"/>
    <w:rsid w:val="007932DF"/>
    <w:rsid w:val="00795A11"/>
    <w:rsid w:val="007975E4"/>
    <w:rsid w:val="007A078D"/>
    <w:rsid w:val="007D1F70"/>
    <w:rsid w:val="007D2A29"/>
    <w:rsid w:val="007E6FC6"/>
    <w:rsid w:val="00803339"/>
    <w:rsid w:val="00806ADA"/>
    <w:rsid w:val="008079EA"/>
    <w:rsid w:val="00835C97"/>
    <w:rsid w:val="00841F7A"/>
    <w:rsid w:val="008527DA"/>
    <w:rsid w:val="00855B34"/>
    <w:rsid w:val="0085679E"/>
    <w:rsid w:val="008667AD"/>
    <w:rsid w:val="00875966"/>
    <w:rsid w:val="00877742"/>
    <w:rsid w:val="00881657"/>
    <w:rsid w:val="008A16DA"/>
    <w:rsid w:val="008A4AA5"/>
    <w:rsid w:val="008C6229"/>
    <w:rsid w:val="008D6463"/>
    <w:rsid w:val="00905790"/>
    <w:rsid w:val="00914D67"/>
    <w:rsid w:val="009240F6"/>
    <w:rsid w:val="00937A99"/>
    <w:rsid w:val="0094705E"/>
    <w:rsid w:val="00963FAC"/>
    <w:rsid w:val="009A7A52"/>
    <w:rsid w:val="009E1ACA"/>
    <w:rsid w:val="00A054C7"/>
    <w:rsid w:val="00A12792"/>
    <w:rsid w:val="00A32EEC"/>
    <w:rsid w:val="00A33329"/>
    <w:rsid w:val="00A34CCE"/>
    <w:rsid w:val="00A34D8E"/>
    <w:rsid w:val="00A417BB"/>
    <w:rsid w:val="00A43C8A"/>
    <w:rsid w:val="00A52611"/>
    <w:rsid w:val="00A56461"/>
    <w:rsid w:val="00A63D4D"/>
    <w:rsid w:val="00A770E6"/>
    <w:rsid w:val="00A87147"/>
    <w:rsid w:val="00A915BA"/>
    <w:rsid w:val="00AC3512"/>
    <w:rsid w:val="00AC7971"/>
    <w:rsid w:val="00AE6001"/>
    <w:rsid w:val="00AE759B"/>
    <w:rsid w:val="00B109A6"/>
    <w:rsid w:val="00B3220C"/>
    <w:rsid w:val="00B413F9"/>
    <w:rsid w:val="00B426B5"/>
    <w:rsid w:val="00B47572"/>
    <w:rsid w:val="00B56628"/>
    <w:rsid w:val="00B57B0C"/>
    <w:rsid w:val="00B63961"/>
    <w:rsid w:val="00B76E91"/>
    <w:rsid w:val="00B821CD"/>
    <w:rsid w:val="00B925A9"/>
    <w:rsid w:val="00B97B46"/>
    <w:rsid w:val="00BB4D87"/>
    <w:rsid w:val="00BD0E38"/>
    <w:rsid w:val="00BD21F1"/>
    <w:rsid w:val="00C06E18"/>
    <w:rsid w:val="00C1278A"/>
    <w:rsid w:val="00C2178B"/>
    <w:rsid w:val="00C34433"/>
    <w:rsid w:val="00C53926"/>
    <w:rsid w:val="00C6445B"/>
    <w:rsid w:val="00C66DB7"/>
    <w:rsid w:val="00C80E0C"/>
    <w:rsid w:val="00C8234B"/>
    <w:rsid w:val="00CA54A7"/>
    <w:rsid w:val="00CB6AB6"/>
    <w:rsid w:val="00CC1EBC"/>
    <w:rsid w:val="00CC4DA8"/>
    <w:rsid w:val="00CD6E7A"/>
    <w:rsid w:val="00CE48CF"/>
    <w:rsid w:val="00CF75E4"/>
    <w:rsid w:val="00D02F9C"/>
    <w:rsid w:val="00D045F7"/>
    <w:rsid w:val="00D04BAD"/>
    <w:rsid w:val="00D202DC"/>
    <w:rsid w:val="00D4049D"/>
    <w:rsid w:val="00D405E1"/>
    <w:rsid w:val="00D41B3E"/>
    <w:rsid w:val="00D51727"/>
    <w:rsid w:val="00D561F7"/>
    <w:rsid w:val="00D77A1F"/>
    <w:rsid w:val="00D812D1"/>
    <w:rsid w:val="00D978A2"/>
    <w:rsid w:val="00D97A8A"/>
    <w:rsid w:val="00DA55FD"/>
    <w:rsid w:val="00DB3014"/>
    <w:rsid w:val="00DC005B"/>
    <w:rsid w:val="00DD6C80"/>
    <w:rsid w:val="00DE5398"/>
    <w:rsid w:val="00DF4E3F"/>
    <w:rsid w:val="00E05D32"/>
    <w:rsid w:val="00E15DC0"/>
    <w:rsid w:val="00E25D23"/>
    <w:rsid w:val="00E27174"/>
    <w:rsid w:val="00E457BB"/>
    <w:rsid w:val="00E71920"/>
    <w:rsid w:val="00E72A2E"/>
    <w:rsid w:val="00E73D3E"/>
    <w:rsid w:val="00E94C5E"/>
    <w:rsid w:val="00E95069"/>
    <w:rsid w:val="00EC6663"/>
    <w:rsid w:val="00ED3D51"/>
    <w:rsid w:val="00EE02F6"/>
    <w:rsid w:val="00EF56FF"/>
    <w:rsid w:val="00F02932"/>
    <w:rsid w:val="00F02FE4"/>
    <w:rsid w:val="00F04A54"/>
    <w:rsid w:val="00F04CF0"/>
    <w:rsid w:val="00F46B37"/>
    <w:rsid w:val="00F60FF9"/>
    <w:rsid w:val="00F65A69"/>
    <w:rsid w:val="00F92531"/>
    <w:rsid w:val="00FA1A66"/>
    <w:rsid w:val="00FA7B41"/>
    <w:rsid w:val="00FD72BD"/>
    <w:rsid w:val="00FE50D4"/>
    <w:rsid w:val="00FF141E"/>
    <w:rsid w:val="00FF2D78"/>
    <w:rsid w:val="00FF6308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43148AB8"/>
  <w15:docId w15:val="{E0623695-F41A-4290-A0FF-8E68347BB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77C"/>
    <w:rPr>
      <w:rFonts w:ascii="Century Gothic" w:hAnsi="Century Gothic"/>
    </w:rPr>
  </w:style>
  <w:style w:type="paragraph" w:styleId="Heading1">
    <w:name w:val="heading 1"/>
    <w:basedOn w:val="Normal"/>
    <w:next w:val="Normal"/>
    <w:link w:val="Heading1Char"/>
    <w:qFormat/>
    <w:rsid w:val="0029077C"/>
    <w:pPr>
      <w:keepNext/>
      <w:keepLines/>
      <w:spacing w:before="240"/>
      <w:outlineLvl w:val="0"/>
    </w:pPr>
    <w:rPr>
      <w:rFonts w:eastAsiaTheme="majorEastAsia" w:cstheme="majorBidi"/>
      <w:color w:val="762870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29077C"/>
    <w:pPr>
      <w:keepNext/>
      <w:keepLines/>
      <w:spacing w:before="40"/>
      <w:outlineLvl w:val="1"/>
    </w:pPr>
    <w:rPr>
      <w:rFonts w:eastAsiaTheme="majorEastAsia" w:cstheme="majorBidi"/>
      <w:color w:val="762870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61F7"/>
    <w:pPr>
      <w:keepNext/>
      <w:keepLines/>
      <w:spacing w:before="200"/>
      <w:outlineLvl w:val="2"/>
    </w:pPr>
    <w:rPr>
      <w:rFonts w:eastAsiaTheme="majorEastAsia" w:cstheme="majorBidi"/>
      <w:bCs/>
      <w:color w:val="7030A0"/>
      <w:sz w:val="22"/>
    </w:rPr>
  </w:style>
  <w:style w:type="paragraph" w:styleId="Heading4">
    <w:name w:val="heading 4"/>
    <w:basedOn w:val="Normal"/>
    <w:next w:val="Normal"/>
    <w:link w:val="Heading4Char"/>
    <w:qFormat/>
    <w:rsid w:val="00CC1EBC"/>
    <w:pPr>
      <w:keepNext/>
      <w:tabs>
        <w:tab w:val="num" w:pos="2880"/>
      </w:tabs>
      <w:spacing w:after="240"/>
      <w:ind w:left="2880" w:hanging="960"/>
      <w:jc w:val="both"/>
      <w:outlineLvl w:val="3"/>
    </w:pPr>
    <w:rPr>
      <w:rFonts w:ascii="Times New Roman" w:eastAsia="Times New Roman" w:hAnsi="Times New Roman" w:cs="Times New Roman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5A8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5A83"/>
  </w:style>
  <w:style w:type="paragraph" w:styleId="Footer">
    <w:name w:val="footer"/>
    <w:basedOn w:val="Normal"/>
    <w:link w:val="FooterChar"/>
    <w:uiPriority w:val="99"/>
    <w:unhideWhenUsed/>
    <w:rsid w:val="00CC4DA8"/>
    <w:pPr>
      <w:tabs>
        <w:tab w:val="center" w:pos="4819"/>
        <w:tab w:val="right" w:pos="9638"/>
      </w:tabs>
    </w:pPr>
    <w:rPr>
      <w:color w:val="FFFFFF" w:themeColor="background1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C4DA8"/>
    <w:rPr>
      <w:rFonts w:ascii="Century Gothic" w:hAnsi="Century Gothic"/>
      <w:color w:val="FFFFFF" w:themeColor="background1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2D5A83"/>
  </w:style>
  <w:style w:type="character" w:customStyle="1" w:styleId="Heading1Char">
    <w:name w:val="Heading 1 Char"/>
    <w:basedOn w:val="DefaultParagraphFont"/>
    <w:link w:val="Heading1"/>
    <w:uiPriority w:val="9"/>
    <w:rsid w:val="0029077C"/>
    <w:rPr>
      <w:rFonts w:ascii="Century Gothic" w:eastAsiaTheme="majorEastAsia" w:hAnsi="Century Gothic" w:cstheme="majorBidi"/>
      <w:color w:val="76287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9077C"/>
    <w:rPr>
      <w:rFonts w:ascii="Century Gothic" w:eastAsiaTheme="majorEastAsia" w:hAnsi="Century Gothic" w:cstheme="majorBidi"/>
      <w:color w:val="76287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BD0E38"/>
    <w:pPr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E38"/>
    <w:rPr>
      <w:rFonts w:ascii="Century Gothic" w:eastAsiaTheme="majorEastAsia" w:hAnsi="Century Gothic" w:cstheme="majorBidi"/>
      <w:b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77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9077C"/>
    <w:rPr>
      <w:rFonts w:ascii="Century Gothic" w:eastAsiaTheme="minorEastAsia" w:hAnsi="Century Gothic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29077C"/>
    <w:rPr>
      <w:rFonts w:ascii="Century Gothic" w:hAnsi="Century Gothic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29077C"/>
    <w:rPr>
      <w:rFonts w:ascii="Century Gothic" w:hAnsi="Century Gothic"/>
      <w:i/>
      <w:iCs/>
    </w:rPr>
  </w:style>
  <w:style w:type="character" w:styleId="IntenseEmphasis">
    <w:name w:val="Intense Emphasis"/>
    <w:basedOn w:val="DefaultParagraphFont"/>
    <w:uiPriority w:val="21"/>
    <w:qFormat/>
    <w:rsid w:val="0029077C"/>
    <w:rPr>
      <w:rFonts w:ascii="Century Gothic" w:hAnsi="Century Gothic"/>
      <w:i/>
      <w:iCs/>
      <w:color w:val="762870"/>
    </w:rPr>
  </w:style>
  <w:style w:type="character" w:styleId="Strong">
    <w:name w:val="Strong"/>
    <w:basedOn w:val="DefaultParagraphFont"/>
    <w:uiPriority w:val="22"/>
    <w:qFormat/>
    <w:rsid w:val="0029077C"/>
    <w:rPr>
      <w:rFonts w:ascii="Century Gothic" w:hAnsi="Century Gothic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29077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077C"/>
    <w:rPr>
      <w:rFonts w:ascii="Century Gothic" w:hAnsi="Century Gothic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077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76287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077C"/>
    <w:rPr>
      <w:rFonts w:ascii="Century Gothic" w:hAnsi="Century Gothic"/>
      <w:i/>
      <w:iCs/>
      <w:color w:val="762870"/>
    </w:rPr>
  </w:style>
  <w:style w:type="character" w:styleId="SubtleReference">
    <w:name w:val="Subtle Reference"/>
    <w:basedOn w:val="DefaultParagraphFont"/>
    <w:uiPriority w:val="31"/>
    <w:qFormat/>
    <w:rsid w:val="0029077C"/>
    <w:rPr>
      <w:rFonts w:ascii="Century Gothic" w:hAnsi="Century Gothic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29077C"/>
    <w:rPr>
      <w:rFonts w:ascii="Century Gothic" w:hAnsi="Century Gothic"/>
      <w:b/>
      <w:bCs/>
      <w:smallCaps/>
      <w:color w:val="762870"/>
      <w:spacing w:val="5"/>
    </w:rPr>
  </w:style>
  <w:style w:type="character" w:styleId="BookTitle">
    <w:name w:val="Book Title"/>
    <w:basedOn w:val="DefaultParagraphFont"/>
    <w:uiPriority w:val="33"/>
    <w:qFormat/>
    <w:rsid w:val="0029077C"/>
    <w:rPr>
      <w:rFonts w:ascii="Century Gothic" w:hAnsi="Century Gothic"/>
      <w:b/>
      <w:bCs/>
      <w:i/>
      <w:iCs/>
      <w:spacing w:val="5"/>
    </w:rPr>
  </w:style>
  <w:style w:type="paragraph" w:styleId="ListParagraph">
    <w:name w:val="List Paragraph"/>
    <w:basedOn w:val="Normal"/>
    <w:link w:val="ListParagraphChar"/>
    <w:qFormat/>
    <w:rsid w:val="0029077C"/>
    <w:pPr>
      <w:ind w:left="720"/>
      <w:contextualSpacing/>
    </w:pPr>
  </w:style>
  <w:style w:type="paragraph" w:customStyle="1" w:styleId="Style1">
    <w:name w:val="Style1"/>
    <w:basedOn w:val="Date"/>
    <w:qFormat/>
    <w:rsid w:val="00BD0E38"/>
    <w:pPr>
      <w:jc w:val="right"/>
    </w:pPr>
    <w:rPr>
      <w:b/>
      <w:sz w:val="28"/>
    </w:rPr>
  </w:style>
  <w:style w:type="table" w:styleId="TableGrid">
    <w:name w:val="Table Grid"/>
    <w:basedOn w:val="TableNormal"/>
    <w:uiPriority w:val="39"/>
    <w:rsid w:val="00BD0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D0E38"/>
  </w:style>
  <w:style w:type="character" w:customStyle="1" w:styleId="DateChar">
    <w:name w:val="Date Char"/>
    <w:basedOn w:val="DefaultParagraphFont"/>
    <w:link w:val="Date"/>
    <w:uiPriority w:val="99"/>
    <w:semiHidden/>
    <w:rsid w:val="00BD0E38"/>
    <w:rPr>
      <w:rFonts w:ascii="Century Gothic" w:hAnsi="Century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B109A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9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09A6"/>
    <w:rPr>
      <w:rFonts w:ascii="Century Gothic" w:hAnsi="Century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9A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9A6"/>
    <w:rPr>
      <w:rFonts w:ascii="Century Gothic" w:hAnsi="Century Goth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9A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9A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03339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D561F7"/>
    <w:rPr>
      <w:rFonts w:ascii="Century Gothic" w:eastAsiaTheme="majorEastAsia" w:hAnsi="Century Gothic" w:cstheme="majorBidi"/>
      <w:bCs/>
      <w:color w:val="7030A0"/>
      <w:sz w:val="22"/>
    </w:rPr>
  </w:style>
  <w:style w:type="paragraph" w:styleId="FootnoteText">
    <w:name w:val="footnote text"/>
    <w:basedOn w:val="Normal"/>
    <w:link w:val="FootnoteTextChar"/>
    <w:unhideWhenUsed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customStyle="1" w:styleId="FootnoteTextChar">
    <w:name w:val="Footnote Text Char"/>
    <w:basedOn w:val="DefaultParagraphFont"/>
    <w:link w:val="FootnoteText"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styleId="FootnoteReference">
    <w:name w:val="footnote reference"/>
    <w:basedOn w:val="DefaultParagraphFont"/>
    <w:unhideWhenUsed/>
    <w:rsid w:val="00FF141E"/>
    <w:rPr>
      <w:vertAlign w:val="superscript"/>
    </w:rPr>
  </w:style>
  <w:style w:type="character" w:customStyle="1" w:styleId="ListParagraphChar">
    <w:name w:val="List Paragraph Char"/>
    <w:link w:val="ListParagraph"/>
    <w:locked/>
    <w:rsid w:val="00FF141E"/>
    <w:rPr>
      <w:rFonts w:ascii="Century Gothic" w:hAnsi="Century Gothic"/>
    </w:rPr>
  </w:style>
  <w:style w:type="character" w:customStyle="1" w:styleId="Heading4Char">
    <w:name w:val="Heading 4 Char"/>
    <w:basedOn w:val="DefaultParagraphFont"/>
    <w:link w:val="Heading4"/>
    <w:rsid w:val="00CC1EBC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ListDash">
    <w:name w:val="List Dash"/>
    <w:basedOn w:val="Normal"/>
    <w:rsid w:val="00CC1EBC"/>
    <w:pPr>
      <w:numPr>
        <w:numId w:val="14"/>
      </w:numPr>
      <w:spacing w:after="240"/>
      <w:jc w:val="both"/>
    </w:pPr>
    <w:rPr>
      <w:rFonts w:ascii="Times New Roman" w:eastAsia="Times New Roman" w:hAnsi="Times New Roman" w:cs="Times New Roman"/>
      <w:szCs w:val="20"/>
      <w:lang w:val="fr-FR"/>
    </w:rPr>
  </w:style>
  <w:style w:type="character" w:styleId="UnresolvedMention">
    <w:name w:val="Unresolved Mention"/>
    <w:basedOn w:val="DefaultParagraphFont"/>
    <w:uiPriority w:val="99"/>
    <w:semiHidden/>
    <w:unhideWhenUsed/>
    <w:rsid w:val="008A4AA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A4AA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regional_policy/sources/cocof/2009/cocof_09_0003_00_en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5FD533-3ECD-43AF-94C7-F9BED178A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501</Words>
  <Characters>2860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PAYMILL GmbH</Company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Eugenia Stanciu</dc:creator>
  <cp:lastModifiedBy>Claudia Gosman</cp:lastModifiedBy>
  <cp:revision>20</cp:revision>
  <dcterms:created xsi:type="dcterms:W3CDTF">2018-07-31T05:30:00Z</dcterms:created>
  <dcterms:modified xsi:type="dcterms:W3CDTF">2024-11-01T09:09:00Z</dcterms:modified>
</cp:coreProperties>
</file>