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2B38" w:rsidRDefault="008C6885">
      <w:pPr>
        <w:rPr>
          <w:lang w:val="en-GB"/>
        </w:rPr>
        <w:sectPr w:rsidR="00252B38">
          <w:headerReference w:type="default" r:id="rId9"/>
          <w:pgSz w:w="11909" w:h="16834" w:code="9"/>
          <w:pgMar w:top="562" w:right="475" w:bottom="562" w:left="900" w:header="288" w:footer="0" w:gutter="0"/>
          <w:cols w:space="708"/>
          <w:docGrid w:linePitch="360"/>
        </w:sectPr>
      </w:pPr>
      <w:r>
        <w:rPr>
          <w:noProof/>
          <w:lang w:val="en-US" w:eastAsia="en-US"/>
        </w:rPr>
        <w:drawing>
          <wp:inline distT="0" distB="0" distL="0" distR="0" wp14:anchorId="359CC997" wp14:editId="5AEE6325">
            <wp:extent cx="6689090" cy="9460766"/>
            <wp:effectExtent l="0" t="0" r="0" b="7620"/>
            <wp:docPr id="4" name="Imagine 4" descr="C:\Users\21114\Desktop\2015051509080152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1114\Desktop\20150515090801522_0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89090" cy="9460766"/>
                    </a:xfrm>
                    <a:prstGeom prst="rect">
                      <a:avLst/>
                    </a:prstGeom>
                    <a:noFill/>
                    <a:ln>
                      <a:noFill/>
                    </a:ln>
                  </pic:spPr>
                </pic:pic>
              </a:graphicData>
            </a:graphic>
          </wp:inline>
        </w:drawing>
      </w:r>
    </w:p>
    <w:p w:rsidR="00252B38" w:rsidRDefault="00252B38">
      <w:pPr>
        <w:tabs>
          <w:tab w:val="center" w:pos="4703"/>
          <w:tab w:val="left" w:pos="10206"/>
        </w:tabs>
        <w:spacing w:before="60" w:after="60" w:line="288" w:lineRule="auto"/>
        <w:rPr>
          <w:rFonts w:cs="Arial"/>
          <w:b/>
          <w:sz w:val="36"/>
          <w:szCs w:val="36"/>
          <w:lang w:val="en-GB"/>
        </w:rPr>
      </w:pPr>
    </w:p>
    <w:p w:rsidR="00252B38" w:rsidRDefault="00252B38">
      <w:pPr>
        <w:tabs>
          <w:tab w:val="center" w:pos="4703"/>
          <w:tab w:val="left" w:pos="10206"/>
        </w:tabs>
        <w:spacing w:before="60" w:after="60" w:line="288" w:lineRule="auto"/>
        <w:rPr>
          <w:rFonts w:cs="Arial"/>
          <w:b/>
          <w:sz w:val="36"/>
          <w:szCs w:val="36"/>
          <w:lang w:val="en-GB"/>
        </w:rPr>
      </w:pPr>
    </w:p>
    <w:p w:rsidR="00252B38" w:rsidRDefault="00252B38">
      <w:pPr>
        <w:tabs>
          <w:tab w:val="center" w:pos="4703"/>
          <w:tab w:val="left" w:pos="10206"/>
        </w:tabs>
        <w:spacing w:before="60" w:after="60" w:line="288" w:lineRule="auto"/>
        <w:rPr>
          <w:rFonts w:cs="Arial"/>
          <w:b/>
          <w:sz w:val="36"/>
          <w:szCs w:val="36"/>
          <w:lang w:val="en-GB"/>
        </w:rPr>
      </w:pPr>
    </w:p>
    <w:p w:rsidR="00252B38" w:rsidRDefault="00252B38">
      <w:pPr>
        <w:tabs>
          <w:tab w:val="center" w:pos="4703"/>
          <w:tab w:val="left" w:pos="10206"/>
        </w:tabs>
        <w:spacing w:before="60" w:after="60" w:line="288" w:lineRule="auto"/>
        <w:rPr>
          <w:rFonts w:cs="Arial"/>
          <w:b/>
          <w:sz w:val="36"/>
          <w:szCs w:val="36"/>
          <w:lang w:val="en-GB"/>
        </w:rPr>
      </w:pPr>
    </w:p>
    <w:p w:rsidR="00252B38" w:rsidRDefault="008C6885">
      <w:pPr>
        <w:tabs>
          <w:tab w:val="center" w:pos="4703"/>
          <w:tab w:val="left" w:pos="10206"/>
        </w:tabs>
        <w:spacing w:before="60" w:after="60" w:line="288" w:lineRule="auto"/>
        <w:jc w:val="center"/>
        <w:rPr>
          <w:rFonts w:cs="Arial"/>
          <w:b/>
          <w:sz w:val="36"/>
          <w:szCs w:val="36"/>
          <w:lang w:val="en-GB"/>
        </w:rPr>
      </w:pPr>
      <w:r>
        <w:rPr>
          <w:rFonts w:cs="Arial"/>
          <w:b/>
          <w:sz w:val="36"/>
          <w:szCs w:val="36"/>
          <w:lang w:val="en-GB"/>
        </w:rPr>
        <w:t>Romania - Ukraine Joint Operational Programme</w:t>
      </w:r>
    </w:p>
    <w:p w:rsidR="00252B38" w:rsidRDefault="008C6885">
      <w:pPr>
        <w:tabs>
          <w:tab w:val="center" w:pos="4703"/>
          <w:tab w:val="left" w:pos="10206"/>
        </w:tabs>
        <w:spacing w:before="60" w:after="60" w:line="288" w:lineRule="auto"/>
        <w:jc w:val="center"/>
        <w:rPr>
          <w:rFonts w:cs="Arial"/>
          <w:b/>
          <w:sz w:val="36"/>
          <w:szCs w:val="36"/>
          <w:lang w:val="en-GB"/>
        </w:rPr>
      </w:pPr>
      <w:r>
        <w:rPr>
          <w:rFonts w:cs="Arial"/>
          <w:b/>
          <w:sz w:val="36"/>
          <w:szCs w:val="36"/>
          <w:lang w:val="en-GB"/>
        </w:rPr>
        <w:t>2014 ÷ 2020</w:t>
      </w:r>
    </w:p>
    <w:p w:rsidR="00252B38" w:rsidRDefault="00252B38">
      <w:pPr>
        <w:tabs>
          <w:tab w:val="center" w:pos="4703"/>
          <w:tab w:val="left" w:pos="10206"/>
        </w:tabs>
        <w:spacing w:before="60" w:after="60" w:line="288" w:lineRule="auto"/>
        <w:jc w:val="center"/>
        <w:rPr>
          <w:rFonts w:cs="Arial"/>
          <w:b/>
          <w:sz w:val="36"/>
          <w:szCs w:val="36"/>
          <w:lang w:val="en-GB"/>
        </w:rPr>
      </w:pPr>
    </w:p>
    <w:p w:rsidR="00252B38" w:rsidRDefault="008C6885">
      <w:pPr>
        <w:spacing w:after="200" w:line="276" w:lineRule="auto"/>
        <w:jc w:val="center"/>
        <w:rPr>
          <w:rFonts w:cs="Arial"/>
          <w:b/>
          <w:sz w:val="36"/>
          <w:szCs w:val="36"/>
          <w:lang w:val="en-GB"/>
        </w:rPr>
      </w:pPr>
      <w:r>
        <w:rPr>
          <w:rFonts w:cs="Arial"/>
          <w:b/>
          <w:sz w:val="36"/>
          <w:szCs w:val="36"/>
          <w:lang w:val="en-GB"/>
        </w:rPr>
        <w:t>Strategic Environmental Assessment</w:t>
      </w:r>
    </w:p>
    <w:p w:rsidR="00252B38" w:rsidRDefault="008C6885">
      <w:pPr>
        <w:tabs>
          <w:tab w:val="center" w:pos="4703"/>
          <w:tab w:val="left" w:pos="10206"/>
        </w:tabs>
        <w:spacing w:before="60" w:after="60" w:line="288" w:lineRule="auto"/>
        <w:jc w:val="center"/>
        <w:rPr>
          <w:rFonts w:cs="Arial"/>
          <w:b/>
          <w:sz w:val="36"/>
          <w:szCs w:val="36"/>
          <w:lang w:val="en-GB"/>
        </w:rPr>
      </w:pPr>
      <w:r>
        <w:rPr>
          <w:rFonts w:cs="Arial"/>
          <w:b/>
          <w:sz w:val="36"/>
          <w:szCs w:val="36"/>
          <w:lang w:val="en-GB"/>
        </w:rPr>
        <w:t>ENVIRONMENTAL REPORT</w:t>
      </w:r>
    </w:p>
    <w:p w:rsidR="00252B38" w:rsidRDefault="00252B38">
      <w:pPr>
        <w:tabs>
          <w:tab w:val="center" w:pos="4703"/>
          <w:tab w:val="left" w:pos="10206"/>
        </w:tabs>
        <w:spacing w:before="60" w:after="60" w:line="288" w:lineRule="auto"/>
        <w:jc w:val="center"/>
        <w:rPr>
          <w:rFonts w:cs="Arial"/>
          <w:b/>
          <w:sz w:val="28"/>
          <w:szCs w:val="28"/>
          <w:lang w:val="en-GB"/>
        </w:rPr>
      </w:pPr>
    </w:p>
    <w:p w:rsidR="00252B38" w:rsidRDefault="00252B38">
      <w:pPr>
        <w:tabs>
          <w:tab w:val="center" w:pos="4703"/>
          <w:tab w:val="left" w:pos="10206"/>
        </w:tabs>
        <w:spacing w:before="60" w:after="60" w:line="288" w:lineRule="auto"/>
        <w:rPr>
          <w:rFonts w:cs="Arial"/>
          <w:i/>
          <w:sz w:val="20"/>
          <w:szCs w:val="20"/>
          <w:lang w:val="en-GB"/>
        </w:rPr>
      </w:pPr>
    </w:p>
    <w:p w:rsidR="00252B38" w:rsidRDefault="008C6885">
      <w:pPr>
        <w:tabs>
          <w:tab w:val="center" w:pos="4703"/>
          <w:tab w:val="left" w:pos="10206"/>
        </w:tabs>
        <w:spacing w:before="60" w:after="60" w:line="288" w:lineRule="auto"/>
        <w:rPr>
          <w:rFonts w:cs="Arial"/>
          <w:i/>
          <w:sz w:val="20"/>
          <w:szCs w:val="20"/>
          <w:lang w:val="en-GB"/>
        </w:rPr>
      </w:pPr>
      <w:r>
        <w:rPr>
          <w:rFonts w:cs="Arial"/>
          <w:i/>
          <w:sz w:val="20"/>
          <w:szCs w:val="20"/>
          <w:lang w:val="en-GB"/>
        </w:rPr>
        <w:t>Prepared by the SEA team:</w:t>
      </w:r>
    </w:p>
    <w:p w:rsidR="00252B38" w:rsidRDefault="00252B38">
      <w:pPr>
        <w:tabs>
          <w:tab w:val="center" w:pos="4703"/>
          <w:tab w:val="left" w:pos="10206"/>
        </w:tabs>
        <w:spacing w:before="60" w:after="60" w:line="288" w:lineRule="auto"/>
        <w:rPr>
          <w:rFonts w:cs="Arial"/>
          <w:i/>
          <w:sz w:val="20"/>
          <w:szCs w:val="20"/>
          <w:lang w:val="en-GB"/>
        </w:rPr>
      </w:pP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Dr. Claudia Eudora TOMESCU</w:t>
      </w: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Phd. in Engineer Sciences</w:t>
      </w:r>
    </w:p>
    <w:p w:rsidR="00252B38" w:rsidRDefault="00252B38">
      <w:pPr>
        <w:tabs>
          <w:tab w:val="center" w:pos="4703"/>
          <w:tab w:val="left" w:pos="10206"/>
        </w:tabs>
        <w:spacing w:before="60" w:after="60" w:line="288" w:lineRule="auto"/>
        <w:rPr>
          <w:rFonts w:cs="Arial"/>
          <w:sz w:val="20"/>
          <w:szCs w:val="20"/>
          <w:lang w:val="en-GB"/>
        </w:rPr>
      </w:pP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Dr. Cristina Mihaela BALACEANU</w:t>
      </w: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Phd. in Environmental Sciences</w:t>
      </w:r>
    </w:p>
    <w:p w:rsidR="00252B38" w:rsidRDefault="00252B38">
      <w:pPr>
        <w:tabs>
          <w:tab w:val="center" w:pos="4703"/>
          <w:tab w:val="left" w:pos="10206"/>
        </w:tabs>
        <w:spacing w:before="60" w:after="60" w:line="288" w:lineRule="auto"/>
        <w:rPr>
          <w:rFonts w:cs="Arial"/>
          <w:sz w:val="20"/>
          <w:szCs w:val="20"/>
          <w:lang w:val="en-GB"/>
        </w:rPr>
      </w:pP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Mrs. Irene Roxana SAMOILA</w:t>
      </w: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Engineer specialized in Climate Change</w:t>
      </w:r>
    </w:p>
    <w:p w:rsidR="00252B38" w:rsidRDefault="00252B38">
      <w:pPr>
        <w:tabs>
          <w:tab w:val="center" w:pos="4703"/>
          <w:tab w:val="left" w:pos="10206"/>
        </w:tabs>
        <w:spacing w:before="60" w:after="60" w:line="288" w:lineRule="auto"/>
        <w:rPr>
          <w:rFonts w:cs="Arial"/>
          <w:sz w:val="20"/>
          <w:szCs w:val="20"/>
          <w:lang w:val="en-GB"/>
        </w:rPr>
      </w:pP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Mrs. Ramona Dona JELESCU</w:t>
      </w: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Engineer specialised in Air Quality</w:t>
      </w:r>
    </w:p>
    <w:p w:rsidR="00252B38" w:rsidRDefault="00252B38">
      <w:pPr>
        <w:tabs>
          <w:tab w:val="center" w:pos="4703"/>
          <w:tab w:val="left" w:pos="10206"/>
        </w:tabs>
        <w:spacing w:before="60" w:after="60" w:line="288" w:lineRule="auto"/>
        <w:rPr>
          <w:rFonts w:cs="Arial"/>
          <w:sz w:val="20"/>
          <w:szCs w:val="20"/>
          <w:lang w:val="en-GB"/>
        </w:rPr>
      </w:pP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Mr. Cornel MOTIU</w:t>
      </w: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Engineer specialized in Water and Soil Quality</w:t>
      </w:r>
    </w:p>
    <w:p w:rsidR="00252B38" w:rsidRDefault="00252B38">
      <w:pPr>
        <w:tabs>
          <w:tab w:val="center" w:pos="4703"/>
          <w:tab w:val="left" w:pos="10206"/>
        </w:tabs>
        <w:spacing w:before="60" w:after="60" w:line="288" w:lineRule="auto"/>
        <w:rPr>
          <w:rFonts w:cs="Arial"/>
          <w:sz w:val="20"/>
          <w:szCs w:val="20"/>
          <w:lang w:val="en-GB"/>
        </w:rPr>
      </w:pP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Mr. Valentin RUSU</w:t>
      </w:r>
    </w:p>
    <w:p w:rsidR="00252B38" w:rsidRDefault="008C6885">
      <w:pPr>
        <w:tabs>
          <w:tab w:val="center" w:pos="4703"/>
          <w:tab w:val="left" w:pos="10206"/>
        </w:tabs>
        <w:spacing w:before="60" w:after="60" w:line="288" w:lineRule="auto"/>
        <w:rPr>
          <w:rFonts w:cs="Arial"/>
          <w:sz w:val="20"/>
          <w:szCs w:val="20"/>
          <w:lang w:val="en-GB"/>
        </w:rPr>
      </w:pPr>
      <w:r>
        <w:rPr>
          <w:rFonts w:cs="Arial"/>
          <w:sz w:val="20"/>
          <w:szCs w:val="20"/>
          <w:lang w:val="en-GB"/>
        </w:rPr>
        <w:t>Engineer specialized in Waste Management</w:t>
      </w:r>
    </w:p>
    <w:p w:rsidR="00252B38" w:rsidRDefault="00252B38">
      <w:pPr>
        <w:tabs>
          <w:tab w:val="center" w:pos="4703"/>
          <w:tab w:val="left" w:pos="10206"/>
        </w:tabs>
        <w:spacing w:before="60" w:after="60" w:line="288" w:lineRule="auto"/>
        <w:rPr>
          <w:rFonts w:cs="Arial"/>
          <w:sz w:val="20"/>
          <w:szCs w:val="20"/>
          <w:lang w:val="en-GB"/>
        </w:rPr>
      </w:pPr>
    </w:p>
    <w:p w:rsidR="00252B38" w:rsidRDefault="00252B38">
      <w:pPr>
        <w:tabs>
          <w:tab w:val="center" w:pos="4703"/>
          <w:tab w:val="left" w:pos="10206"/>
        </w:tabs>
        <w:spacing w:before="60" w:after="60" w:line="288" w:lineRule="auto"/>
        <w:rPr>
          <w:rFonts w:cs="Arial"/>
          <w:sz w:val="20"/>
          <w:szCs w:val="20"/>
          <w:lang w:val="en-GB"/>
        </w:rPr>
      </w:pPr>
    </w:p>
    <w:p w:rsidR="00252B38" w:rsidRDefault="00252B38">
      <w:pPr>
        <w:tabs>
          <w:tab w:val="center" w:pos="4703"/>
          <w:tab w:val="left" w:pos="10206"/>
        </w:tabs>
        <w:spacing w:before="60" w:after="60" w:line="288" w:lineRule="auto"/>
        <w:rPr>
          <w:rFonts w:cs="Arial"/>
          <w:b/>
          <w:sz w:val="28"/>
          <w:szCs w:val="28"/>
          <w:lang w:val="en-GB"/>
        </w:rPr>
      </w:pPr>
    </w:p>
    <w:p w:rsidR="00252B38" w:rsidRDefault="008C6885">
      <w:pPr>
        <w:jc w:val="center"/>
        <w:rPr>
          <w:lang w:val="en-GB"/>
        </w:rPr>
        <w:sectPr w:rsidR="00252B38">
          <w:headerReference w:type="default" r:id="rId11"/>
          <w:footerReference w:type="default" r:id="rId12"/>
          <w:pgSz w:w="11909" w:h="16834" w:code="9"/>
          <w:pgMar w:top="1804" w:right="1289" w:bottom="562" w:left="1138" w:header="288" w:footer="0" w:gutter="0"/>
          <w:cols w:space="708"/>
          <w:docGrid w:linePitch="360"/>
        </w:sectPr>
      </w:pPr>
      <w:r>
        <w:rPr>
          <w:rFonts w:cs="Arial"/>
          <w:b/>
          <w:sz w:val="28"/>
          <w:szCs w:val="28"/>
          <w:lang w:val="en-GB"/>
        </w:rPr>
        <w:t>May 2015</w:t>
      </w:r>
    </w:p>
    <w:p w:rsidR="00252B38" w:rsidRDefault="00252B38">
      <w:pPr>
        <w:rPr>
          <w:lang w:val="en-GB"/>
        </w:rPr>
      </w:pPr>
    </w:p>
    <w:p w:rsidR="00252B38" w:rsidRDefault="00252B38">
      <w:pPr>
        <w:tabs>
          <w:tab w:val="left" w:pos="4121"/>
        </w:tabs>
        <w:rPr>
          <w:rFonts w:cs="Arial"/>
          <w:lang w:val="en-GB"/>
        </w:rPr>
      </w:pPr>
    </w:p>
    <w:p w:rsidR="00252B38" w:rsidRDefault="008C6885">
      <w:pPr>
        <w:tabs>
          <w:tab w:val="left" w:pos="9356"/>
        </w:tabs>
        <w:ind w:left="851" w:hanging="851"/>
        <w:rPr>
          <w:rFonts w:cs="Arial"/>
          <w:b/>
          <w:snapToGrid w:val="0"/>
          <w:sz w:val="28"/>
          <w:szCs w:val="28"/>
          <w:lang w:val="en-GB"/>
        </w:rPr>
      </w:pPr>
      <w:r>
        <w:rPr>
          <w:rFonts w:cs="Arial"/>
          <w:b/>
          <w:snapToGrid w:val="0"/>
          <w:sz w:val="28"/>
          <w:szCs w:val="28"/>
          <w:lang w:val="en-GB"/>
        </w:rPr>
        <w:t>Table of content</w:t>
      </w:r>
    </w:p>
    <w:p w:rsidR="00252B38" w:rsidRDefault="00252B38">
      <w:pPr>
        <w:tabs>
          <w:tab w:val="left" w:pos="9356"/>
        </w:tabs>
        <w:ind w:left="851" w:hanging="851"/>
        <w:rPr>
          <w:rFonts w:cs="Arial"/>
          <w:b/>
          <w:snapToGrid w:val="0"/>
          <w:lang w:val="en-GB"/>
        </w:rPr>
      </w:pPr>
    </w:p>
    <w:bookmarkStart w:id="0" w:name="_GoBack"/>
    <w:bookmarkEnd w:id="0"/>
    <w:p w:rsidR="002E01ED" w:rsidRDefault="008C6885">
      <w:pPr>
        <w:pStyle w:val="TOC1"/>
        <w:tabs>
          <w:tab w:val="left" w:pos="440"/>
          <w:tab w:val="right" w:leader="dot" w:pos="10102"/>
        </w:tabs>
        <w:rPr>
          <w:rFonts w:asciiTheme="minorHAnsi" w:eastAsiaTheme="minorEastAsia" w:hAnsiTheme="minorHAnsi" w:cstheme="minorBidi"/>
          <w:noProof/>
          <w:sz w:val="22"/>
          <w:szCs w:val="22"/>
          <w:lang w:val="en-US" w:eastAsia="en-US"/>
        </w:rPr>
      </w:pPr>
      <w:r>
        <w:rPr>
          <w:lang w:val="en-GB"/>
        </w:rPr>
        <w:fldChar w:fldCharType="begin"/>
      </w:r>
      <w:r>
        <w:rPr>
          <w:lang w:val="en-GB"/>
        </w:rPr>
        <w:instrText xml:space="preserve"> TOC \o "1-3" \h \z \u </w:instrText>
      </w:r>
      <w:r>
        <w:rPr>
          <w:lang w:val="en-GB"/>
        </w:rPr>
        <w:fldChar w:fldCharType="separate"/>
      </w:r>
      <w:hyperlink w:anchor="_Toc419704916" w:history="1">
        <w:r w:rsidR="002E01ED" w:rsidRPr="001B7D50">
          <w:rPr>
            <w:rStyle w:val="Hyperlink"/>
            <w:rFonts w:cs="Arial"/>
            <w:noProof/>
            <w:lang w:val="en-GB"/>
          </w:rPr>
          <w:t>1.</w:t>
        </w:r>
        <w:r w:rsidR="002E01ED">
          <w:rPr>
            <w:rFonts w:asciiTheme="minorHAnsi" w:eastAsiaTheme="minorEastAsia" w:hAnsiTheme="minorHAnsi" w:cstheme="minorBidi"/>
            <w:noProof/>
            <w:sz w:val="22"/>
            <w:szCs w:val="22"/>
            <w:lang w:val="en-US" w:eastAsia="en-US"/>
          </w:rPr>
          <w:tab/>
        </w:r>
        <w:r w:rsidR="002E01ED" w:rsidRPr="001B7D50">
          <w:rPr>
            <w:rStyle w:val="Hyperlink"/>
            <w:rFonts w:cs="Arial"/>
            <w:noProof/>
            <w:lang w:val="en-GB"/>
          </w:rPr>
          <w:t>INTRODUCTION</w:t>
        </w:r>
        <w:r w:rsidR="002E01ED">
          <w:rPr>
            <w:noProof/>
            <w:webHidden/>
          </w:rPr>
          <w:tab/>
        </w:r>
        <w:r w:rsidR="002E01ED">
          <w:rPr>
            <w:noProof/>
            <w:webHidden/>
          </w:rPr>
          <w:fldChar w:fldCharType="begin"/>
        </w:r>
        <w:r w:rsidR="002E01ED">
          <w:rPr>
            <w:noProof/>
            <w:webHidden/>
          </w:rPr>
          <w:instrText xml:space="preserve"> PAGEREF _Toc419704916 \h </w:instrText>
        </w:r>
        <w:r w:rsidR="002E01ED">
          <w:rPr>
            <w:noProof/>
            <w:webHidden/>
          </w:rPr>
        </w:r>
        <w:r w:rsidR="002E01ED">
          <w:rPr>
            <w:noProof/>
            <w:webHidden/>
          </w:rPr>
          <w:fldChar w:fldCharType="separate"/>
        </w:r>
        <w:r w:rsidR="002E01ED">
          <w:rPr>
            <w:noProof/>
            <w:webHidden/>
          </w:rPr>
          <w:t>6</w:t>
        </w:r>
        <w:r w:rsidR="002E01ED">
          <w:rPr>
            <w:noProof/>
            <w:webHidden/>
          </w:rPr>
          <w:fldChar w:fldCharType="end"/>
        </w:r>
      </w:hyperlink>
    </w:p>
    <w:p w:rsidR="002E01ED" w:rsidRDefault="002E01ED">
      <w:pPr>
        <w:pStyle w:val="TOC1"/>
        <w:tabs>
          <w:tab w:val="left" w:pos="440"/>
          <w:tab w:val="right" w:leader="dot" w:pos="10102"/>
        </w:tabs>
        <w:rPr>
          <w:rFonts w:asciiTheme="minorHAnsi" w:eastAsiaTheme="minorEastAsia" w:hAnsiTheme="minorHAnsi" w:cstheme="minorBidi"/>
          <w:noProof/>
          <w:sz w:val="22"/>
          <w:szCs w:val="22"/>
          <w:lang w:val="en-US" w:eastAsia="en-US"/>
        </w:rPr>
      </w:pPr>
      <w:hyperlink w:anchor="_Toc419704917" w:history="1">
        <w:r w:rsidRPr="001B7D50">
          <w:rPr>
            <w:rStyle w:val="Hyperlink"/>
            <w:rFonts w:cs="Arial"/>
            <w:noProof/>
            <w:lang w:val="en-GB"/>
          </w:rPr>
          <w:t>2.</w:t>
        </w:r>
        <w:r>
          <w:rPr>
            <w:rFonts w:asciiTheme="minorHAnsi" w:eastAsiaTheme="minorEastAsia" w:hAnsiTheme="minorHAnsi" w:cstheme="minorBidi"/>
            <w:noProof/>
            <w:sz w:val="22"/>
            <w:szCs w:val="22"/>
            <w:lang w:val="en-US" w:eastAsia="en-US"/>
          </w:rPr>
          <w:tab/>
        </w:r>
        <w:r w:rsidRPr="001B7D50">
          <w:rPr>
            <w:rStyle w:val="Hyperlink"/>
            <w:rFonts w:cs="Arial"/>
            <w:noProof/>
            <w:lang w:val="en-GB"/>
          </w:rPr>
          <w:t>Summary of the content, MAIN OBJECTIVES OF THE PROGRAMME AND RELATIONSHIP WITH OTHER RELEVANT PLANS AND PROGRAMMES</w:t>
        </w:r>
        <w:r>
          <w:rPr>
            <w:noProof/>
            <w:webHidden/>
          </w:rPr>
          <w:tab/>
        </w:r>
        <w:r>
          <w:rPr>
            <w:noProof/>
            <w:webHidden/>
          </w:rPr>
          <w:fldChar w:fldCharType="begin"/>
        </w:r>
        <w:r>
          <w:rPr>
            <w:noProof/>
            <w:webHidden/>
          </w:rPr>
          <w:instrText xml:space="preserve"> PAGEREF _Toc419704917 \h </w:instrText>
        </w:r>
        <w:r>
          <w:rPr>
            <w:noProof/>
            <w:webHidden/>
          </w:rPr>
        </w:r>
        <w:r>
          <w:rPr>
            <w:noProof/>
            <w:webHidden/>
          </w:rPr>
          <w:fldChar w:fldCharType="separate"/>
        </w:r>
        <w:r>
          <w:rPr>
            <w:noProof/>
            <w:webHidden/>
          </w:rPr>
          <w:t>8</w:t>
        </w:r>
        <w:r>
          <w:rPr>
            <w:noProof/>
            <w:webHidden/>
          </w:rPr>
          <w:fldChar w:fldCharType="end"/>
        </w:r>
      </w:hyperlink>
    </w:p>
    <w:p w:rsidR="002E01ED" w:rsidRDefault="002E01ED">
      <w:pPr>
        <w:pStyle w:val="TOC1"/>
        <w:tabs>
          <w:tab w:val="left" w:pos="660"/>
          <w:tab w:val="right" w:leader="dot" w:pos="10102"/>
        </w:tabs>
        <w:rPr>
          <w:rFonts w:asciiTheme="minorHAnsi" w:eastAsiaTheme="minorEastAsia" w:hAnsiTheme="minorHAnsi" w:cstheme="minorBidi"/>
          <w:noProof/>
          <w:sz w:val="22"/>
          <w:szCs w:val="22"/>
          <w:lang w:val="en-US" w:eastAsia="en-US"/>
        </w:rPr>
      </w:pPr>
      <w:hyperlink w:anchor="_Toc419704918" w:history="1">
        <w:r w:rsidRPr="001B7D50">
          <w:rPr>
            <w:rStyle w:val="Hyperlink"/>
            <w:rFonts w:eastAsia="EUAlbertina-Regular-Identity-H" w:cs="Arial"/>
            <w:noProof/>
            <w:lang w:val="en-GB" w:eastAsia="en-US"/>
          </w:rPr>
          <w:t>2.1</w:t>
        </w:r>
        <w:r>
          <w:rPr>
            <w:rFonts w:asciiTheme="minorHAnsi" w:eastAsiaTheme="minorEastAsia" w:hAnsiTheme="minorHAnsi" w:cstheme="minorBidi"/>
            <w:noProof/>
            <w:sz w:val="22"/>
            <w:szCs w:val="22"/>
            <w:lang w:val="en-US" w:eastAsia="en-US"/>
          </w:rPr>
          <w:tab/>
        </w:r>
        <w:r w:rsidRPr="001B7D50">
          <w:rPr>
            <w:rStyle w:val="Hyperlink"/>
            <w:rFonts w:eastAsia="EUAlbertina-Regular-Identity-H" w:cs="Arial"/>
            <w:noProof/>
            <w:lang w:val="en-GB" w:eastAsia="en-US"/>
          </w:rPr>
          <w:t>Baseline information</w:t>
        </w:r>
        <w:r>
          <w:rPr>
            <w:noProof/>
            <w:webHidden/>
          </w:rPr>
          <w:tab/>
        </w:r>
        <w:r>
          <w:rPr>
            <w:noProof/>
            <w:webHidden/>
          </w:rPr>
          <w:fldChar w:fldCharType="begin"/>
        </w:r>
        <w:r>
          <w:rPr>
            <w:noProof/>
            <w:webHidden/>
          </w:rPr>
          <w:instrText xml:space="preserve"> PAGEREF _Toc419704918 \h </w:instrText>
        </w:r>
        <w:r>
          <w:rPr>
            <w:noProof/>
            <w:webHidden/>
          </w:rPr>
        </w:r>
        <w:r>
          <w:rPr>
            <w:noProof/>
            <w:webHidden/>
          </w:rPr>
          <w:fldChar w:fldCharType="separate"/>
        </w:r>
        <w:r>
          <w:rPr>
            <w:noProof/>
            <w:webHidden/>
          </w:rPr>
          <w:t>8</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19" w:history="1">
        <w:r w:rsidRPr="001B7D50">
          <w:rPr>
            <w:rStyle w:val="Hyperlink"/>
            <w:rFonts w:cs="Arial"/>
            <w:noProof/>
            <w:lang w:val="en-GB" w:eastAsia="en-US"/>
          </w:rPr>
          <w:t>2.2 The Programme Area</w:t>
        </w:r>
        <w:r>
          <w:rPr>
            <w:noProof/>
            <w:webHidden/>
          </w:rPr>
          <w:tab/>
        </w:r>
        <w:r>
          <w:rPr>
            <w:noProof/>
            <w:webHidden/>
          </w:rPr>
          <w:fldChar w:fldCharType="begin"/>
        </w:r>
        <w:r>
          <w:rPr>
            <w:noProof/>
            <w:webHidden/>
          </w:rPr>
          <w:instrText xml:space="preserve"> PAGEREF _Toc419704919 \h </w:instrText>
        </w:r>
        <w:r>
          <w:rPr>
            <w:noProof/>
            <w:webHidden/>
          </w:rPr>
        </w:r>
        <w:r>
          <w:rPr>
            <w:noProof/>
            <w:webHidden/>
          </w:rPr>
          <w:fldChar w:fldCharType="separate"/>
        </w:r>
        <w:r>
          <w:rPr>
            <w:noProof/>
            <w:webHidden/>
          </w:rPr>
          <w:t>10</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20" w:history="1">
        <w:r w:rsidRPr="001B7D50">
          <w:rPr>
            <w:rStyle w:val="Hyperlink"/>
            <w:rFonts w:cs="Arial"/>
            <w:noProof/>
            <w:lang w:val="en-GB" w:eastAsia="en-US"/>
          </w:rPr>
          <w:t>2.3 The Programme Description</w:t>
        </w:r>
        <w:r>
          <w:rPr>
            <w:noProof/>
            <w:webHidden/>
          </w:rPr>
          <w:tab/>
        </w:r>
        <w:r>
          <w:rPr>
            <w:noProof/>
            <w:webHidden/>
          </w:rPr>
          <w:fldChar w:fldCharType="begin"/>
        </w:r>
        <w:r>
          <w:rPr>
            <w:noProof/>
            <w:webHidden/>
          </w:rPr>
          <w:instrText xml:space="preserve"> PAGEREF _Toc419704920 \h </w:instrText>
        </w:r>
        <w:r>
          <w:rPr>
            <w:noProof/>
            <w:webHidden/>
          </w:rPr>
        </w:r>
        <w:r>
          <w:rPr>
            <w:noProof/>
            <w:webHidden/>
          </w:rPr>
          <w:fldChar w:fldCharType="separate"/>
        </w:r>
        <w:r>
          <w:rPr>
            <w:noProof/>
            <w:webHidden/>
          </w:rPr>
          <w:t>14</w:t>
        </w:r>
        <w:r>
          <w:rPr>
            <w:noProof/>
            <w:webHidden/>
          </w:rPr>
          <w:fldChar w:fldCharType="end"/>
        </w:r>
      </w:hyperlink>
    </w:p>
    <w:p w:rsidR="002E01ED" w:rsidRDefault="002E01ED">
      <w:pPr>
        <w:pStyle w:val="TOC1"/>
        <w:tabs>
          <w:tab w:val="left" w:pos="440"/>
          <w:tab w:val="right" w:leader="dot" w:pos="10102"/>
        </w:tabs>
        <w:rPr>
          <w:rFonts w:asciiTheme="minorHAnsi" w:eastAsiaTheme="minorEastAsia" w:hAnsiTheme="minorHAnsi" w:cstheme="minorBidi"/>
          <w:noProof/>
          <w:sz w:val="22"/>
          <w:szCs w:val="22"/>
          <w:lang w:val="en-US" w:eastAsia="en-US"/>
        </w:rPr>
      </w:pPr>
      <w:hyperlink w:anchor="_Toc419704921" w:history="1">
        <w:r w:rsidRPr="001B7D50">
          <w:rPr>
            <w:rStyle w:val="Hyperlink"/>
            <w:rFonts w:cs="Arial"/>
            <w:noProof/>
            <w:lang w:val="en-GB"/>
          </w:rPr>
          <w:t>3.</w:t>
        </w:r>
        <w:r>
          <w:rPr>
            <w:rFonts w:asciiTheme="minorHAnsi" w:eastAsiaTheme="minorEastAsia" w:hAnsiTheme="minorHAnsi" w:cstheme="minorBidi"/>
            <w:noProof/>
            <w:sz w:val="22"/>
            <w:szCs w:val="22"/>
            <w:lang w:val="en-US" w:eastAsia="en-US"/>
          </w:rPr>
          <w:tab/>
        </w:r>
        <w:r w:rsidRPr="001B7D50">
          <w:rPr>
            <w:rStyle w:val="Hyperlink"/>
            <w:rFonts w:cs="Arial"/>
            <w:noProof/>
            <w:lang w:val="en-GB"/>
          </w:rPr>
          <w:t>THE RELEVANT ASPECTS OF THE CURRENT STATE OF THE ENVIRONMENT AND THE LIKELY EVOLUTION THEREOF WITHOUT IMPLEMENTATION OF THE PROGRAMME</w:t>
        </w:r>
        <w:r>
          <w:rPr>
            <w:noProof/>
            <w:webHidden/>
          </w:rPr>
          <w:tab/>
        </w:r>
        <w:r>
          <w:rPr>
            <w:noProof/>
            <w:webHidden/>
          </w:rPr>
          <w:fldChar w:fldCharType="begin"/>
        </w:r>
        <w:r>
          <w:rPr>
            <w:noProof/>
            <w:webHidden/>
          </w:rPr>
          <w:instrText xml:space="preserve"> PAGEREF _Toc419704921 \h </w:instrText>
        </w:r>
        <w:r>
          <w:rPr>
            <w:noProof/>
            <w:webHidden/>
          </w:rPr>
        </w:r>
        <w:r>
          <w:rPr>
            <w:noProof/>
            <w:webHidden/>
          </w:rPr>
          <w:fldChar w:fldCharType="separate"/>
        </w:r>
        <w:r>
          <w:rPr>
            <w:noProof/>
            <w:webHidden/>
          </w:rPr>
          <w:t>21</w:t>
        </w:r>
        <w:r>
          <w:rPr>
            <w:noProof/>
            <w:webHidden/>
          </w:rPr>
          <w:fldChar w:fldCharType="end"/>
        </w:r>
      </w:hyperlink>
    </w:p>
    <w:p w:rsidR="002E01ED" w:rsidRDefault="002E01ED">
      <w:pPr>
        <w:pStyle w:val="TOC1"/>
        <w:tabs>
          <w:tab w:val="left" w:pos="440"/>
          <w:tab w:val="right" w:leader="dot" w:pos="10102"/>
        </w:tabs>
        <w:rPr>
          <w:rFonts w:asciiTheme="minorHAnsi" w:eastAsiaTheme="minorEastAsia" w:hAnsiTheme="minorHAnsi" w:cstheme="minorBidi"/>
          <w:noProof/>
          <w:sz w:val="22"/>
          <w:szCs w:val="22"/>
          <w:lang w:val="en-US" w:eastAsia="en-US"/>
        </w:rPr>
      </w:pPr>
      <w:hyperlink w:anchor="_Toc419704922" w:history="1">
        <w:r w:rsidRPr="001B7D50">
          <w:rPr>
            <w:rStyle w:val="Hyperlink"/>
            <w:rFonts w:cs="Arial"/>
            <w:noProof/>
            <w:lang w:val="en-GB"/>
          </w:rPr>
          <w:t>4.</w:t>
        </w:r>
        <w:r>
          <w:rPr>
            <w:rFonts w:asciiTheme="minorHAnsi" w:eastAsiaTheme="minorEastAsia" w:hAnsiTheme="minorHAnsi" w:cstheme="minorBidi"/>
            <w:noProof/>
            <w:sz w:val="22"/>
            <w:szCs w:val="22"/>
            <w:lang w:val="en-US" w:eastAsia="en-US"/>
          </w:rPr>
          <w:tab/>
        </w:r>
        <w:r w:rsidRPr="001B7D50">
          <w:rPr>
            <w:rStyle w:val="Hyperlink"/>
            <w:rFonts w:cs="Arial"/>
            <w:noProof/>
            <w:lang w:val="en-GB"/>
          </w:rPr>
          <w:t>THE ENVIRONMENTAL CHARACTERISTICS OF AREAS LIKELY TO BE SIGNIFICANTLY AFFECTED</w:t>
        </w:r>
        <w:r>
          <w:rPr>
            <w:noProof/>
            <w:webHidden/>
          </w:rPr>
          <w:tab/>
        </w:r>
        <w:r>
          <w:rPr>
            <w:noProof/>
            <w:webHidden/>
          </w:rPr>
          <w:fldChar w:fldCharType="begin"/>
        </w:r>
        <w:r>
          <w:rPr>
            <w:noProof/>
            <w:webHidden/>
          </w:rPr>
          <w:instrText xml:space="preserve"> PAGEREF _Toc419704922 \h </w:instrText>
        </w:r>
        <w:r>
          <w:rPr>
            <w:noProof/>
            <w:webHidden/>
          </w:rPr>
        </w:r>
        <w:r>
          <w:rPr>
            <w:noProof/>
            <w:webHidden/>
          </w:rPr>
          <w:fldChar w:fldCharType="separate"/>
        </w:r>
        <w:r>
          <w:rPr>
            <w:noProof/>
            <w:webHidden/>
          </w:rPr>
          <w:t>22</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23" w:history="1">
        <w:r w:rsidRPr="001B7D50">
          <w:rPr>
            <w:rStyle w:val="Hyperlink"/>
            <w:rFonts w:cs="Arial"/>
            <w:noProof/>
            <w:lang w:val="en-GB"/>
          </w:rPr>
          <w:t>I. ROMANIA</w:t>
        </w:r>
        <w:r>
          <w:rPr>
            <w:noProof/>
            <w:webHidden/>
          </w:rPr>
          <w:tab/>
        </w:r>
        <w:r>
          <w:rPr>
            <w:noProof/>
            <w:webHidden/>
          </w:rPr>
          <w:fldChar w:fldCharType="begin"/>
        </w:r>
        <w:r>
          <w:rPr>
            <w:noProof/>
            <w:webHidden/>
          </w:rPr>
          <w:instrText xml:space="preserve"> PAGEREF _Toc419704923 \h </w:instrText>
        </w:r>
        <w:r>
          <w:rPr>
            <w:noProof/>
            <w:webHidden/>
          </w:rPr>
        </w:r>
        <w:r>
          <w:rPr>
            <w:noProof/>
            <w:webHidden/>
          </w:rPr>
          <w:fldChar w:fldCharType="separate"/>
        </w:r>
        <w:r>
          <w:rPr>
            <w:noProof/>
            <w:webHidden/>
          </w:rPr>
          <w:t>22</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24" w:history="1">
        <w:r w:rsidRPr="001B7D50">
          <w:rPr>
            <w:rStyle w:val="Hyperlink"/>
            <w:rFonts w:cs="Arial"/>
            <w:noProof/>
            <w:lang w:val="en-GB"/>
          </w:rPr>
          <w:t>4.1 Botoşani County</w:t>
        </w:r>
        <w:r>
          <w:rPr>
            <w:noProof/>
            <w:webHidden/>
          </w:rPr>
          <w:tab/>
        </w:r>
        <w:r>
          <w:rPr>
            <w:noProof/>
            <w:webHidden/>
          </w:rPr>
          <w:fldChar w:fldCharType="begin"/>
        </w:r>
        <w:r>
          <w:rPr>
            <w:noProof/>
            <w:webHidden/>
          </w:rPr>
          <w:instrText xml:space="preserve"> PAGEREF _Toc419704924 \h </w:instrText>
        </w:r>
        <w:r>
          <w:rPr>
            <w:noProof/>
            <w:webHidden/>
          </w:rPr>
        </w:r>
        <w:r>
          <w:rPr>
            <w:noProof/>
            <w:webHidden/>
          </w:rPr>
          <w:fldChar w:fldCharType="separate"/>
        </w:r>
        <w:r>
          <w:rPr>
            <w:noProof/>
            <w:webHidden/>
          </w:rPr>
          <w:t>33</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25" w:history="1">
        <w:r w:rsidRPr="001B7D50">
          <w:rPr>
            <w:rStyle w:val="Hyperlink"/>
            <w:rFonts w:cs="Arial"/>
            <w:noProof/>
            <w:lang w:val="en-GB"/>
          </w:rPr>
          <w:t>4.2. Maramureş County</w:t>
        </w:r>
        <w:r>
          <w:rPr>
            <w:noProof/>
            <w:webHidden/>
          </w:rPr>
          <w:tab/>
        </w:r>
        <w:r>
          <w:rPr>
            <w:noProof/>
            <w:webHidden/>
          </w:rPr>
          <w:fldChar w:fldCharType="begin"/>
        </w:r>
        <w:r>
          <w:rPr>
            <w:noProof/>
            <w:webHidden/>
          </w:rPr>
          <w:instrText xml:space="preserve"> PAGEREF _Toc419704925 \h </w:instrText>
        </w:r>
        <w:r>
          <w:rPr>
            <w:noProof/>
            <w:webHidden/>
          </w:rPr>
        </w:r>
        <w:r>
          <w:rPr>
            <w:noProof/>
            <w:webHidden/>
          </w:rPr>
          <w:fldChar w:fldCharType="separate"/>
        </w:r>
        <w:r>
          <w:rPr>
            <w:noProof/>
            <w:webHidden/>
          </w:rPr>
          <w:t>36</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26" w:history="1">
        <w:r w:rsidRPr="001B7D50">
          <w:rPr>
            <w:rStyle w:val="Hyperlink"/>
            <w:rFonts w:cs="Arial"/>
            <w:noProof/>
            <w:lang w:val="en-GB"/>
          </w:rPr>
          <w:t>4.3. Satu Mare County</w:t>
        </w:r>
        <w:r>
          <w:rPr>
            <w:noProof/>
            <w:webHidden/>
          </w:rPr>
          <w:tab/>
        </w:r>
        <w:r>
          <w:rPr>
            <w:noProof/>
            <w:webHidden/>
          </w:rPr>
          <w:fldChar w:fldCharType="begin"/>
        </w:r>
        <w:r>
          <w:rPr>
            <w:noProof/>
            <w:webHidden/>
          </w:rPr>
          <w:instrText xml:space="preserve"> PAGEREF _Toc419704926 \h </w:instrText>
        </w:r>
        <w:r>
          <w:rPr>
            <w:noProof/>
            <w:webHidden/>
          </w:rPr>
        </w:r>
        <w:r>
          <w:rPr>
            <w:noProof/>
            <w:webHidden/>
          </w:rPr>
          <w:fldChar w:fldCharType="separate"/>
        </w:r>
        <w:r>
          <w:rPr>
            <w:noProof/>
            <w:webHidden/>
          </w:rPr>
          <w:t>39</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27" w:history="1">
        <w:r w:rsidRPr="001B7D50">
          <w:rPr>
            <w:rStyle w:val="Hyperlink"/>
            <w:rFonts w:cs="Arial"/>
            <w:noProof/>
            <w:lang w:val="en-GB"/>
          </w:rPr>
          <w:t>4.4. Suceava County</w:t>
        </w:r>
        <w:r>
          <w:rPr>
            <w:noProof/>
            <w:webHidden/>
          </w:rPr>
          <w:tab/>
        </w:r>
        <w:r>
          <w:rPr>
            <w:noProof/>
            <w:webHidden/>
          </w:rPr>
          <w:fldChar w:fldCharType="begin"/>
        </w:r>
        <w:r>
          <w:rPr>
            <w:noProof/>
            <w:webHidden/>
          </w:rPr>
          <w:instrText xml:space="preserve"> PAGEREF _Toc419704927 \h </w:instrText>
        </w:r>
        <w:r>
          <w:rPr>
            <w:noProof/>
            <w:webHidden/>
          </w:rPr>
        </w:r>
        <w:r>
          <w:rPr>
            <w:noProof/>
            <w:webHidden/>
          </w:rPr>
          <w:fldChar w:fldCharType="separate"/>
        </w:r>
        <w:r>
          <w:rPr>
            <w:noProof/>
            <w:webHidden/>
          </w:rPr>
          <w:t>41</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28" w:history="1">
        <w:r w:rsidRPr="001B7D50">
          <w:rPr>
            <w:rStyle w:val="Hyperlink"/>
            <w:rFonts w:cs="Arial"/>
            <w:noProof/>
            <w:lang w:val="en-GB"/>
          </w:rPr>
          <w:t>4.5. Tulcea County</w:t>
        </w:r>
        <w:r>
          <w:rPr>
            <w:noProof/>
            <w:webHidden/>
          </w:rPr>
          <w:tab/>
        </w:r>
        <w:r>
          <w:rPr>
            <w:noProof/>
            <w:webHidden/>
          </w:rPr>
          <w:fldChar w:fldCharType="begin"/>
        </w:r>
        <w:r>
          <w:rPr>
            <w:noProof/>
            <w:webHidden/>
          </w:rPr>
          <w:instrText xml:space="preserve"> PAGEREF _Toc419704928 \h </w:instrText>
        </w:r>
        <w:r>
          <w:rPr>
            <w:noProof/>
            <w:webHidden/>
          </w:rPr>
        </w:r>
        <w:r>
          <w:rPr>
            <w:noProof/>
            <w:webHidden/>
          </w:rPr>
          <w:fldChar w:fldCharType="separate"/>
        </w:r>
        <w:r>
          <w:rPr>
            <w:noProof/>
            <w:webHidden/>
          </w:rPr>
          <w:t>44</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29" w:history="1">
        <w:r w:rsidRPr="001B7D50">
          <w:rPr>
            <w:rStyle w:val="Hyperlink"/>
            <w:rFonts w:cs="Arial"/>
            <w:noProof/>
            <w:lang w:val="en-GB"/>
          </w:rPr>
          <w:t>II. UKRAINE</w:t>
        </w:r>
        <w:r>
          <w:rPr>
            <w:noProof/>
            <w:webHidden/>
          </w:rPr>
          <w:tab/>
        </w:r>
        <w:r>
          <w:rPr>
            <w:noProof/>
            <w:webHidden/>
          </w:rPr>
          <w:fldChar w:fldCharType="begin"/>
        </w:r>
        <w:r>
          <w:rPr>
            <w:noProof/>
            <w:webHidden/>
          </w:rPr>
          <w:instrText xml:space="preserve"> PAGEREF _Toc419704929 \h </w:instrText>
        </w:r>
        <w:r>
          <w:rPr>
            <w:noProof/>
            <w:webHidden/>
          </w:rPr>
        </w:r>
        <w:r>
          <w:rPr>
            <w:noProof/>
            <w:webHidden/>
          </w:rPr>
          <w:fldChar w:fldCharType="separate"/>
        </w:r>
        <w:r>
          <w:rPr>
            <w:noProof/>
            <w:webHidden/>
          </w:rPr>
          <w:t>46</w:t>
        </w:r>
        <w:r>
          <w:rPr>
            <w:noProof/>
            <w:webHidden/>
          </w:rPr>
          <w:fldChar w:fldCharType="end"/>
        </w:r>
      </w:hyperlink>
    </w:p>
    <w:p w:rsidR="002E01ED" w:rsidRDefault="002E01ED">
      <w:pPr>
        <w:pStyle w:val="TOC1"/>
        <w:tabs>
          <w:tab w:val="left" w:pos="440"/>
          <w:tab w:val="right" w:leader="dot" w:pos="10102"/>
        </w:tabs>
        <w:rPr>
          <w:rFonts w:asciiTheme="minorHAnsi" w:eastAsiaTheme="minorEastAsia" w:hAnsiTheme="minorHAnsi" w:cstheme="minorBidi"/>
          <w:noProof/>
          <w:sz w:val="22"/>
          <w:szCs w:val="22"/>
          <w:lang w:val="en-US" w:eastAsia="en-US"/>
        </w:rPr>
      </w:pPr>
      <w:hyperlink w:anchor="_Toc419704930" w:history="1">
        <w:r w:rsidRPr="001B7D50">
          <w:rPr>
            <w:rStyle w:val="Hyperlink"/>
            <w:rFonts w:cs="Arial"/>
            <w:noProof/>
            <w:lang w:val="en-GB"/>
          </w:rPr>
          <w:t>5.</w:t>
        </w:r>
        <w:r>
          <w:rPr>
            <w:rFonts w:asciiTheme="minorHAnsi" w:eastAsiaTheme="minorEastAsia" w:hAnsiTheme="minorHAnsi" w:cstheme="minorBidi"/>
            <w:noProof/>
            <w:sz w:val="22"/>
            <w:szCs w:val="22"/>
            <w:lang w:val="en-US" w:eastAsia="en-US"/>
          </w:rPr>
          <w:tab/>
        </w:r>
        <w:r w:rsidRPr="001B7D50">
          <w:rPr>
            <w:rStyle w:val="Hyperlink"/>
            <w:rFonts w:cs="Arial"/>
            <w:noProof/>
            <w:lang w:val="en-GB"/>
          </w:rPr>
          <w:t>ANY EXISTING ENVIRONMENTAL PROBLEMS WHICH ARE RELEVANT TO THE PLAN OR PROGRAMME INCLUDING, IN PARTICULAR, THOSE RELATING TO ANY AREAS OF A PARTICULAR ENVIRONMENTAL IMPORTANCE, SUCH AS AREAS DESIGNATED PURSUANT TO DIRECTIVES 79/409/EEC AND 92/43/EEC</w:t>
        </w:r>
        <w:r>
          <w:rPr>
            <w:noProof/>
            <w:webHidden/>
          </w:rPr>
          <w:tab/>
        </w:r>
        <w:r>
          <w:rPr>
            <w:noProof/>
            <w:webHidden/>
          </w:rPr>
          <w:fldChar w:fldCharType="begin"/>
        </w:r>
        <w:r>
          <w:rPr>
            <w:noProof/>
            <w:webHidden/>
          </w:rPr>
          <w:instrText xml:space="preserve"> PAGEREF _Toc419704930 \h </w:instrText>
        </w:r>
        <w:r>
          <w:rPr>
            <w:noProof/>
            <w:webHidden/>
          </w:rPr>
        </w:r>
        <w:r>
          <w:rPr>
            <w:noProof/>
            <w:webHidden/>
          </w:rPr>
          <w:fldChar w:fldCharType="separate"/>
        </w:r>
        <w:r>
          <w:rPr>
            <w:noProof/>
            <w:webHidden/>
          </w:rPr>
          <w:t>53</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31" w:history="1">
        <w:r w:rsidRPr="001B7D50">
          <w:rPr>
            <w:rStyle w:val="Hyperlink"/>
            <w:rFonts w:cs="Arial"/>
            <w:noProof/>
            <w:lang w:val="en-GB"/>
          </w:rPr>
          <w:t>ROMÂNIA</w:t>
        </w:r>
        <w:r>
          <w:rPr>
            <w:noProof/>
            <w:webHidden/>
          </w:rPr>
          <w:tab/>
        </w:r>
        <w:r>
          <w:rPr>
            <w:noProof/>
            <w:webHidden/>
          </w:rPr>
          <w:fldChar w:fldCharType="begin"/>
        </w:r>
        <w:r>
          <w:rPr>
            <w:noProof/>
            <w:webHidden/>
          </w:rPr>
          <w:instrText xml:space="preserve"> PAGEREF _Toc419704931 \h </w:instrText>
        </w:r>
        <w:r>
          <w:rPr>
            <w:noProof/>
            <w:webHidden/>
          </w:rPr>
        </w:r>
        <w:r>
          <w:rPr>
            <w:noProof/>
            <w:webHidden/>
          </w:rPr>
          <w:fldChar w:fldCharType="separate"/>
        </w:r>
        <w:r>
          <w:rPr>
            <w:noProof/>
            <w:webHidden/>
          </w:rPr>
          <w:t>53</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32" w:history="1">
        <w:r w:rsidRPr="001B7D50">
          <w:rPr>
            <w:rStyle w:val="Hyperlink"/>
            <w:rFonts w:cs="Arial"/>
            <w:noProof/>
            <w:lang w:val="en-US"/>
          </w:rPr>
          <w:t>UKRAINE</w:t>
        </w:r>
        <w:r>
          <w:rPr>
            <w:noProof/>
            <w:webHidden/>
          </w:rPr>
          <w:tab/>
        </w:r>
        <w:r>
          <w:rPr>
            <w:noProof/>
            <w:webHidden/>
          </w:rPr>
          <w:fldChar w:fldCharType="begin"/>
        </w:r>
        <w:r>
          <w:rPr>
            <w:noProof/>
            <w:webHidden/>
          </w:rPr>
          <w:instrText xml:space="preserve"> PAGEREF _Toc419704932 \h </w:instrText>
        </w:r>
        <w:r>
          <w:rPr>
            <w:noProof/>
            <w:webHidden/>
          </w:rPr>
        </w:r>
        <w:r>
          <w:rPr>
            <w:noProof/>
            <w:webHidden/>
          </w:rPr>
          <w:fldChar w:fldCharType="separate"/>
        </w:r>
        <w:r>
          <w:rPr>
            <w:noProof/>
            <w:webHidden/>
          </w:rPr>
          <w:t>81</w:t>
        </w:r>
        <w:r>
          <w:rPr>
            <w:noProof/>
            <w:webHidden/>
          </w:rPr>
          <w:fldChar w:fldCharType="end"/>
        </w:r>
      </w:hyperlink>
    </w:p>
    <w:p w:rsidR="002E01ED" w:rsidRDefault="002E01ED">
      <w:pPr>
        <w:pStyle w:val="TOC1"/>
        <w:tabs>
          <w:tab w:val="left" w:pos="440"/>
          <w:tab w:val="right" w:leader="dot" w:pos="10102"/>
        </w:tabs>
        <w:rPr>
          <w:rFonts w:asciiTheme="minorHAnsi" w:eastAsiaTheme="minorEastAsia" w:hAnsiTheme="minorHAnsi" w:cstheme="minorBidi"/>
          <w:noProof/>
          <w:sz w:val="22"/>
          <w:szCs w:val="22"/>
          <w:lang w:val="en-US" w:eastAsia="en-US"/>
        </w:rPr>
      </w:pPr>
      <w:hyperlink w:anchor="_Toc419704933" w:history="1">
        <w:r w:rsidRPr="001B7D50">
          <w:rPr>
            <w:rStyle w:val="Hyperlink"/>
            <w:rFonts w:cs="Arial"/>
            <w:noProof/>
            <w:lang w:val="en-GB"/>
          </w:rPr>
          <w:t>6.</w:t>
        </w:r>
        <w:r>
          <w:rPr>
            <w:rFonts w:asciiTheme="minorHAnsi" w:eastAsiaTheme="minorEastAsia" w:hAnsiTheme="minorHAnsi" w:cstheme="minorBidi"/>
            <w:noProof/>
            <w:sz w:val="22"/>
            <w:szCs w:val="22"/>
            <w:lang w:val="en-US" w:eastAsia="en-US"/>
          </w:rPr>
          <w:tab/>
        </w:r>
        <w:r w:rsidRPr="001B7D50">
          <w:rPr>
            <w:rStyle w:val="Hyperlink"/>
            <w:rFonts w:cs="Arial"/>
            <w:noProof/>
            <w:lang w:val="en-GB"/>
          </w:rPr>
          <w:t>THE ENVIRONMENTAL PROTECTION OBJECTIVES, ESTABLISHED AT INTERNATIONAL, COMMUNITY OR MEMBER STATE LEVEL, WHICH ARE RELEVANT TO THE PROGRAMME AND THE WAY THOSE OBJECTIVES AND ANY ENVIRONMENTAL CONSIDERATIONS HAVE BEEN TAKEN INTO ACCOUNT DURING ITS PREPARATION</w:t>
        </w:r>
        <w:r>
          <w:rPr>
            <w:noProof/>
            <w:webHidden/>
          </w:rPr>
          <w:tab/>
        </w:r>
        <w:r>
          <w:rPr>
            <w:noProof/>
            <w:webHidden/>
          </w:rPr>
          <w:fldChar w:fldCharType="begin"/>
        </w:r>
        <w:r>
          <w:rPr>
            <w:noProof/>
            <w:webHidden/>
          </w:rPr>
          <w:instrText xml:space="preserve"> PAGEREF _Toc419704933 \h </w:instrText>
        </w:r>
        <w:r>
          <w:rPr>
            <w:noProof/>
            <w:webHidden/>
          </w:rPr>
        </w:r>
        <w:r>
          <w:rPr>
            <w:noProof/>
            <w:webHidden/>
          </w:rPr>
          <w:fldChar w:fldCharType="separate"/>
        </w:r>
        <w:r>
          <w:rPr>
            <w:noProof/>
            <w:webHidden/>
          </w:rPr>
          <w:t>89</w:t>
        </w:r>
        <w:r>
          <w:rPr>
            <w:noProof/>
            <w:webHidden/>
          </w:rPr>
          <w:fldChar w:fldCharType="end"/>
        </w:r>
      </w:hyperlink>
    </w:p>
    <w:p w:rsidR="002E01ED" w:rsidRDefault="002E01ED">
      <w:pPr>
        <w:pStyle w:val="TOC1"/>
        <w:tabs>
          <w:tab w:val="left" w:pos="440"/>
          <w:tab w:val="right" w:leader="dot" w:pos="10102"/>
        </w:tabs>
        <w:rPr>
          <w:rFonts w:asciiTheme="minorHAnsi" w:eastAsiaTheme="minorEastAsia" w:hAnsiTheme="minorHAnsi" w:cstheme="minorBidi"/>
          <w:noProof/>
          <w:sz w:val="22"/>
          <w:szCs w:val="22"/>
          <w:lang w:val="en-US" w:eastAsia="en-US"/>
        </w:rPr>
      </w:pPr>
      <w:hyperlink w:anchor="_Toc419704934" w:history="1">
        <w:r w:rsidRPr="001B7D50">
          <w:rPr>
            <w:rStyle w:val="Hyperlink"/>
            <w:rFonts w:cs="Arial"/>
            <w:noProof/>
            <w:lang w:val="en-GB" w:eastAsia="en-US"/>
          </w:rPr>
          <w:t>I.</w:t>
        </w:r>
        <w:r>
          <w:rPr>
            <w:rFonts w:asciiTheme="minorHAnsi" w:eastAsiaTheme="minorEastAsia" w:hAnsiTheme="minorHAnsi" w:cstheme="minorBidi"/>
            <w:noProof/>
            <w:sz w:val="22"/>
            <w:szCs w:val="22"/>
            <w:lang w:val="en-US" w:eastAsia="en-US"/>
          </w:rPr>
          <w:tab/>
        </w:r>
        <w:r w:rsidRPr="001B7D50">
          <w:rPr>
            <w:rStyle w:val="Hyperlink"/>
            <w:rFonts w:cs="Arial"/>
            <w:noProof/>
            <w:lang w:val="en-GB"/>
          </w:rPr>
          <w:t>ROMANIA</w:t>
        </w:r>
        <w:r>
          <w:rPr>
            <w:noProof/>
            <w:webHidden/>
          </w:rPr>
          <w:tab/>
        </w:r>
        <w:r>
          <w:rPr>
            <w:noProof/>
            <w:webHidden/>
          </w:rPr>
          <w:fldChar w:fldCharType="begin"/>
        </w:r>
        <w:r>
          <w:rPr>
            <w:noProof/>
            <w:webHidden/>
          </w:rPr>
          <w:instrText xml:space="preserve"> PAGEREF _Toc419704934 \h </w:instrText>
        </w:r>
        <w:r>
          <w:rPr>
            <w:noProof/>
            <w:webHidden/>
          </w:rPr>
        </w:r>
        <w:r>
          <w:rPr>
            <w:noProof/>
            <w:webHidden/>
          </w:rPr>
          <w:fldChar w:fldCharType="separate"/>
        </w:r>
        <w:r>
          <w:rPr>
            <w:noProof/>
            <w:webHidden/>
          </w:rPr>
          <w:t>89</w:t>
        </w:r>
        <w:r>
          <w:rPr>
            <w:noProof/>
            <w:webHidden/>
          </w:rPr>
          <w:fldChar w:fldCharType="end"/>
        </w:r>
      </w:hyperlink>
    </w:p>
    <w:p w:rsidR="002E01ED" w:rsidRDefault="002E01ED">
      <w:pPr>
        <w:pStyle w:val="TOC1"/>
        <w:tabs>
          <w:tab w:val="left" w:pos="440"/>
          <w:tab w:val="right" w:leader="dot" w:pos="10102"/>
        </w:tabs>
        <w:rPr>
          <w:rFonts w:asciiTheme="minorHAnsi" w:eastAsiaTheme="minorEastAsia" w:hAnsiTheme="minorHAnsi" w:cstheme="minorBidi"/>
          <w:noProof/>
          <w:sz w:val="22"/>
          <w:szCs w:val="22"/>
          <w:lang w:val="en-US" w:eastAsia="en-US"/>
        </w:rPr>
      </w:pPr>
      <w:hyperlink w:anchor="_Toc419704935" w:history="1">
        <w:r w:rsidRPr="001B7D50">
          <w:rPr>
            <w:rStyle w:val="Hyperlink"/>
            <w:rFonts w:cs="Arial"/>
            <w:noProof/>
            <w:lang w:val="en-GB"/>
          </w:rPr>
          <w:t>II.</w:t>
        </w:r>
        <w:r>
          <w:rPr>
            <w:rFonts w:asciiTheme="minorHAnsi" w:eastAsiaTheme="minorEastAsia" w:hAnsiTheme="minorHAnsi" w:cstheme="minorBidi"/>
            <w:noProof/>
            <w:sz w:val="22"/>
            <w:szCs w:val="22"/>
            <w:lang w:val="en-US" w:eastAsia="en-US"/>
          </w:rPr>
          <w:tab/>
        </w:r>
        <w:r w:rsidRPr="001B7D50">
          <w:rPr>
            <w:rStyle w:val="Hyperlink"/>
            <w:rFonts w:cs="Arial"/>
            <w:noProof/>
            <w:lang w:val="en-GB"/>
          </w:rPr>
          <w:t>UCRAINA</w:t>
        </w:r>
        <w:r>
          <w:rPr>
            <w:noProof/>
            <w:webHidden/>
          </w:rPr>
          <w:tab/>
        </w:r>
        <w:r>
          <w:rPr>
            <w:noProof/>
            <w:webHidden/>
          </w:rPr>
          <w:fldChar w:fldCharType="begin"/>
        </w:r>
        <w:r>
          <w:rPr>
            <w:noProof/>
            <w:webHidden/>
          </w:rPr>
          <w:instrText xml:space="preserve"> PAGEREF _Toc419704935 \h </w:instrText>
        </w:r>
        <w:r>
          <w:rPr>
            <w:noProof/>
            <w:webHidden/>
          </w:rPr>
        </w:r>
        <w:r>
          <w:rPr>
            <w:noProof/>
            <w:webHidden/>
          </w:rPr>
          <w:fldChar w:fldCharType="separate"/>
        </w:r>
        <w:r>
          <w:rPr>
            <w:noProof/>
            <w:webHidden/>
          </w:rPr>
          <w:t>93</w:t>
        </w:r>
        <w:r>
          <w:rPr>
            <w:noProof/>
            <w:webHidden/>
          </w:rPr>
          <w:fldChar w:fldCharType="end"/>
        </w:r>
      </w:hyperlink>
    </w:p>
    <w:p w:rsidR="002E01ED" w:rsidRDefault="002E01ED">
      <w:pPr>
        <w:pStyle w:val="TOC1"/>
        <w:tabs>
          <w:tab w:val="left" w:pos="660"/>
          <w:tab w:val="right" w:leader="dot" w:pos="10102"/>
        </w:tabs>
        <w:rPr>
          <w:rFonts w:asciiTheme="minorHAnsi" w:eastAsiaTheme="minorEastAsia" w:hAnsiTheme="minorHAnsi" w:cstheme="minorBidi"/>
          <w:noProof/>
          <w:sz w:val="22"/>
          <w:szCs w:val="22"/>
          <w:lang w:val="en-US" w:eastAsia="en-US"/>
        </w:rPr>
      </w:pPr>
      <w:hyperlink w:anchor="_Toc419704936" w:history="1">
        <w:r w:rsidRPr="001B7D50">
          <w:rPr>
            <w:rStyle w:val="Hyperlink"/>
            <w:rFonts w:cs="Arial"/>
            <w:noProof/>
            <w:lang w:val="en-GB"/>
          </w:rPr>
          <w:t>III.</w:t>
        </w:r>
        <w:r>
          <w:rPr>
            <w:rFonts w:asciiTheme="minorHAnsi" w:eastAsiaTheme="minorEastAsia" w:hAnsiTheme="minorHAnsi" w:cstheme="minorBidi"/>
            <w:noProof/>
            <w:sz w:val="22"/>
            <w:szCs w:val="22"/>
            <w:lang w:val="en-US" w:eastAsia="en-US"/>
          </w:rPr>
          <w:tab/>
        </w:r>
        <w:r w:rsidRPr="001B7D50">
          <w:rPr>
            <w:rStyle w:val="Hyperlink"/>
            <w:rFonts w:cs="Arial"/>
            <w:noProof/>
            <w:lang w:val="en-GB"/>
          </w:rPr>
          <w:t>UNIUNEA EUROPEANĂ</w:t>
        </w:r>
        <w:r>
          <w:rPr>
            <w:noProof/>
            <w:webHidden/>
          </w:rPr>
          <w:tab/>
        </w:r>
        <w:r>
          <w:rPr>
            <w:noProof/>
            <w:webHidden/>
          </w:rPr>
          <w:fldChar w:fldCharType="begin"/>
        </w:r>
        <w:r>
          <w:rPr>
            <w:noProof/>
            <w:webHidden/>
          </w:rPr>
          <w:instrText xml:space="preserve"> PAGEREF _Toc419704936 \h </w:instrText>
        </w:r>
        <w:r>
          <w:rPr>
            <w:noProof/>
            <w:webHidden/>
          </w:rPr>
        </w:r>
        <w:r>
          <w:rPr>
            <w:noProof/>
            <w:webHidden/>
          </w:rPr>
          <w:fldChar w:fldCharType="separate"/>
        </w:r>
        <w:r>
          <w:rPr>
            <w:noProof/>
            <w:webHidden/>
          </w:rPr>
          <w:t>94</w:t>
        </w:r>
        <w:r>
          <w:rPr>
            <w:noProof/>
            <w:webHidden/>
          </w:rPr>
          <w:fldChar w:fldCharType="end"/>
        </w:r>
      </w:hyperlink>
    </w:p>
    <w:p w:rsidR="002E01ED" w:rsidRDefault="002E01ED">
      <w:pPr>
        <w:pStyle w:val="TOC1"/>
        <w:tabs>
          <w:tab w:val="left" w:pos="440"/>
          <w:tab w:val="right" w:leader="dot" w:pos="10102"/>
        </w:tabs>
        <w:rPr>
          <w:rFonts w:asciiTheme="minorHAnsi" w:eastAsiaTheme="minorEastAsia" w:hAnsiTheme="minorHAnsi" w:cstheme="minorBidi"/>
          <w:noProof/>
          <w:sz w:val="22"/>
          <w:szCs w:val="22"/>
          <w:lang w:val="en-US" w:eastAsia="en-US"/>
        </w:rPr>
      </w:pPr>
      <w:hyperlink w:anchor="_Toc419704937" w:history="1">
        <w:r w:rsidRPr="001B7D50">
          <w:rPr>
            <w:rStyle w:val="Hyperlink"/>
            <w:rFonts w:cs="Arial"/>
            <w:noProof/>
            <w:lang w:val="en-GB"/>
          </w:rPr>
          <w:t>7.</w:t>
        </w:r>
        <w:r>
          <w:rPr>
            <w:rFonts w:asciiTheme="minorHAnsi" w:eastAsiaTheme="minorEastAsia" w:hAnsiTheme="minorHAnsi" w:cstheme="minorBidi"/>
            <w:noProof/>
            <w:sz w:val="22"/>
            <w:szCs w:val="22"/>
            <w:lang w:val="en-US" w:eastAsia="en-US"/>
          </w:rPr>
          <w:tab/>
        </w:r>
        <w:r w:rsidRPr="001B7D50">
          <w:rPr>
            <w:rStyle w:val="Hyperlink"/>
            <w:rFonts w:cs="Arial"/>
            <w:noProof/>
            <w:lang w:val="en-GB"/>
          </w:rPr>
          <w:t>THE LIKELY SIGNIFICANT EFFECTS ON THE ENVIRONMENT, INCLUDING ON ISSUES SUCH AS BIODIVERSITY, POPULATION, HUMANHEALTH, FAUNA, FLORA, SOIL, WATER, AIR, CLIMATIC FACTORS, MATERIAL ASSETS, CULTURAL HERITAGE INCLUDING ARCHITECTURAL AND ARCHAEOLOGICAL HERITAGE, LANDSCAPE AND THE INTERRELATIONSHIP BETWEEN THE ABOVE FACTORS</w:t>
        </w:r>
        <w:r>
          <w:rPr>
            <w:noProof/>
            <w:webHidden/>
          </w:rPr>
          <w:tab/>
        </w:r>
        <w:r>
          <w:rPr>
            <w:noProof/>
            <w:webHidden/>
          </w:rPr>
          <w:fldChar w:fldCharType="begin"/>
        </w:r>
        <w:r>
          <w:rPr>
            <w:noProof/>
            <w:webHidden/>
          </w:rPr>
          <w:instrText xml:space="preserve"> PAGEREF _Toc419704937 \h </w:instrText>
        </w:r>
        <w:r>
          <w:rPr>
            <w:noProof/>
            <w:webHidden/>
          </w:rPr>
        </w:r>
        <w:r>
          <w:rPr>
            <w:noProof/>
            <w:webHidden/>
          </w:rPr>
          <w:fldChar w:fldCharType="separate"/>
        </w:r>
        <w:r>
          <w:rPr>
            <w:noProof/>
            <w:webHidden/>
          </w:rPr>
          <w:t>97</w:t>
        </w:r>
        <w:r>
          <w:rPr>
            <w:noProof/>
            <w:webHidden/>
          </w:rPr>
          <w:fldChar w:fldCharType="end"/>
        </w:r>
      </w:hyperlink>
    </w:p>
    <w:p w:rsidR="002E01ED" w:rsidRDefault="002E01ED">
      <w:pPr>
        <w:pStyle w:val="TOC1"/>
        <w:tabs>
          <w:tab w:val="left" w:pos="440"/>
          <w:tab w:val="right" w:leader="dot" w:pos="10102"/>
        </w:tabs>
        <w:rPr>
          <w:rFonts w:asciiTheme="minorHAnsi" w:eastAsiaTheme="minorEastAsia" w:hAnsiTheme="minorHAnsi" w:cstheme="minorBidi"/>
          <w:noProof/>
          <w:sz w:val="22"/>
          <w:szCs w:val="22"/>
          <w:lang w:val="en-US" w:eastAsia="en-US"/>
        </w:rPr>
      </w:pPr>
      <w:hyperlink w:anchor="_Toc419704938" w:history="1">
        <w:r w:rsidRPr="001B7D50">
          <w:rPr>
            <w:rStyle w:val="Hyperlink"/>
            <w:rFonts w:cs="Arial"/>
            <w:noProof/>
            <w:lang w:val="en-GB"/>
          </w:rPr>
          <w:t>8.</w:t>
        </w:r>
        <w:r>
          <w:rPr>
            <w:rFonts w:asciiTheme="minorHAnsi" w:eastAsiaTheme="minorEastAsia" w:hAnsiTheme="minorHAnsi" w:cstheme="minorBidi"/>
            <w:noProof/>
            <w:sz w:val="22"/>
            <w:szCs w:val="22"/>
            <w:lang w:val="en-US" w:eastAsia="en-US"/>
          </w:rPr>
          <w:tab/>
        </w:r>
        <w:r w:rsidRPr="001B7D50">
          <w:rPr>
            <w:rStyle w:val="Hyperlink"/>
            <w:rFonts w:cs="Arial"/>
            <w:noProof/>
            <w:lang w:val="en-GB"/>
          </w:rPr>
          <w:t>THE MEASURES ENVISAGED TO PREVENT, REDUCE AND AS FULLY AS POSSIBLE OFFSET ANY SIGNIFICANT ADVERSE EFFECTS ON THE ENVIRONMENT OF IMPLEMENTING THE PLAN OR PROGRAMME</w:t>
        </w:r>
        <w:r>
          <w:rPr>
            <w:noProof/>
            <w:webHidden/>
          </w:rPr>
          <w:tab/>
        </w:r>
        <w:r>
          <w:rPr>
            <w:noProof/>
            <w:webHidden/>
          </w:rPr>
          <w:fldChar w:fldCharType="begin"/>
        </w:r>
        <w:r>
          <w:rPr>
            <w:noProof/>
            <w:webHidden/>
          </w:rPr>
          <w:instrText xml:space="preserve"> PAGEREF _Toc419704938 \h </w:instrText>
        </w:r>
        <w:r>
          <w:rPr>
            <w:noProof/>
            <w:webHidden/>
          </w:rPr>
        </w:r>
        <w:r>
          <w:rPr>
            <w:noProof/>
            <w:webHidden/>
          </w:rPr>
          <w:fldChar w:fldCharType="separate"/>
        </w:r>
        <w:r>
          <w:rPr>
            <w:noProof/>
            <w:webHidden/>
          </w:rPr>
          <w:t>109</w:t>
        </w:r>
        <w:r>
          <w:rPr>
            <w:noProof/>
            <w:webHidden/>
          </w:rPr>
          <w:fldChar w:fldCharType="end"/>
        </w:r>
      </w:hyperlink>
    </w:p>
    <w:p w:rsidR="002E01ED" w:rsidRDefault="002E01ED">
      <w:pPr>
        <w:pStyle w:val="TOC1"/>
        <w:tabs>
          <w:tab w:val="left" w:pos="440"/>
          <w:tab w:val="right" w:leader="dot" w:pos="10102"/>
        </w:tabs>
        <w:rPr>
          <w:rFonts w:asciiTheme="minorHAnsi" w:eastAsiaTheme="minorEastAsia" w:hAnsiTheme="minorHAnsi" w:cstheme="minorBidi"/>
          <w:noProof/>
          <w:sz w:val="22"/>
          <w:szCs w:val="22"/>
          <w:lang w:val="en-US" w:eastAsia="en-US"/>
        </w:rPr>
      </w:pPr>
      <w:hyperlink w:anchor="_Toc419704939" w:history="1">
        <w:r w:rsidRPr="001B7D50">
          <w:rPr>
            <w:rStyle w:val="Hyperlink"/>
            <w:rFonts w:eastAsia="EUAlbertina-Regular-Identity-H" w:cs="Arial"/>
            <w:noProof/>
            <w:lang w:val="en-GB" w:eastAsia="en-US"/>
          </w:rPr>
          <w:t>9.</w:t>
        </w:r>
        <w:r>
          <w:rPr>
            <w:rFonts w:asciiTheme="minorHAnsi" w:eastAsiaTheme="minorEastAsia" w:hAnsiTheme="minorHAnsi" w:cstheme="minorBidi"/>
            <w:noProof/>
            <w:sz w:val="22"/>
            <w:szCs w:val="22"/>
            <w:lang w:val="en-US" w:eastAsia="en-US"/>
          </w:rPr>
          <w:tab/>
        </w:r>
        <w:r w:rsidRPr="001B7D50">
          <w:rPr>
            <w:rStyle w:val="Hyperlink"/>
            <w:rFonts w:cs="Arial"/>
            <w:noProof/>
            <w:lang w:val="en-GB"/>
          </w:rPr>
          <w:t xml:space="preserve">THE REASONS FOR SELECTING THE ALTERNATIVES DEALT WITH, AND A DESCRIPTION OF HOW THE ASSESSMENT WAS UNDERTAKEN INCLUDING ANY </w:t>
        </w:r>
        <w:r w:rsidRPr="001B7D50">
          <w:rPr>
            <w:rStyle w:val="Hyperlink"/>
            <w:rFonts w:cs="Arial"/>
            <w:noProof/>
            <w:lang w:val="en-GB"/>
          </w:rPr>
          <w:lastRenderedPageBreak/>
          <w:t>DIFFICULTIES (SUCH AS TECHNICAL DEFICIENCIES OR LACK OF KNOW-HOW) ENCOUNTERED IN COMPILING THE REQUIRED INFORMATION</w:t>
        </w:r>
        <w:r>
          <w:rPr>
            <w:noProof/>
            <w:webHidden/>
          </w:rPr>
          <w:tab/>
        </w:r>
        <w:r>
          <w:rPr>
            <w:noProof/>
            <w:webHidden/>
          </w:rPr>
          <w:fldChar w:fldCharType="begin"/>
        </w:r>
        <w:r>
          <w:rPr>
            <w:noProof/>
            <w:webHidden/>
          </w:rPr>
          <w:instrText xml:space="preserve"> PAGEREF _Toc419704939 \h </w:instrText>
        </w:r>
        <w:r>
          <w:rPr>
            <w:noProof/>
            <w:webHidden/>
          </w:rPr>
        </w:r>
        <w:r>
          <w:rPr>
            <w:noProof/>
            <w:webHidden/>
          </w:rPr>
          <w:fldChar w:fldCharType="separate"/>
        </w:r>
        <w:r>
          <w:rPr>
            <w:noProof/>
            <w:webHidden/>
          </w:rPr>
          <w:t>115</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40" w:history="1">
        <w:r w:rsidRPr="001B7D50">
          <w:rPr>
            <w:rStyle w:val="Hyperlink"/>
            <w:rFonts w:eastAsia="EUAlbertina-Regular-Identity-H" w:cs="Arial"/>
            <w:noProof/>
            <w:lang w:val="en-GB" w:eastAsia="en-US"/>
          </w:rPr>
          <w:t>9.1 Selection of the Programme Ro-Ua alternatives</w:t>
        </w:r>
        <w:r>
          <w:rPr>
            <w:noProof/>
            <w:webHidden/>
          </w:rPr>
          <w:tab/>
        </w:r>
        <w:r>
          <w:rPr>
            <w:noProof/>
            <w:webHidden/>
          </w:rPr>
          <w:fldChar w:fldCharType="begin"/>
        </w:r>
        <w:r>
          <w:rPr>
            <w:noProof/>
            <w:webHidden/>
          </w:rPr>
          <w:instrText xml:space="preserve"> PAGEREF _Toc419704940 \h </w:instrText>
        </w:r>
        <w:r>
          <w:rPr>
            <w:noProof/>
            <w:webHidden/>
          </w:rPr>
        </w:r>
        <w:r>
          <w:rPr>
            <w:noProof/>
            <w:webHidden/>
          </w:rPr>
          <w:fldChar w:fldCharType="separate"/>
        </w:r>
        <w:r>
          <w:rPr>
            <w:noProof/>
            <w:webHidden/>
          </w:rPr>
          <w:t>115</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41" w:history="1">
        <w:r w:rsidRPr="001B7D50">
          <w:rPr>
            <w:rStyle w:val="Hyperlink"/>
            <w:rFonts w:cs="Arial"/>
            <w:noProof/>
            <w:lang w:val="en-GB"/>
          </w:rPr>
          <w:t>9.2 Dificulties</w:t>
        </w:r>
        <w:r>
          <w:rPr>
            <w:noProof/>
            <w:webHidden/>
          </w:rPr>
          <w:tab/>
        </w:r>
        <w:r>
          <w:rPr>
            <w:noProof/>
            <w:webHidden/>
          </w:rPr>
          <w:fldChar w:fldCharType="begin"/>
        </w:r>
        <w:r>
          <w:rPr>
            <w:noProof/>
            <w:webHidden/>
          </w:rPr>
          <w:instrText xml:space="preserve"> PAGEREF _Toc419704941 \h </w:instrText>
        </w:r>
        <w:r>
          <w:rPr>
            <w:noProof/>
            <w:webHidden/>
          </w:rPr>
        </w:r>
        <w:r>
          <w:rPr>
            <w:noProof/>
            <w:webHidden/>
          </w:rPr>
          <w:fldChar w:fldCharType="separate"/>
        </w:r>
        <w:r>
          <w:rPr>
            <w:noProof/>
            <w:webHidden/>
          </w:rPr>
          <w:t>117</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42" w:history="1">
        <w:r w:rsidRPr="001B7D50">
          <w:rPr>
            <w:rStyle w:val="Hyperlink"/>
            <w:rFonts w:cs="Arial"/>
            <w:noProof/>
            <w:lang w:val="en-GB"/>
          </w:rPr>
          <w:t>10. DESCRIPTION OF THE MEASURES ENVISAGED CONCERNING MONITORING IN ACCORDANCE WITH ARTICLE 10</w:t>
        </w:r>
        <w:r>
          <w:rPr>
            <w:noProof/>
            <w:webHidden/>
          </w:rPr>
          <w:tab/>
        </w:r>
        <w:r>
          <w:rPr>
            <w:noProof/>
            <w:webHidden/>
          </w:rPr>
          <w:fldChar w:fldCharType="begin"/>
        </w:r>
        <w:r>
          <w:rPr>
            <w:noProof/>
            <w:webHidden/>
          </w:rPr>
          <w:instrText xml:space="preserve"> PAGEREF _Toc419704942 \h </w:instrText>
        </w:r>
        <w:r>
          <w:rPr>
            <w:noProof/>
            <w:webHidden/>
          </w:rPr>
        </w:r>
        <w:r>
          <w:rPr>
            <w:noProof/>
            <w:webHidden/>
          </w:rPr>
          <w:fldChar w:fldCharType="separate"/>
        </w:r>
        <w:r>
          <w:rPr>
            <w:noProof/>
            <w:webHidden/>
          </w:rPr>
          <w:t>119</w:t>
        </w:r>
        <w:r>
          <w:rPr>
            <w:noProof/>
            <w:webHidden/>
          </w:rPr>
          <w:fldChar w:fldCharType="end"/>
        </w:r>
      </w:hyperlink>
    </w:p>
    <w:p w:rsidR="002E01ED" w:rsidRDefault="002E01ED">
      <w:pPr>
        <w:pStyle w:val="TOC1"/>
        <w:tabs>
          <w:tab w:val="right" w:leader="dot" w:pos="10102"/>
        </w:tabs>
        <w:rPr>
          <w:rFonts w:asciiTheme="minorHAnsi" w:eastAsiaTheme="minorEastAsia" w:hAnsiTheme="minorHAnsi" w:cstheme="minorBidi"/>
          <w:noProof/>
          <w:sz w:val="22"/>
          <w:szCs w:val="22"/>
          <w:lang w:val="en-US" w:eastAsia="en-US"/>
        </w:rPr>
      </w:pPr>
      <w:hyperlink w:anchor="_Toc419704943" w:history="1">
        <w:r w:rsidRPr="001B7D50">
          <w:rPr>
            <w:rStyle w:val="Hyperlink"/>
            <w:rFonts w:cs="Arial"/>
            <w:noProof/>
            <w:lang w:val="en-GB"/>
          </w:rPr>
          <w:t>11 NON-TECHNICAL SUMMARY</w:t>
        </w:r>
        <w:r>
          <w:rPr>
            <w:noProof/>
            <w:webHidden/>
          </w:rPr>
          <w:tab/>
        </w:r>
        <w:r>
          <w:rPr>
            <w:noProof/>
            <w:webHidden/>
          </w:rPr>
          <w:fldChar w:fldCharType="begin"/>
        </w:r>
        <w:r>
          <w:rPr>
            <w:noProof/>
            <w:webHidden/>
          </w:rPr>
          <w:instrText xml:space="preserve"> PAGEREF _Toc419704943 \h </w:instrText>
        </w:r>
        <w:r>
          <w:rPr>
            <w:noProof/>
            <w:webHidden/>
          </w:rPr>
        </w:r>
        <w:r>
          <w:rPr>
            <w:noProof/>
            <w:webHidden/>
          </w:rPr>
          <w:fldChar w:fldCharType="separate"/>
        </w:r>
        <w:r>
          <w:rPr>
            <w:noProof/>
            <w:webHidden/>
          </w:rPr>
          <w:t>125</w:t>
        </w:r>
        <w:r>
          <w:rPr>
            <w:noProof/>
            <w:webHidden/>
          </w:rPr>
          <w:fldChar w:fldCharType="end"/>
        </w:r>
      </w:hyperlink>
    </w:p>
    <w:p w:rsidR="00252B38" w:rsidRDefault="008C6885">
      <w:pPr>
        <w:jc w:val="both"/>
        <w:rPr>
          <w:lang w:val="en-GB"/>
        </w:rPr>
      </w:pPr>
      <w:r>
        <w:rPr>
          <w:lang w:val="en-GB"/>
        </w:rPr>
        <w:fldChar w:fldCharType="end"/>
      </w:r>
    </w:p>
    <w:p w:rsidR="00252B38" w:rsidRDefault="008C6885">
      <w:pPr>
        <w:tabs>
          <w:tab w:val="right" w:pos="10206"/>
        </w:tabs>
        <w:ind w:left="851" w:hanging="851"/>
        <w:rPr>
          <w:rFonts w:cs="Arial"/>
          <w:snapToGrid w:val="0"/>
          <w:lang w:val="en-GB"/>
        </w:rPr>
      </w:pPr>
      <w:r>
        <w:rPr>
          <w:rFonts w:cs="Arial"/>
          <w:snapToGrid w:val="0"/>
          <w:lang w:val="en-GB"/>
        </w:rPr>
        <w:tab/>
      </w:r>
    </w:p>
    <w:p w:rsidR="00252B38" w:rsidRDefault="00252B38">
      <w:pPr>
        <w:tabs>
          <w:tab w:val="right" w:pos="9639"/>
          <w:tab w:val="right" w:pos="9781"/>
          <w:tab w:val="left" w:pos="10206"/>
          <w:tab w:val="right" w:pos="10376"/>
        </w:tabs>
        <w:rPr>
          <w:rFonts w:cs="Arial"/>
          <w:snapToGrid w:val="0"/>
          <w:lang w:val="en-GB"/>
        </w:rPr>
      </w:pPr>
    </w:p>
    <w:p w:rsidR="00252B38" w:rsidRDefault="00252B38">
      <w:pPr>
        <w:tabs>
          <w:tab w:val="left" w:pos="10206"/>
        </w:tabs>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8C6885">
      <w:pPr>
        <w:tabs>
          <w:tab w:val="right" w:pos="9639"/>
          <w:tab w:val="right" w:pos="9781"/>
          <w:tab w:val="left" w:pos="10206"/>
          <w:tab w:val="right" w:pos="10376"/>
        </w:tabs>
        <w:rPr>
          <w:rFonts w:cs="Arial"/>
          <w:b/>
          <w:snapToGrid w:val="0"/>
          <w:lang w:val="en-GB"/>
        </w:rPr>
      </w:pPr>
      <w:r>
        <w:rPr>
          <w:rFonts w:cs="Arial"/>
          <w:b/>
          <w:snapToGrid w:val="0"/>
          <w:lang w:val="en-GB"/>
        </w:rPr>
        <w:t>ABREVIETIONS</w:t>
      </w:r>
    </w:p>
    <w:p w:rsidR="00252B38" w:rsidRDefault="00252B38">
      <w:pPr>
        <w:tabs>
          <w:tab w:val="right" w:pos="9639"/>
          <w:tab w:val="right" w:pos="9781"/>
          <w:tab w:val="left" w:pos="10206"/>
          <w:tab w:val="right" w:pos="10376"/>
        </w:tabs>
        <w:rPr>
          <w:rFonts w:cs="Arial"/>
          <w:snapToGrid w:val="0"/>
          <w:lang w:val="en-GB"/>
        </w:rPr>
      </w:pPr>
    </w:p>
    <w:tbl>
      <w:tblPr>
        <w:tblW w:w="11831" w:type="dxa"/>
        <w:tblLayout w:type="fixed"/>
        <w:tblLook w:val="04A0" w:firstRow="1" w:lastRow="0" w:firstColumn="1" w:lastColumn="0" w:noHBand="0" w:noVBand="1"/>
      </w:tblPr>
      <w:tblGrid>
        <w:gridCol w:w="1101"/>
        <w:gridCol w:w="10730"/>
      </w:tblGrid>
      <w:tr w:rsidR="00C7761C" w:rsidTr="00C7761C">
        <w:trPr>
          <w:trHeight w:val="314"/>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MRDPA</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 xml:space="preserve">Ministry of Regional Development and Public Administration </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MMAP</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Ministry of Environment, Water and Forest</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MFE</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 xml:space="preserve">Ministry of European Funds </w:t>
            </w:r>
          </w:p>
        </w:tc>
      </w:tr>
      <w:tr w:rsidR="00C7761C" w:rsidTr="00C7761C">
        <w:trPr>
          <w:trHeight w:val="314"/>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MAE</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Ministry of Foreign Affairs</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CE</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 xml:space="preserve">European Commission </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UE</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European Union</w:t>
            </w:r>
          </w:p>
        </w:tc>
      </w:tr>
      <w:tr w:rsidR="00C7761C" w:rsidTr="00C7761C">
        <w:trPr>
          <w:trHeight w:val="314"/>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 xml:space="preserve">SM </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 xml:space="preserve">Member State </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ENI</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European Neighbourhood Instrument</w:t>
            </w:r>
          </w:p>
        </w:tc>
      </w:tr>
      <w:tr w:rsidR="00C7761C" w:rsidTr="00C7761C">
        <w:trPr>
          <w:trHeight w:val="329"/>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ENPI</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European Neighbourhood and Partnership Instrument</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CBC</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Cross Border Cooperation</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CCP</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Common Committee Programming</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MA</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 xml:space="preserve">Management Authority of the Programme </w:t>
            </w:r>
          </w:p>
        </w:tc>
      </w:tr>
      <w:tr w:rsidR="00C7761C" w:rsidTr="00C7761C">
        <w:trPr>
          <w:trHeight w:val="314"/>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SME</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Small and Medium Enterprises</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PA</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Partnership Agreement with EU</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NRP</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National Reform Programme</w:t>
            </w:r>
          </w:p>
        </w:tc>
      </w:tr>
      <w:tr w:rsidR="00C7761C" w:rsidTr="00C7761C">
        <w:trPr>
          <w:trHeight w:val="314"/>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TO</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 xml:space="preserve">Thematic Objective </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SWOT</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Strengths, Weaknesses, Opportunities, Threats Analysis</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Ro</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Romania</w:t>
            </w:r>
          </w:p>
        </w:tc>
      </w:tr>
      <w:tr w:rsidR="00C7761C" w:rsidTr="00C7761C">
        <w:trPr>
          <w:trHeight w:val="314"/>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Md</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Republic of Moldova</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Ua</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Ukraine</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WG</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Working Group</w:t>
            </w:r>
          </w:p>
        </w:tc>
      </w:tr>
      <w:tr w:rsidR="00C7761C" w:rsidTr="00C7761C">
        <w:trPr>
          <w:trHeight w:val="314"/>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LPI</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 xml:space="preserve">Large Infrastructure Project </w:t>
            </w:r>
          </w:p>
        </w:tc>
      </w:tr>
      <w:tr w:rsidR="00C7761C" w:rsidTr="00C7761C">
        <w:trPr>
          <w:trHeight w:val="300"/>
        </w:trPr>
        <w:tc>
          <w:tcPr>
            <w:tcW w:w="1101"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PIB</w:t>
            </w:r>
          </w:p>
        </w:tc>
        <w:tc>
          <w:tcPr>
            <w:tcW w:w="10730" w:type="dxa"/>
            <w:shd w:val="clear" w:color="auto" w:fill="auto"/>
          </w:tcPr>
          <w:p w:rsidR="00252B38" w:rsidRDefault="008C6885">
            <w:pPr>
              <w:tabs>
                <w:tab w:val="right" w:pos="9639"/>
                <w:tab w:val="right" w:pos="9781"/>
                <w:tab w:val="left" w:pos="10206"/>
                <w:tab w:val="right" w:pos="10376"/>
              </w:tabs>
              <w:jc w:val="both"/>
              <w:rPr>
                <w:rFonts w:cs="Arial"/>
                <w:snapToGrid w:val="0"/>
                <w:lang w:val="en-GB"/>
              </w:rPr>
            </w:pPr>
            <w:r>
              <w:rPr>
                <w:rFonts w:cs="Arial"/>
                <w:snapToGrid w:val="0"/>
                <w:lang w:val="en-GB"/>
              </w:rPr>
              <w:t>Gross Domestic Product</w:t>
            </w:r>
          </w:p>
          <w:p w:rsidR="00C7761C" w:rsidRDefault="00C7761C" w:rsidP="00C7761C">
            <w:pPr>
              <w:tabs>
                <w:tab w:val="right" w:pos="9639"/>
                <w:tab w:val="right" w:pos="9781"/>
                <w:tab w:val="left" w:pos="10206"/>
                <w:tab w:val="right" w:pos="10376"/>
              </w:tabs>
              <w:ind w:left="-1242"/>
              <w:jc w:val="both"/>
              <w:rPr>
                <w:rFonts w:cs="Arial"/>
                <w:snapToGrid w:val="0"/>
                <w:lang w:val="en-GB"/>
              </w:rPr>
            </w:pPr>
          </w:p>
          <w:p w:rsidR="00C7761C" w:rsidRDefault="00C7761C" w:rsidP="00C7761C">
            <w:pPr>
              <w:ind w:left="-1083"/>
              <w:rPr>
                <w:snapToGrid w:val="0"/>
                <w:position w:val="-6"/>
                <w:lang w:val="en-GB"/>
              </w:rPr>
            </w:pPr>
          </w:p>
          <w:p w:rsidR="00C7761C" w:rsidRDefault="00C7761C">
            <w:pPr>
              <w:tabs>
                <w:tab w:val="right" w:pos="9639"/>
                <w:tab w:val="right" w:pos="9781"/>
                <w:tab w:val="left" w:pos="10206"/>
                <w:tab w:val="right" w:pos="10376"/>
              </w:tabs>
              <w:jc w:val="both"/>
              <w:rPr>
                <w:rFonts w:cs="Arial"/>
                <w:snapToGrid w:val="0"/>
                <w:lang w:val="en-GB"/>
              </w:rPr>
            </w:pPr>
          </w:p>
        </w:tc>
      </w:tr>
      <w:tr w:rsidR="00C7761C" w:rsidTr="002E01ED">
        <w:trPr>
          <w:trHeight w:val="300"/>
        </w:trPr>
        <w:tc>
          <w:tcPr>
            <w:tcW w:w="1101" w:type="dxa"/>
            <w:shd w:val="clear" w:color="auto" w:fill="auto"/>
          </w:tcPr>
          <w:p w:rsidR="00C7761C" w:rsidRDefault="00C7761C">
            <w:pPr>
              <w:tabs>
                <w:tab w:val="right" w:pos="9639"/>
                <w:tab w:val="right" w:pos="9781"/>
                <w:tab w:val="left" w:pos="10206"/>
                <w:tab w:val="right" w:pos="10376"/>
              </w:tabs>
              <w:jc w:val="both"/>
              <w:rPr>
                <w:rFonts w:cs="Arial"/>
                <w:snapToGrid w:val="0"/>
                <w:lang w:val="en-GB"/>
              </w:rPr>
            </w:pPr>
            <w:r>
              <w:rPr>
                <w:rFonts w:cs="Arial"/>
                <w:snapToGrid w:val="0"/>
              </w:rPr>
              <w:t>NSCC</w:t>
            </w:r>
          </w:p>
        </w:tc>
        <w:tc>
          <w:tcPr>
            <w:tcW w:w="10730" w:type="dxa"/>
            <w:shd w:val="clear" w:color="auto" w:fill="auto"/>
          </w:tcPr>
          <w:p w:rsidR="00C7761C" w:rsidRDefault="00C7761C">
            <w:pPr>
              <w:tabs>
                <w:tab w:val="right" w:pos="9639"/>
                <w:tab w:val="right" w:pos="9781"/>
                <w:tab w:val="left" w:pos="10206"/>
                <w:tab w:val="right" w:pos="10376"/>
              </w:tabs>
              <w:jc w:val="both"/>
              <w:rPr>
                <w:rFonts w:cs="Arial"/>
                <w:snapToGrid w:val="0"/>
                <w:lang w:val="en-GB"/>
              </w:rPr>
            </w:pPr>
            <w:r w:rsidRPr="00FD2EE6">
              <w:rPr>
                <w:rFonts w:cs="Arial"/>
                <w:snapToGrid w:val="0"/>
              </w:rPr>
              <w:t>National Strategy on Climate Change</w:t>
            </w:r>
            <w:r>
              <w:rPr>
                <w:rFonts w:cs="Arial"/>
                <w:snapToGrid w:val="0"/>
              </w:rPr>
              <w:t xml:space="preserve"> 2013 ÷ 2020</w:t>
            </w:r>
          </w:p>
        </w:tc>
      </w:tr>
      <w:tr w:rsidR="00C7761C" w:rsidTr="00C7761C">
        <w:trPr>
          <w:trHeight w:val="300"/>
        </w:trPr>
        <w:tc>
          <w:tcPr>
            <w:tcW w:w="1101" w:type="dxa"/>
            <w:shd w:val="clear" w:color="auto" w:fill="auto"/>
          </w:tcPr>
          <w:p w:rsidR="00C7761C" w:rsidRDefault="00C7761C">
            <w:pPr>
              <w:tabs>
                <w:tab w:val="right" w:pos="9639"/>
                <w:tab w:val="right" w:pos="9781"/>
                <w:tab w:val="left" w:pos="10206"/>
                <w:tab w:val="right" w:pos="10376"/>
              </w:tabs>
              <w:jc w:val="both"/>
              <w:rPr>
                <w:rFonts w:cs="Arial"/>
                <w:snapToGrid w:val="0"/>
              </w:rPr>
            </w:pPr>
            <w:r>
              <w:rPr>
                <w:rFonts w:cs="Arial"/>
                <w:snapToGrid w:val="0"/>
              </w:rPr>
              <w:t>NFRMS</w:t>
            </w:r>
          </w:p>
        </w:tc>
        <w:tc>
          <w:tcPr>
            <w:tcW w:w="10730" w:type="dxa"/>
            <w:shd w:val="clear" w:color="auto" w:fill="auto"/>
          </w:tcPr>
          <w:p w:rsidR="00C7761C" w:rsidRPr="00FD2EE6" w:rsidRDefault="00C7761C">
            <w:pPr>
              <w:tabs>
                <w:tab w:val="right" w:pos="9639"/>
                <w:tab w:val="right" w:pos="9781"/>
                <w:tab w:val="left" w:pos="10206"/>
                <w:tab w:val="right" w:pos="10376"/>
              </w:tabs>
              <w:jc w:val="both"/>
              <w:rPr>
                <w:rFonts w:cs="Arial"/>
                <w:snapToGrid w:val="0"/>
              </w:rPr>
            </w:pPr>
            <w:r>
              <w:rPr>
                <w:rFonts w:cs="Arial"/>
                <w:snapToGrid w:val="0"/>
              </w:rPr>
              <w:t>National F</w:t>
            </w:r>
            <w:r w:rsidRPr="00FD2EE6">
              <w:rPr>
                <w:rFonts w:cs="Arial"/>
                <w:snapToGrid w:val="0"/>
              </w:rPr>
              <w:t xml:space="preserve">lood </w:t>
            </w:r>
            <w:r>
              <w:rPr>
                <w:rFonts w:cs="Arial"/>
                <w:snapToGrid w:val="0"/>
              </w:rPr>
              <w:t>Risk Management S</w:t>
            </w:r>
            <w:r w:rsidRPr="00FD2EE6">
              <w:rPr>
                <w:rFonts w:cs="Arial"/>
                <w:snapToGrid w:val="0"/>
              </w:rPr>
              <w:t>trategy</w:t>
            </w:r>
            <w:r>
              <w:rPr>
                <w:rFonts w:cs="Arial"/>
                <w:snapToGrid w:val="0"/>
              </w:rPr>
              <w:t xml:space="preserve"> on medium and long term (2010 ÷ 2035)</w:t>
            </w:r>
          </w:p>
        </w:tc>
      </w:tr>
      <w:tr w:rsidR="00C7761C" w:rsidTr="00C7761C">
        <w:trPr>
          <w:trHeight w:val="300"/>
        </w:trPr>
        <w:tc>
          <w:tcPr>
            <w:tcW w:w="1101" w:type="dxa"/>
            <w:shd w:val="clear" w:color="auto" w:fill="auto"/>
          </w:tcPr>
          <w:p w:rsidR="00C7761C" w:rsidRDefault="00C7761C">
            <w:pPr>
              <w:tabs>
                <w:tab w:val="right" w:pos="9639"/>
                <w:tab w:val="right" w:pos="9781"/>
                <w:tab w:val="left" w:pos="10206"/>
                <w:tab w:val="right" w:pos="10376"/>
              </w:tabs>
              <w:jc w:val="both"/>
              <w:rPr>
                <w:rFonts w:cs="Arial"/>
                <w:snapToGrid w:val="0"/>
              </w:rPr>
            </w:pPr>
            <w:r>
              <w:rPr>
                <w:rFonts w:cs="Arial"/>
                <w:snapToGrid w:val="0"/>
              </w:rPr>
              <w:t>PPPMDF</w:t>
            </w:r>
          </w:p>
        </w:tc>
        <w:tc>
          <w:tcPr>
            <w:tcW w:w="10730" w:type="dxa"/>
            <w:shd w:val="clear" w:color="auto" w:fill="auto"/>
          </w:tcPr>
          <w:p w:rsidR="00C7761C" w:rsidRDefault="00C7761C">
            <w:pPr>
              <w:tabs>
                <w:tab w:val="right" w:pos="9639"/>
                <w:tab w:val="right" w:pos="9781"/>
                <w:tab w:val="left" w:pos="10206"/>
                <w:tab w:val="right" w:pos="10376"/>
              </w:tabs>
              <w:jc w:val="both"/>
              <w:rPr>
                <w:rFonts w:cs="Arial"/>
                <w:snapToGrid w:val="0"/>
              </w:rPr>
            </w:pPr>
            <w:r>
              <w:rPr>
                <w:rFonts w:cs="Arial"/>
                <w:snapToGrid w:val="0"/>
              </w:rPr>
              <w:t xml:space="preserve">Plans for prevention, protection and mitigation of damages caused by floods </w:t>
            </w:r>
          </w:p>
        </w:tc>
      </w:tr>
      <w:tr w:rsidR="00966D25" w:rsidTr="00C7761C">
        <w:trPr>
          <w:trHeight w:val="300"/>
        </w:trPr>
        <w:tc>
          <w:tcPr>
            <w:tcW w:w="1101" w:type="dxa"/>
            <w:shd w:val="clear" w:color="auto" w:fill="auto"/>
          </w:tcPr>
          <w:p w:rsidR="00966D25" w:rsidRDefault="00966D25">
            <w:pPr>
              <w:tabs>
                <w:tab w:val="right" w:pos="9639"/>
                <w:tab w:val="right" w:pos="9781"/>
                <w:tab w:val="left" w:pos="10206"/>
                <w:tab w:val="right" w:pos="10376"/>
              </w:tabs>
              <w:jc w:val="both"/>
              <w:rPr>
                <w:rFonts w:cs="Arial"/>
                <w:snapToGrid w:val="0"/>
              </w:rPr>
            </w:pPr>
          </w:p>
        </w:tc>
        <w:tc>
          <w:tcPr>
            <w:tcW w:w="10730" w:type="dxa"/>
            <w:shd w:val="clear" w:color="auto" w:fill="auto"/>
          </w:tcPr>
          <w:p w:rsidR="00966D25" w:rsidRDefault="00966D25">
            <w:pPr>
              <w:tabs>
                <w:tab w:val="right" w:pos="9639"/>
                <w:tab w:val="right" w:pos="9781"/>
                <w:tab w:val="left" w:pos="10206"/>
                <w:tab w:val="right" w:pos="10376"/>
              </w:tabs>
              <w:jc w:val="both"/>
              <w:rPr>
                <w:rFonts w:cs="Arial"/>
                <w:snapToGrid w:val="0"/>
              </w:rPr>
            </w:pPr>
          </w:p>
        </w:tc>
      </w:tr>
    </w:tbl>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252B38">
      <w:pPr>
        <w:rPr>
          <w:snapToGrid w:val="0"/>
          <w:position w:val="-6"/>
          <w:lang w:val="en-GB"/>
        </w:rPr>
      </w:pPr>
    </w:p>
    <w:p w:rsidR="00252B38" w:rsidRDefault="008C6885">
      <w:pPr>
        <w:pStyle w:val="Title"/>
        <w:numPr>
          <w:ilvl w:val="0"/>
          <w:numId w:val="6"/>
        </w:numPr>
        <w:ind w:left="360" w:firstLine="0"/>
        <w:jc w:val="left"/>
        <w:rPr>
          <w:rFonts w:ascii="Arial" w:hAnsi="Arial" w:cs="Arial"/>
          <w:sz w:val="24"/>
          <w:szCs w:val="24"/>
          <w:lang w:val="en-GB"/>
        </w:rPr>
      </w:pPr>
      <w:bookmarkStart w:id="1" w:name="_Toc412114132"/>
      <w:bookmarkStart w:id="2" w:name="_Toc419704916"/>
      <w:r>
        <w:rPr>
          <w:rFonts w:ascii="Arial" w:hAnsi="Arial" w:cs="Arial"/>
          <w:sz w:val="24"/>
          <w:szCs w:val="24"/>
          <w:lang w:val="en-GB"/>
        </w:rPr>
        <w:lastRenderedPageBreak/>
        <w:t>INTRODUCTION</w:t>
      </w:r>
      <w:bookmarkEnd w:id="1"/>
      <w:bookmarkEnd w:id="2"/>
    </w:p>
    <w:p w:rsidR="00252B38" w:rsidRDefault="00252B38">
      <w:pPr>
        <w:rPr>
          <w:lang w:val="en-GB" w:eastAsia="x-none"/>
        </w:rPr>
      </w:pPr>
    </w:p>
    <w:p w:rsidR="00C7761C" w:rsidRDefault="00C7761C" w:rsidP="00C7761C">
      <w:pPr>
        <w:spacing w:before="60" w:after="60" w:line="288" w:lineRule="auto"/>
        <w:ind w:firstLine="720"/>
        <w:jc w:val="both"/>
        <w:rPr>
          <w:rFonts w:cs="Arial"/>
          <w:lang w:val="en-GB" w:eastAsia="hu-HU"/>
        </w:rPr>
      </w:pPr>
      <w:r>
        <w:rPr>
          <w:lang w:val="en-GB"/>
        </w:rPr>
        <w:t xml:space="preserve">The Strategic Environmental Assessment is carried out based on the requirements of the SEA Directive (European Council Directive no. 2001/42/EC on the assessment of effects of certain plans and programmes on the environment). </w:t>
      </w:r>
      <w:r>
        <w:rPr>
          <w:rFonts w:cs="Arial"/>
          <w:lang w:val="en-GB" w:eastAsia="hu-HU"/>
        </w:rPr>
        <w:t xml:space="preserve">The main elements recommended to be followed in such environmental assessments by law or guidelines are as follows: </w:t>
      </w:r>
    </w:p>
    <w:p w:rsidR="00C7761C" w:rsidRDefault="00C7761C" w:rsidP="00C7761C">
      <w:pPr>
        <w:numPr>
          <w:ilvl w:val="0"/>
          <w:numId w:val="40"/>
        </w:numPr>
        <w:spacing w:before="60" w:after="60" w:line="288" w:lineRule="auto"/>
        <w:ind w:left="1080"/>
        <w:jc w:val="both"/>
        <w:rPr>
          <w:rFonts w:cs="Arial"/>
          <w:lang w:val="en-GB" w:eastAsia="hu-HU"/>
        </w:rPr>
      </w:pPr>
      <w:r>
        <w:rPr>
          <w:rFonts w:cs="Arial"/>
          <w:lang w:val="en-GB" w:eastAsia="hu-HU"/>
        </w:rPr>
        <w:t>Description of key environmental aspects to be addressed;</w:t>
      </w:r>
    </w:p>
    <w:p w:rsidR="00C7761C" w:rsidRDefault="00C7761C" w:rsidP="00C7761C">
      <w:pPr>
        <w:numPr>
          <w:ilvl w:val="0"/>
          <w:numId w:val="40"/>
        </w:numPr>
        <w:spacing w:before="60" w:after="60" w:line="288" w:lineRule="auto"/>
        <w:ind w:left="1080"/>
        <w:jc w:val="both"/>
        <w:rPr>
          <w:rFonts w:cs="Arial"/>
          <w:lang w:val="en-GB" w:eastAsia="hu-HU"/>
        </w:rPr>
      </w:pPr>
      <w:r>
        <w:rPr>
          <w:rFonts w:cs="Arial"/>
          <w:lang w:val="en-GB" w:eastAsia="hu-HU"/>
        </w:rPr>
        <w:t xml:space="preserve">Description of the reference range of ​​environmental values to be submitted for analysis in the SEA report; </w:t>
      </w:r>
    </w:p>
    <w:p w:rsidR="00C7761C" w:rsidRDefault="00C7761C" w:rsidP="00C7761C">
      <w:pPr>
        <w:numPr>
          <w:ilvl w:val="0"/>
          <w:numId w:val="40"/>
        </w:numPr>
        <w:spacing w:before="60" w:after="60" w:line="288" w:lineRule="auto"/>
        <w:ind w:left="1080"/>
        <w:jc w:val="both"/>
        <w:rPr>
          <w:rFonts w:cs="Arial"/>
          <w:lang w:val="en-GB" w:eastAsia="hu-HU"/>
        </w:rPr>
      </w:pPr>
      <w:r>
        <w:rPr>
          <w:rFonts w:cs="Arial"/>
          <w:lang w:val="en-GB" w:eastAsia="hu-HU"/>
        </w:rPr>
        <w:t xml:space="preserve">Ways to identify the environmental impact of the plan/programme implementation; </w:t>
      </w:r>
    </w:p>
    <w:p w:rsidR="00C7761C" w:rsidRDefault="00C7761C" w:rsidP="00C7761C">
      <w:pPr>
        <w:numPr>
          <w:ilvl w:val="0"/>
          <w:numId w:val="40"/>
        </w:numPr>
        <w:spacing w:before="60" w:after="60" w:line="288" w:lineRule="auto"/>
        <w:ind w:left="1080"/>
        <w:jc w:val="both"/>
        <w:rPr>
          <w:rFonts w:cs="Arial"/>
          <w:lang w:val="en-GB" w:eastAsia="hu-HU"/>
        </w:rPr>
      </w:pPr>
      <w:r>
        <w:rPr>
          <w:rFonts w:cs="Arial"/>
          <w:lang w:val="en-GB" w:eastAsia="hu-HU"/>
        </w:rPr>
        <w:t>Assessment of capacities to address the challenges, risks and their prevention on the environment.</w:t>
      </w:r>
    </w:p>
    <w:p w:rsidR="00C7761C" w:rsidRDefault="00C7761C" w:rsidP="00C7761C">
      <w:pPr>
        <w:spacing w:before="60" w:after="60" w:line="288" w:lineRule="auto"/>
        <w:ind w:firstLine="709"/>
        <w:jc w:val="both"/>
        <w:rPr>
          <w:rFonts w:cs="Arial"/>
          <w:lang w:val="en-GB" w:eastAsia="hu-HU"/>
        </w:rPr>
      </w:pPr>
      <w:r>
        <w:rPr>
          <w:rFonts w:cs="Arial"/>
          <w:lang w:val="en-GB" w:eastAsia="hu-HU"/>
        </w:rPr>
        <w:t xml:space="preserve">The methodology used in the strategic environmental assessment includes the requirements of the above-mentioned documents and of the following methodological recommendations: </w:t>
      </w:r>
    </w:p>
    <w:p w:rsidR="00C7761C" w:rsidRDefault="00C7761C" w:rsidP="00C7761C">
      <w:pPr>
        <w:spacing w:before="60" w:after="60" w:line="288" w:lineRule="auto"/>
        <w:ind w:firstLine="709"/>
        <w:jc w:val="both"/>
        <w:rPr>
          <w:rFonts w:cs="Arial"/>
          <w:b/>
          <w:lang w:val="en-GB" w:eastAsia="hu-HU"/>
        </w:rPr>
      </w:pPr>
      <w:r>
        <w:rPr>
          <w:rFonts w:cs="Arial"/>
          <w:b/>
          <w:lang w:val="en-GB" w:eastAsia="hu-HU"/>
        </w:rPr>
        <w:t>"</w:t>
      </w:r>
      <w:r>
        <w:rPr>
          <w:rFonts w:cs="Arial"/>
          <w:b/>
          <w:i/>
          <w:lang w:val="en-GB" w:eastAsia="hu-HU"/>
        </w:rPr>
        <w:t>Guidance Note on Strategic  Environment Assessment in the context of ENI CBC</w:t>
      </w:r>
      <w:r>
        <w:rPr>
          <w:rFonts w:cs="Arial"/>
          <w:b/>
          <w:lang w:val="en-GB" w:eastAsia="hu-HU"/>
        </w:rPr>
        <w:t xml:space="preserve">" developed by INTERACT ENPI for the specific situation of Joint Operational Programmes and approved by the Directorate General for Development and Cooperation - Europe Aid (DG DEVCO) and the Directorate General for Environment (DG ENV). </w:t>
      </w:r>
    </w:p>
    <w:p w:rsidR="00C7761C" w:rsidRDefault="00C7761C" w:rsidP="00C7761C">
      <w:pPr>
        <w:spacing w:before="60" w:after="60" w:line="288" w:lineRule="auto"/>
        <w:jc w:val="both"/>
        <w:rPr>
          <w:rFonts w:cs="Arial"/>
          <w:lang w:val="en-GB" w:eastAsia="hu-HU"/>
        </w:rPr>
      </w:pPr>
    </w:p>
    <w:p w:rsidR="00C7761C" w:rsidRDefault="00C7761C" w:rsidP="00C7761C">
      <w:pPr>
        <w:spacing w:before="60" w:after="60" w:line="288" w:lineRule="auto"/>
        <w:ind w:firstLine="720"/>
        <w:jc w:val="both"/>
        <w:rPr>
          <w:rFonts w:cs="Arial"/>
          <w:lang w:val="en-GB" w:eastAsia="hu-HU"/>
        </w:rPr>
      </w:pPr>
      <w:r>
        <w:rPr>
          <w:rFonts w:cs="Arial"/>
          <w:lang w:val="en-GB" w:eastAsia="hu-HU"/>
        </w:rPr>
        <w:t xml:space="preserve">Considering the extent to which the Joint Operational </w:t>
      </w:r>
      <w:r>
        <w:rPr>
          <w:rFonts w:cs="Arial"/>
          <w:i/>
          <w:lang w:val="en-GB" w:eastAsia="hu-HU"/>
        </w:rPr>
        <w:t>Programme "Romania - Ukraine" 2014 ÷ 2020</w:t>
      </w:r>
      <w:r>
        <w:rPr>
          <w:rFonts w:cs="Arial"/>
          <w:lang w:val="en-GB" w:eastAsia="hu-HU"/>
        </w:rPr>
        <w:t xml:space="preserve"> provides a framework for future projects and other activities, development of it’s first version will be notified to the environmental competent authorities, for estimation of its impact  on environmental factors. In this procedure it is necessary </w:t>
      </w:r>
      <w:r>
        <w:rPr>
          <w:rFonts w:cs="Arial"/>
          <w:b/>
          <w:lang w:val="en-GB" w:eastAsia="hu-HU"/>
        </w:rPr>
        <w:t>to finalize the Programme in parallel with developing Environmental Report</w:t>
      </w:r>
      <w:r>
        <w:rPr>
          <w:rFonts w:cs="Arial"/>
          <w:lang w:val="en-GB" w:eastAsia="hu-HU"/>
        </w:rPr>
        <w:t>.</w:t>
      </w:r>
    </w:p>
    <w:p w:rsidR="00C7761C" w:rsidRDefault="00C7761C" w:rsidP="00C7761C">
      <w:pPr>
        <w:spacing w:before="60" w:after="60" w:line="288" w:lineRule="auto"/>
        <w:ind w:firstLine="720"/>
        <w:jc w:val="both"/>
        <w:rPr>
          <w:lang w:val="en-GB"/>
        </w:rPr>
      </w:pPr>
      <w:r>
        <w:rPr>
          <w:b/>
          <w:lang w:val="en-GB"/>
        </w:rPr>
        <w:t>The Environmental Report</w:t>
      </w:r>
      <w:r>
        <w:rPr>
          <w:lang w:val="en-GB"/>
        </w:rPr>
        <w:t xml:space="preserve"> is a part of the </w:t>
      </w:r>
      <w:r>
        <w:rPr>
          <w:b/>
          <w:lang w:val="en-GB"/>
        </w:rPr>
        <w:t xml:space="preserve">Programme </w:t>
      </w:r>
      <w:r>
        <w:rPr>
          <w:lang w:val="en-GB"/>
        </w:rPr>
        <w:t xml:space="preserve">documentation that identifies, describes and evaluates the likely significant environmental effects of its implementation and reasonable alternatives, taking into account the objectives and the related geographical area. </w:t>
      </w:r>
    </w:p>
    <w:p w:rsidR="00C7761C" w:rsidRDefault="00C7761C" w:rsidP="00C7761C">
      <w:pPr>
        <w:spacing w:before="60" w:after="60" w:line="288" w:lineRule="auto"/>
        <w:ind w:firstLine="720"/>
        <w:jc w:val="both"/>
        <w:rPr>
          <w:lang w:val="en-GB"/>
        </w:rPr>
      </w:pPr>
      <w:r>
        <w:rPr>
          <w:lang w:val="en-GB"/>
        </w:rPr>
        <w:t>The Environmental Report is drafted based on the program version available in April 2015.</w:t>
      </w:r>
    </w:p>
    <w:p w:rsidR="00C7761C" w:rsidRDefault="00C7761C" w:rsidP="00C7761C">
      <w:pPr>
        <w:spacing w:before="60" w:after="60" w:line="288" w:lineRule="auto"/>
        <w:ind w:firstLine="720"/>
        <w:jc w:val="both"/>
        <w:rPr>
          <w:lang w:val="en-GB"/>
        </w:rPr>
      </w:pPr>
      <w:r>
        <w:rPr>
          <w:lang w:val="en-GB"/>
        </w:rPr>
        <w:t xml:space="preserve">The development of the Strategic Environmental Assessment procedure is mandatory, the European Commission </w:t>
      </w:r>
      <w:r>
        <w:rPr>
          <w:b/>
          <w:lang w:val="en-GB"/>
        </w:rPr>
        <w:t>requiring the official opinion</w:t>
      </w:r>
      <w:r>
        <w:rPr>
          <w:lang w:val="en-GB"/>
        </w:rPr>
        <w:t xml:space="preserve"> on environmental assessment, for the approval of the Programme "</w:t>
      </w:r>
      <w:r>
        <w:rPr>
          <w:i/>
          <w:lang w:val="en-GB"/>
        </w:rPr>
        <w:t>Romania - Ukraine</w:t>
      </w:r>
      <w:r>
        <w:rPr>
          <w:lang w:val="en-GB"/>
        </w:rPr>
        <w:t>" 2014 ÷ 2020 under national and European legislation in force.</w:t>
      </w:r>
    </w:p>
    <w:p w:rsidR="00C7761C" w:rsidRDefault="00C7761C" w:rsidP="00C7761C">
      <w:pPr>
        <w:spacing w:before="60" w:after="60" w:line="288" w:lineRule="auto"/>
        <w:ind w:firstLine="720"/>
        <w:jc w:val="both"/>
        <w:rPr>
          <w:lang w:val="en-GB"/>
        </w:rPr>
      </w:pPr>
      <w:r>
        <w:rPr>
          <w:lang w:val="en-GB"/>
        </w:rPr>
        <w:t>In accordance with the SEA Directive (2001/42/EC), environmental assessment involves the following steps:</w:t>
      </w:r>
    </w:p>
    <w:p w:rsidR="00C7761C" w:rsidRDefault="00C7761C" w:rsidP="00C7761C">
      <w:pPr>
        <w:numPr>
          <w:ilvl w:val="0"/>
          <w:numId w:val="42"/>
        </w:numPr>
        <w:spacing w:before="60" w:after="60" w:line="288" w:lineRule="auto"/>
        <w:ind w:left="1080"/>
        <w:jc w:val="both"/>
        <w:rPr>
          <w:lang w:val="en-GB"/>
        </w:rPr>
      </w:pPr>
      <w:r>
        <w:rPr>
          <w:lang w:val="en-GB"/>
        </w:rPr>
        <w:t>Identification of environmental authorities of all countries involved (Romania, Ukraine);</w:t>
      </w:r>
    </w:p>
    <w:p w:rsidR="00C7761C" w:rsidRDefault="00C7761C" w:rsidP="00C7761C">
      <w:pPr>
        <w:numPr>
          <w:ilvl w:val="0"/>
          <w:numId w:val="42"/>
        </w:numPr>
        <w:spacing w:before="60" w:after="60" w:line="288" w:lineRule="auto"/>
        <w:ind w:left="1080"/>
        <w:jc w:val="both"/>
        <w:rPr>
          <w:lang w:val="en-GB"/>
        </w:rPr>
      </w:pPr>
      <w:r>
        <w:rPr>
          <w:lang w:val="en-GB"/>
        </w:rPr>
        <w:t xml:space="preserve">The decision on whether SEA is required or not, </w:t>
      </w:r>
    </w:p>
    <w:p w:rsidR="00C7761C" w:rsidRDefault="00C7761C" w:rsidP="00C7761C">
      <w:pPr>
        <w:spacing w:before="60" w:after="60" w:line="288" w:lineRule="auto"/>
        <w:jc w:val="both"/>
        <w:rPr>
          <w:lang w:val="en-GB"/>
        </w:rPr>
      </w:pPr>
      <w:r>
        <w:rPr>
          <w:lang w:val="en-GB"/>
        </w:rPr>
        <w:t>and if yes:</w:t>
      </w:r>
    </w:p>
    <w:p w:rsidR="00C7761C" w:rsidRDefault="00C7761C" w:rsidP="00C7761C">
      <w:pPr>
        <w:numPr>
          <w:ilvl w:val="0"/>
          <w:numId w:val="42"/>
        </w:numPr>
        <w:spacing w:before="60" w:after="60" w:line="288" w:lineRule="auto"/>
        <w:ind w:left="1080"/>
        <w:jc w:val="both"/>
        <w:rPr>
          <w:lang w:val="en-GB"/>
        </w:rPr>
      </w:pPr>
      <w:r>
        <w:rPr>
          <w:lang w:val="en-GB"/>
        </w:rPr>
        <w:t>Determining the SEA scope and development of the Environmental Report;</w:t>
      </w:r>
    </w:p>
    <w:p w:rsidR="00C7761C" w:rsidRDefault="00C7761C" w:rsidP="00C7761C">
      <w:pPr>
        <w:numPr>
          <w:ilvl w:val="0"/>
          <w:numId w:val="42"/>
        </w:numPr>
        <w:spacing w:before="60" w:after="60" w:line="288" w:lineRule="auto"/>
        <w:ind w:left="1080"/>
        <w:jc w:val="both"/>
        <w:rPr>
          <w:lang w:val="en-GB"/>
        </w:rPr>
      </w:pPr>
      <w:r>
        <w:rPr>
          <w:lang w:val="en-GB"/>
        </w:rPr>
        <w:lastRenderedPageBreak/>
        <w:t>Consultation of environmental authorities and the public;</w:t>
      </w:r>
    </w:p>
    <w:p w:rsidR="00C7761C" w:rsidRDefault="00C7761C" w:rsidP="00C7761C">
      <w:pPr>
        <w:numPr>
          <w:ilvl w:val="0"/>
          <w:numId w:val="42"/>
        </w:numPr>
        <w:spacing w:before="60" w:after="60" w:line="288" w:lineRule="auto"/>
        <w:ind w:left="1080"/>
        <w:jc w:val="both"/>
        <w:rPr>
          <w:lang w:val="en-GB"/>
        </w:rPr>
      </w:pPr>
      <w:r>
        <w:rPr>
          <w:lang w:val="en-GB"/>
        </w:rPr>
        <w:t>Inclusion of findings and results of consultations in the Environmental Report;</w:t>
      </w:r>
    </w:p>
    <w:p w:rsidR="00C7761C" w:rsidRDefault="00C7761C" w:rsidP="00C7761C">
      <w:pPr>
        <w:numPr>
          <w:ilvl w:val="0"/>
          <w:numId w:val="42"/>
        </w:numPr>
        <w:spacing w:before="60" w:after="60" w:line="288" w:lineRule="auto"/>
        <w:ind w:left="1080"/>
        <w:jc w:val="both"/>
        <w:rPr>
          <w:lang w:val="en-GB"/>
        </w:rPr>
      </w:pPr>
      <w:r>
        <w:rPr>
          <w:lang w:val="en-GB"/>
        </w:rPr>
        <w:t>Adequate monitoring of recommendations;</w:t>
      </w:r>
    </w:p>
    <w:p w:rsidR="00C7761C" w:rsidRDefault="00C7761C" w:rsidP="00C7761C">
      <w:pPr>
        <w:numPr>
          <w:ilvl w:val="0"/>
          <w:numId w:val="42"/>
        </w:numPr>
        <w:spacing w:before="60" w:after="60" w:line="288" w:lineRule="auto"/>
        <w:ind w:left="1080"/>
        <w:jc w:val="both"/>
        <w:rPr>
          <w:lang w:val="en-GB"/>
        </w:rPr>
      </w:pPr>
      <w:r>
        <w:rPr>
          <w:lang w:val="en-GB"/>
        </w:rPr>
        <w:t>Notification of the authorities consulted and public on the programme approval.</w:t>
      </w:r>
    </w:p>
    <w:p w:rsidR="00C7761C" w:rsidRDefault="00C7761C" w:rsidP="00C7761C">
      <w:pPr>
        <w:spacing w:before="60" w:after="60" w:line="288" w:lineRule="auto"/>
        <w:ind w:firstLine="720"/>
        <w:jc w:val="both"/>
        <w:rPr>
          <w:lang w:val="en-GB"/>
        </w:rPr>
      </w:pPr>
    </w:p>
    <w:p w:rsidR="00C7761C" w:rsidRDefault="00C7761C" w:rsidP="00C7761C">
      <w:pPr>
        <w:spacing w:before="60" w:after="60" w:line="288" w:lineRule="auto"/>
        <w:ind w:firstLine="720"/>
        <w:jc w:val="both"/>
        <w:rPr>
          <w:lang w:val="en-GB"/>
        </w:rPr>
      </w:pPr>
      <w:r>
        <w:rPr>
          <w:b/>
          <w:i/>
          <w:lang w:val="en-GB"/>
        </w:rPr>
        <w:t>Environmental assessment is mandatory</w:t>
      </w:r>
      <w:r>
        <w:rPr>
          <w:lang w:val="en-GB"/>
        </w:rPr>
        <w:t xml:space="preserve"> when programmes include projects covered by the EIA Directive in the sectors covered by Article 3.2 (energy, industry, transport, waste management, water management, telecommunications, tourism, town and country planning, land use, etc) and projects with significant environmental impact in other sectors, under Article 3.4.</w:t>
      </w:r>
    </w:p>
    <w:p w:rsidR="00C7761C" w:rsidRDefault="00C7761C" w:rsidP="00C7761C">
      <w:pPr>
        <w:spacing w:before="60" w:after="60" w:line="288" w:lineRule="auto"/>
        <w:ind w:firstLine="720"/>
        <w:jc w:val="both"/>
        <w:rPr>
          <w:b/>
          <w:lang w:val="en-GB"/>
        </w:rPr>
      </w:pPr>
      <w:r>
        <w:rPr>
          <w:b/>
          <w:lang w:val="en-GB"/>
        </w:rPr>
        <w:t>ENI CBC Programmes with Large Infrastructure Projects should perform a SEA procedure.</w:t>
      </w:r>
    </w:p>
    <w:p w:rsidR="00C7761C" w:rsidRDefault="00C7761C" w:rsidP="00C7761C">
      <w:pPr>
        <w:spacing w:before="60" w:after="60" w:line="288" w:lineRule="auto"/>
        <w:ind w:firstLine="720"/>
        <w:jc w:val="both"/>
        <w:rPr>
          <w:lang w:val="en-GB"/>
        </w:rPr>
      </w:pPr>
    </w:p>
    <w:p w:rsidR="00C7761C" w:rsidRDefault="00C7761C" w:rsidP="00C7761C">
      <w:pPr>
        <w:spacing w:before="60" w:after="60" w:line="288" w:lineRule="auto"/>
        <w:ind w:firstLine="634"/>
        <w:jc w:val="both"/>
        <w:rPr>
          <w:lang w:val="en-GB"/>
        </w:rPr>
      </w:pPr>
      <w:r>
        <w:rPr>
          <w:lang w:val="en-GB"/>
        </w:rPr>
        <w:t xml:space="preserve">Development of the </w:t>
      </w:r>
      <w:r>
        <w:rPr>
          <w:b/>
          <w:lang w:val="en-GB"/>
        </w:rPr>
        <w:t>Environmental Report</w:t>
      </w:r>
      <w:r>
        <w:rPr>
          <w:lang w:val="en-GB"/>
        </w:rPr>
        <w:t xml:space="preserve"> involves pursuing the following relevant steps: </w:t>
      </w:r>
    </w:p>
    <w:p w:rsidR="00C7761C" w:rsidRDefault="00C7761C" w:rsidP="00C7761C">
      <w:pPr>
        <w:numPr>
          <w:ilvl w:val="0"/>
          <w:numId w:val="41"/>
        </w:numPr>
        <w:spacing w:before="60" w:after="60" w:line="288" w:lineRule="auto"/>
        <w:ind w:left="1080"/>
        <w:jc w:val="both"/>
        <w:rPr>
          <w:lang w:val="en-GB"/>
        </w:rPr>
      </w:pPr>
      <w:r>
        <w:rPr>
          <w:lang w:val="en-GB"/>
        </w:rPr>
        <w:t xml:space="preserve">Review of the </w:t>
      </w:r>
      <w:r>
        <w:rPr>
          <w:b/>
          <w:lang w:val="en-GB"/>
        </w:rPr>
        <w:t>environmental status at national level</w:t>
      </w:r>
      <w:r>
        <w:rPr>
          <w:lang w:val="en-GB"/>
        </w:rPr>
        <w:t xml:space="preserve"> (geographical areas specified), relevant aspects for the Ro-Ua Programme, respectively, taking into account existing data and information; </w:t>
      </w:r>
    </w:p>
    <w:p w:rsidR="00C7761C" w:rsidRDefault="00C7761C" w:rsidP="00C7761C">
      <w:pPr>
        <w:numPr>
          <w:ilvl w:val="0"/>
          <w:numId w:val="41"/>
        </w:numPr>
        <w:spacing w:before="60" w:after="60" w:line="288" w:lineRule="auto"/>
        <w:ind w:left="1080"/>
        <w:jc w:val="both"/>
        <w:rPr>
          <w:lang w:val="en-GB"/>
        </w:rPr>
      </w:pPr>
      <w:r>
        <w:rPr>
          <w:lang w:val="en-GB"/>
        </w:rPr>
        <w:t xml:space="preserve">Characterize the current state of the environment, and identify a set of </w:t>
      </w:r>
      <w:r>
        <w:rPr>
          <w:b/>
          <w:lang w:val="en-GB"/>
        </w:rPr>
        <w:t>environmental matters and environmental issues</w:t>
      </w:r>
      <w:r>
        <w:rPr>
          <w:lang w:val="en-GB"/>
        </w:rPr>
        <w:t xml:space="preserve"> that are relevant to the concerned area and that can be addressed directly through the cooperation programme; </w:t>
      </w:r>
    </w:p>
    <w:p w:rsidR="00C7761C" w:rsidRDefault="00C7761C" w:rsidP="00C7761C">
      <w:pPr>
        <w:numPr>
          <w:ilvl w:val="0"/>
          <w:numId w:val="41"/>
        </w:numPr>
        <w:spacing w:before="60" w:after="60" w:line="288" w:lineRule="auto"/>
        <w:ind w:left="1080"/>
        <w:jc w:val="both"/>
        <w:rPr>
          <w:lang w:val="en-GB"/>
        </w:rPr>
      </w:pPr>
      <w:r>
        <w:rPr>
          <w:lang w:val="en-GB"/>
        </w:rPr>
        <w:t xml:space="preserve">For the environmental matters and environmental issues identified, there will be set </w:t>
      </w:r>
      <w:r>
        <w:rPr>
          <w:b/>
          <w:lang w:val="en-GB"/>
        </w:rPr>
        <w:t>relevant environmental objectives</w:t>
      </w:r>
      <w:r>
        <w:rPr>
          <w:lang w:val="en-GB"/>
        </w:rPr>
        <w:t xml:space="preserve"> which should be addressed by the Ro-Ua Programme; </w:t>
      </w:r>
    </w:p>
    <w:p w:rsidR="00C7761C" w:rsidRDefault="00C7761C" w:rsidP="00C7761C">
      <w:pPr>
        <w:numPr>
          <w:ilvl w:val="0"/>
          <w:numId w:val="41"/>
        </w:numPr>
        <w:spacing w:before="60" w:after="60" w:line="288" w:lineRule="auto"/>
        <w:ind w:left="1080"/>
        <w:jc w:val="both"/>
        <w:rPr>
          <w:lang w:val="en-GB"/>
        </w:rPr>
      </w:pPr>
      <w:r>
        <w:rPr>
          <w:lang w:val="en-GB"/>
        </w:rPr>
        <w:t xml:space="preserve">The possible development of the environmental status (of those environmental aspects identified), while not implementing the objectives of the Ro-Ua Programme, </w:t>
      </w:r>
      <w:r>
        <w:rPr>
          <w:b/>
          <w:lang w:val="en-GB"/>
        </w:rPr>
        <w:t>(Alternative "0");</w:t>
      </w:r>
    </w:p>
    <w:p w:rsidR="00C7761C" w:rsidRDefault="00C7761C" w:rsidP="00C7761C">
      <w:pPr>
        <w:numPr>
          <w:ilvl w:val="0"/>
          <w:numId w:val="41"/>
        </w:numPr>
        <w:spacing w:before="60" w:after="60" w:line="288" w:lineRule="auto"/>
        <w:ind w:left="1080"/>
        <w:jc w:val="both"/>
        <w:rPr>
          <w:lang w:val="en-GB"/>
        </w:rPr>
      </w:pPr>
      <w:r>
        <w:rPr>
          <w:lang w:val="en-GB"/>
        </w:rPr>
        <w:t>A</w:t>
      </w:r>
      <w:r>
        <w:rPr>
          <w:b/>
          <w:lang w:val="en-GB"/>
        </w:rPr>
        <w:t>ssessment the environmental effects</w:t>
      </w:r>
      <w:r>
        <w:rPr>
          <w:lang w:val="en-GB"/>
        </w:rPr>
        <w:t xml:space="preserve"> of implementing the Ro-Ua Programme, respectively, by analysing how its objectives and proposed measures contribute to achieving the relevant environmental objectives; </w:t>
      </w:r>
    </w:p>
    <w:p w:rsidR="00C7761C" w:rsidRDefault="00C7761C" w:rsidP="00C7761C">
      <w:pPr>
        <w:numPr>
          <w:ilvl w:val="0"/>
          <w:numId w:val="41"/>
        </w:numPr>
        <w:spacing w:before="60" w:after="60" w:line="288" w:lineRule="auto"/>
        <w:ind w:left="1080"/>
        <w:jc w:val="both"/>
        <w:rPr>
          <w:lang w:val="en-GB"/>
        </w:rPr>
      </w:pPr>
      <w:r>
        <w:rPr>
          <w:lang w:val="en-GB"/>
        </w:rPr>
        <w:t xml:space="preserve">Development a </w:t>
      </w:r>
      <w:r>
        <w:rPr>
          <w:b/>
          <w:lang w:val="en-GB"/>
        </w:rPr>
        <w:t>cumulative assessment</w:t>
      </w:r>
      <w:r>
        <w:rPr>
          <w:lang w:val="en-GB"/>
        </w:rPr>
        <w:t xml:space="preserve"> that can provide an overview of possible future developments of the environmental status in case of implementation of the Ro-Ua Programme; </w:t>
      </w:r>
    </w:p>
    <w:p w:rsidR="00C7761C" w:rsidRDefault="00C7761C" w:rsidP="00C7761C">
      <w:pPr>
        <w:numPr>
          <w:ilvl w:val="0"/>
          <w:numId w:val="41"/>
        </w:numPr>
        <w:spacing w:before="60" w:after="60" w:line="288" w:lineRule="auto"/>
        <w:ind w:left="1080"/>
        <w:jc w:val="both"/>
        <w:rPr>
          <w:lang w:val="en-GB"/>
        </w:rPr>
      </w:pPr>
      <w:r>
        <w:rPr>
          <w:color w:val="222222"/>
        </w:rPr>
        <w:t>A list of indicators proposed for monitoring the Programme effects on the environment will be provided;</w:t>
      </w:r>
    </w:p>
    <w:p w:rsidR="00C7761C" w:rsidRDefault="00C7761C" w:rsidP="00C7761C">
      <w:pPr>
        <w:numPr>
          <w:ilvl w:val="0"/>
          <w:numId w:val="41"/>
        </w:numPr>
        <w:spacing w:before="60" w:after="60" w:line="288" w:lineRule="auto"/>
        <w:ind w:left="1080"/>
        <w:jc w:val="both"/>
        <w:rPr>
          <w:lang w:val="en-GB"/>
        </w:rPr>
      </w:pPr>
      <w:r>
        <w:rPr>
          <w:b/>
          <w:lang w:val="en-GB"/>
        </w:rPr>
        <w:t>Recommendations</w:t>
      </w:r>
      <w:r>
        <w:rPr>
          <w:lang w:val="en-GB"/>
        </w:rPr>
        <w:t xml:space="preserve"> on the prevention, reduction and offset of any potential adverse environmental impacts, associated with implementation of the Ro-Ua Programme will be drafted. </w:t>
      </w:r>
    </w:p>
    <w:p w:rsidR="00C7761C" w:rsidRDefault="00C7761C" w:rsidP="00C7761C">
      <w:pPr>
        <w:spacing w:before="60" w:after="60" w:line="288" w:lineRule="auto"/>
        <w:ind w:left="1080"/>
        <w:jc w:val="both"/>
        <w:rPr>
          <w:lang w:val="en-GB"/>
        </w:rPr>
      </w:pPr>
    </w:p>
    <w:p w:rsidR="00C7761C" w:rsidRDefault="00C7761C" w:rsidP="00C7761C">
      <w:pPr>
        <w:rPr>
          <w:lang w:val="en-GB"/>
        </w:rPr>
      </w:pPr>
    </w:p>
    <w:p w:rsidR="00C7761C" w:rsidRDefault="00C7761C" w:rsidP="00C7761C">
      <w:pPr>
        <w:pStyle w:val="Title"/>
        <w:numPr>
          <w:ilvl w:val="0"/>
          <w:numId w:val="6"/>
        </w:numPr>
        <w:jc w:val="left"/>
        <w:rPr>
          <w:rFonts w:ascii="Arial" w:hAnsi="Arial" w:cs="Arial"/>
          <w:sz w:val="24"/>
          <w:szCs w:val="24"/>
          <w:lang w:val="en-GB"/>
        </w:rPr>
      </w:pPr>
      <w:bookmarkStart w:id="3" w:name="_Toc419704917"/>
      <w:r>
        <w:rPr>
          <w:rFonts w:ascii="Arial" w:hAnsi="Arial" w:cs="Arial"/>
          <w:sz w:val="24"/>
          <w:szCs w:val="24"/>
          <w:lang w:val="en-GB"/>
        </w:rPr>
        <w:lastRenderedPageBreak/>
        <w:t>Summary of the content, MAIN OBJECTIVES OF THE PROGRAMME AND RELATIONSHIP WITH OTHER RELEVANT PLANS AND PROGRAMMES</w:t>
      </w:r>
      <w:bookmarkEnd w:id="3"/>
    </w:p>
    <w:p w:rsidR="00C7761C" w:rsidRDefault="00C7761C" w:rsidP="00C7761C">
      <w:pPr>
        <w:autoSpaceDE w:val="0"/>
        <w:autoSpaceDN w:val="0"/>
        <w:adjustRightInd w:val="0"/>
        <w:spacing w:before="60" w:after="60" w:line="288" w:lineRule="auto"/>
        <w:contextualSpacing/>
        <w:jc w:val="both"/>
        <w:rPr>
          <w:rFonts w:eastAsia="EUAlbertina-Regular-Identity-H" w:cs="Arial"/>
          <w:lang w:val="en-GB" w:eastAsia="en-US"/>
        </w:rPr>
      </w:pPr>
    </w:p>
    <w:p w:rsidR="00C7761C" w:rsidRDefault="00C7761C" w:rsidP="00C7761C">
      <w:pPr>
        <w:pStyle w:val="Heading1"/>
        <w:numPr>
          <w:ilvl w:val="1"/>
          <w:numId w:val="6"/>
        </w:numPr>
        <w:ind w:left="360" w:hanging="360"/>
        <w:rPr>
          <w:rFonts w:ascii="Arial" w:eastAsia="EUAlbertina-Regular-Identity-H" w:hAnsi="Arial" w:cs="Arial"/>
          <w:sz w:val="24"/>
          <w:szCs w:val="24"/>
          <w:lang w:val="en-GB" w:eastAsia="en-US"/>
        </w:rPr>
      </w:pPr>
      <w:r>
        <w:rPr>
          <w:rFonts w:ascii="Arial" w:eastAsia="EUAlbertina-Regular-Identity-H" w:hAnsi="Arial" w:cs="Arial"/>
          <w:sz w:val="24"/>
          <w:szCs w:val="24"/>
          <w:lang w:val="en-GB" w:eastAsia="en-US"/>
        </w:rPr>
        <w:t xml:space="preserve"> </w:t>
      </w:r>
      <w:bookmarkStart w:id="4" w:name="_Toc419704918"/>
      <w:r>
        <w:rPr>
          <w:rFonts w:ascii="Arial" w:eastAsia="EUAlbertina-Regular-Identity-H" w:hAnsi="Arial" w:cs="Arial"/>
          <w:sz w:val="24"/>
          <w:szCs w:val="24"/>
          <w:lang w:val="en-GB" w:eastAsia="en-US"/>
        </w:rPr>
        <w:t>Baseline information</w:t>
      </w:r>
      <w:bookmarkEnd w:id="4"/>
    </w:p>
    <w:p w:rsidR="00C7761C" w:rsidRDefault="00C7761C" w:rsidP="00C7761C">
      <w:pPr>
        <w:rPr>
          <w:rFonts w:eastAsia="EUAlbertina-Regular-Identity-H"/>
          <w:lang w:val="en-GB" w:eastAsia="en-US"/>
        </w:rPr>
      </w:pPr>
    </w:p>
    <w:p w:rsidR="00C7761C" w:rsidRDefault="00C7761C" w:rsidP="00C7761C">
      <w:pPr>
        <w:spacing w:before="60" w:after="60" w:line="288" w:lineRule="auto"/>
        <w:ind w:firstLine="720"/>
        <w:jc w:val="both"/>
        <w:rPr>
          <w:szCs w:val="20"/>
          <w:lang w:val="en-GB"/>
        </w:rPr>
      </w:pPr>
      <w:r>
        <w:rPr>
          <w:szCs w:val="20"/>
          <w:lang w:val="en-GB"/>
        </w:rPr>
        <w:t>During 2014 ÷ 2020, the European Union will finance through the European Neighbourhood Instrument (ENI), a bilateral cross-border cooperation programme (CBC) between Romania - Ukraine, as a continuation of the Joint Operational Programme "Romania – Ukraine - Republic of Moldova 2007÷2013".</w:t>
      </w:r>
    </w:p>
    <w:p w:rsidR="00C7761C" w:rsidRDefault="00C7761C" w:rsidP="00C7761C">
      <w:pPr>
        <w:spacing w:before="60" w:after="60" w:line="288" w:lineRule="auto"/>
        <w:ind w:firstLine="720"/>
        <w:jc w:val="both"/>
        <w:rPr>
          <w:lang w:val="en-GB"/>
        </w:rPr>
      </w:pPr>
      <w:r>
        <w:rPr>
          <w:lang w:val="en-GB"/>
        </w:rPr>
        <w:t>The main EU regulations in force for the development of the cross-border cooperation programmes financed by ENI are as follows:</w:t>
      </w:r>
    </w:p>
    <w:p w:rsidR="00C7761C" w:rsidRDefault="00C7761C" w:rsidP="00C7761C">
      <w:pPr>
        <w:numPr>
          <w:ilvl w:val="0"/>
          <w:numId w:val="38"/>
        </w:numPr>
        <w:spacing w:before="60" w:after="60" w:line="288" w:lineRule="auto"/>
        <w:jc w:val="both"/>
        <w:rPr>
          <w:rFonts w:cs="Arial"/>
          <w:lang w:val="en-GB"/>
        </w:rPr>
      </w:pPr>
      <w:r>
        <w:rPr>
          <w:rFonts w:cs="Arial"/>
          <w:lang w:val="en-GB"/>
        </w:rPr>
        <w:t>Regulation (EU) no. 232/2014 of the European Parliament and of the Council establishing a European Neighbourhood Instrument;</w:t>
      </w:r>
    </w:p>
    <w:p w:rsidR="00C7761C" w:rsidRDefault="00C7761C" w:rsidP="00C7761C">
      <w:pPr>
        <w:numPr>
          <w:ilvl w:val="0"/>
          <w:numId w:val="38"/>
        </w:numPr>
        <w:spacing w:before="60" w:after="60" w:line="288" w:lineRule="auto"/>
        <w:jc w:val="both"/>
        <w:rPr>
          <w:rFonts w:cs="Arial"/>
          <w:lang w:val="en-GB"/>
        </w:rPr>
      </w:pPr>
      <w:r>
        <w:rPr>
          <w:rFonts w:cs="Arial"/>
          <w:lang w:val="en-GB"/>
        </w:rPr>
        <w:t>Regulation (EU) no. 236/2014 of the European Parliament and of the Council of 11 March 2014 laying down common rules and procedures for the implementation of EU’s instruments financing external action;</w:t>
      </w:r>
    </w:p>
    <w:p w:rsidR="00C7761C" w:rsidRDefault="00C7761C" w:rsidP="00C7761C">
      <w:pPr>
        <w:numPr>
          <w:ilvl w:val="0"/>
          <w:numId w:val="38"/>
        </w:numPr>
        <w:spacing w:before="60" w:after="60" w:line="288" w:lineRule="auto"/>
        <w:jc w:val="both"/>
        <w:rPr>
          <w:rFonts w:cs="Arial"/>
          <w:lang w:val="en-GB"/>
        </w:rPr>
      </w:pPr>
      <w:r>
        <w:rPr>
          <w:rFonts w:cs="Arial"/>
          <w:lang w:val="en-GB"/>
        </w:rPr>
        <w:t xml:space="preserve">Commission Implementing Regulation (EU) no. 897/2014 of 18 August 2014, </w:t>
      </w:r>
      <w:r>
        <w:rPr>
          <w:bCs/>
          <w:lang w:val="en-GB"/>
        </w:rPr>
        <w:t>laying down specific provisions for the implementation of cross-border cooperation programmes financed under Regulation (EU) No 232/2014 of the European Parliament and the Council establishing a European Neighbourhood Instrument</w:t>
      </w:r>
      <w:r>
        <w:rPr>
          <w:rFonts w:cs="Arial"/>
          <w:lang w:val="en-GB"/>
        </w:rPr>
        <w:t xml:space="preserve">; </w:t>
      </w:r>
    </w:p>
    <w:p w:rsidR="00C7761C" w:rsidRDefault="00C7761C" w:rsidP="00C7761C">
      <w:pPr>
        <w:numPr>
          <w:ilvl w:val="0"/>
          <w:numId w:val="38"/>
        </w:numPr>
        <w:spacing w:before="60" w:after="60" w:line="288" w:lineRule="auto"/>
        <w:jc w:val="both"/>
        <w:rPr>
          <w:rFonts w:cs="Arial"/>
          <w:lang w:val="en-GB"/>
        </w:rPr>
      </w:pPr>
      <w:r>
        <w:rPr>
          <w:rFonts w:cs="Arial"/>
          <w:lang w:val="en-GB"/>
        </w:rPr>
        <w:t>Programming Document of the EU support for cross-border cooperation (2014÷2020);</w:t>
      </w:r>
    </w:p>
    <w:p w:rsidR="00C7761C" w:rsidRDefault="00C7761C" w:rsidP="00C7761C">
      <w:pPr>
        <w:numPr>
          <w:ilvl w:val="0"/>
          <w:numId w:val="38"/>
        </w:numPr>
        <w:spacing w:before="60" w:after="60" w:line="288" w:lineRule="auto"/>
        <w:jc w:val="both"/>
        <w:rPr>
          <w:rFonts w:cs="Arial"/>
          <w:lang w:val="en-GB"/>
        </w:rPr>
      </w:pPr>
      <w:r>
        <w:rPr>
          <w:rFonts w:cs="Arial"/>
          <w:lang w:val="en-GB"/>
        </w:rPr>
        <w:t xml:space="preserve">Commission Implementing Regulation C(2014) 7172 final of 08.10.2014 </w:t>
      </w:r>
      <w:r>
        <w:rPr>
          <w:rFonts w:cs="Arial"/>
          <w:bCs/>
          <w:lang w:val="en-GB"/>
        </w:rPr>
        <w:t>adopting a programming document for European Union support to ENI Cross-Border Cooperation for the period 2014-2020</w:t>
      </w:r>
      <w:r>
        <w:rPr>
          <w:rFonts w:cs="Arial"/>
          <w:lang w:val="en-GB"/>
        </w:rPr>
        <w:t>.</w:t>
      </w:r>
    </w:p>
    <w:p w:rsidR="00C7761C" w:rsidRDefault="00C7761C" w:rsidP="00C7761C">
      <w:pPr>
        <w:spacing w:before="60" w:after="60" w:line="288" w:lineRule="auto"/>
        <w:ind w:firstLine="763"/>
        <w:jc w:val="both"/>
        <w:rPr>
          <w:rFonts w:eastAsia="EUAlbertina-Regular-Identity-H"/>
          <w:lang w:val="en-GB" w:eastAsia="en-US"/>
        </w:rPr>
      </w:pPr>
    </w:p>
    <w:p w:rsidR="00C7761C" w:rsidRDefault="00C7761C" w:rsidP="00C7761C">
      <w:pPr>
        <w:spacing w:before="60" w:after="60" w:line="288" w:lineRule="auto"/>
        <w:ind w:firstLine="765"/>
        <w:jc w:val="both"/>
        <w:rPr>
          <w:rFonts w:eastAsia="EUAlbertina-Regular-Identity-H"/>
          <w:lang w:val="en-GB" w:eastAsia="en-US"/>
        </w:rPr>
      </w:pPr>
      <w:r>
        <w:rPr>
          <w:rFonts w:eastAsia="EUAlbertina-Regular-Identity-H"/>
          <w:lang w:val="en-GB" w:eastAsia="en-US"/>
        </w:rPr>
        <w:t xml:space="preserve">Cross border cooperation at the external borders of the EU continues to represent a top priority for the European Union during the 2014 </w:t>
      </w:r>
      <w:r>
        <w:rPr>
          <w:rFonts w:eastAsia="EUAlbertina-Regular-Identity-H" w:cs="Arial"/>
          <w:lang w:val="en-GB" w:eastAsia="en-US"/>
        </w:rPr>
        <w:t>÷</w:t>
      </w:r>
      <w:r>
        <w:rPr>
          <w:rFonts w:eastAsia="EUAlbertina-Regular-Identity-H"/>
          <w:lang w:val="en-GB" w:eastAsia="en-US"/>
        </w:rPr>
        <w:t xml:space="preserve"> 2020 programming period. The ENI CBC aims to create </w:t>
      </w:r>
      <w:r>
        <w:rPr>
          <w:rFonts w:eastAsia="EUAlbertina-Regular-Identity-H"/>
          <w:i/>
          <w:lang w:val="en-GB" w:eastAsia="en-US"/>
        </w:rPr>
        <w:t>“an area of</w:t>
      </w:r>
      <w:r>
        <w:rPr>
          <w:rFonts w:eastAsia="EUAlbertina-Regular-Identity-H"/>
          <w:lang w:val="en-GB" w:eastAsia="en-US"/>
        </w:rPr>
        <w:t xml:space="preserve"> </w:t>
      </w:r>
      <w:r>
        <w:rPr>
          <w:rFonts w:eastAsia="EUAlbertina-Regular-Identity-H"/>
          <w:i/>
          <w:lang w:val="en-GB" w:eastAsia="en-US"/>
        </w:rPr>
        <w:t>shared prosperity and good neighbourliness between EU Member States and their neighbours”</w:t>
      </w:r>
      <w:r>
        <w:rPr>
          <w:rFonts w:eastAsia="EUAlbertina-Regular-Identity-H"/>
          <w:lang w:val="en-GB" w:eastAsia="en-US"/>
        </w:rPr>
        <w:t>. To this purpose the ENI has three strategic objectives:</w:t>
      </w:r>
    </w:p>
    <w:p w:rsidR="00C7761C" w:rsidRDefault="00C7761C" w:rsidP="00C7761C">
      <w:pPr>
        <w:numPr>
          <w:ilvl w:val="0"/>
          <w:numId w:val="39"/>
        </w:numPr>
        <w:spacing w:before="60" w:after="60" w:line="288" w:lineRule="auto"/>
        <w:jc w:val="both"/>
        <w:rPr>
          <w:rFonts w:eastAsia="EUAlbertina-Regular-Identity-H"/>
          <w:lang w:val="en-GB" w:eastAsia="en-US"/>
        </w:rPr>
      </w:pPr>
      <w:r>
        <w:rPr>
          <w:rFonts w:eastAsia="EUAlbertina-Regular-Identity-H"/>
          <w:lang w:val="en-GB" w:eastAsia="en-US"/>
        </w:rPr>
        <w:t xml:space="preserve">(A) promote economic and social development in regions on both sides of common borders; </w:t>
      </w:r>
    </w:p>
    <w:p w:rsidR="00C7761C" w:rsidRDefault="00C7761C" w:rsidP="00C7761C">
      <w:pPr>
        <w:numPr>
          <w:ilvl w:val="0"/>
          <w:numId w:val="39"/>
        </w:numPr>
        <w:spacing w:before="60" w:after="60" w:line="288" w:lineRule="auto"/>
        <w:jc w:val="both"/>
        <w:rPr>
          <w:rFonts w:eastAsia="EUAlbertina-Regular-Identity-H"/>
          <w:lang w:val="en-GB" w:eastAsia="en-US"/>
        </w:rPr>
      </w:pPr>
      <w:r>
        <w:rPr>
          <w:rFonts w:eastAsia="EUAlbertina-Regular-Identity-H"/>
          <w:lang w:val="en-GB" w:eastAsia="en-US"/>
        </w:rPr>
        <w:t xml:space="preserve">(B) address common challenges in environment, public health, safety and security; </w:t>
      </w:r>
    </w:p>
    <w:p w:rsidR="00C7761C" w:rsidRDefault="00C7761C" w:rsidP="00C7761C">
      <w:pPr>
        <w:numPr>
          <w:ilvl w:val="0"/>
          <w:numId w:val="39"/>
        </w:numPr>
        <w:spacing w:before="60" w:after="60" w:line="288" w:lineRule="auto"/>
        <w:jc w:val="both"/>
        <w:rPr>
          <w:rFonts w:eastAsia="EUAlbertina-Regular-Identity-H"/>
          <w:lang w:val="en-GB" w:eastAsia="en-US"/>
        </w:rPr>
      </w:pPr>
      <w:r>
        <w:rPr>
          <w:rFonts w:eastAsia="EUAlbertina-Regular-Identity-H"/>
          <w:lang w:val="en-GB" w:eastAsia="en-US"/>
        </w:rPr>
        <w:t>(C) promotion of better conditions and modalities for ensuring the mobility of persons, goods and capital.</w:t>
      </w:r>
    </w:p>
    <w:p w:rsidR="00C7761C" w:rsidRDefault="00C7761C" w:rsidP="00C7761C">
      <w:pPr>
        <w:ind w:firstLine="765"/>
        <w:jc w:val="both"/>
        <w:rPr>
          <w:rFonts w:eastAsia="EUAlbertina-Regular-Identity-H"/>
          <w:lang w:val="en-GB" w:eastAsia="en-US"/>
        </w:rPr>
      </w:pPr>
    </w:p>
    <w:p w:rsidR="00C7761C" w:rsidRDefault="00C7761C" w:rsidP="00C7761C">
      <w:pPr>
        <w:tabs>
          <w:tab w:val="left" w:pos="0"/>
        </w:tabs>
        <w:spacing w:before="60" w:after="60" w:line="288" w:lineRule="auto"/>
        <w:ind w:firstLine="720"/>
        <w:jc w:val="both"/>
        <w:rPr>
          <w:rFonts w:eastAsia="EUAlbertina-Regular-Identity-H"/>
          <w:lang w:val="en-GB" w:eastAsia="en-US"/>
        </w:rPr>
      </w:pPr>
      <w:r>
        <w:rPr>
          <w:rFonts w:eastAsia="EUAlbertina-Regular-Identity-H"/>
          <w:lang w:val="en-GB" w:eastAsia="en-US"/>
        </w:rPr>
        <w:t>Crossborder Cooperation Programme has to address at least one of the strategic objectives; in order to generate a significant impact for the border area each programme has to focus its strategic intervention in the area on a maximum of four thematic objectives from the following:</w:t>
      </w:r>
    </w:p>
    <w:p w:rsidR="00C7761C" w:rsidRDefault="00C7761C" w:rsidP="00C7761C">
      <w:pPr>
        <w:tabs>
          <w:tab w:val="left" w:pos="1440"/>
        </w:tabs>
        <w:spacing w:before="60" w:after="60" w:line="288" w:lineRule="auto"/>
        <w:ind w:left="1080" w:hanging="360"/>
        <w:jc w:val="both"/>
        <w:rPr>
          <w:rFonts w:eastAsia="EUAlbertina-Regular-Identity-H"/>
          <w:lang w:val="en-GB" w:eastAsia="en-US"/>
        </w:rPr>
      </w:pPr>
      <w:r>
        <w:rPr>
          <w:rFonts w:eastAsia="EUAlbertina-Regular-Identity-H"/>
          <w:lang w:val="en-GB" w:eastAsia="en-US"/>
        </w:rPr>
        <w:t>1.</w:t>
      </w:r>
      <w:r>
        <w:rPr>
          <w:rFonts w:eastAsia="EUAlbertina-Regular-Identity-H"/>
          <w:lang w:val="en-GB" w:eastAsia="en-US"/>
        </w:rPr>
        <w:tab/>
        <w:t>Business and SME development (Strategic objective: A);</w:t>
      </w:r>
    </w:p>
    <w:p w:rsidR="00C7761C" w:rsidRDefault="00C7761C" w:rsidP="00C7761C">
      <w:pPr>
        <w:tabs>
          <w:tab w:val="left" w:pos="1440"/>
        </w:tabs>
        <w:spacing w:before="60" w:after="60" w:line="288" w:lineRule="auto"/>
        <w:ind w:left="1080" w:hanging="360"/>
        <w:jc w:val="both"/>
        <w:rPr>
          <w:rFonts w:eastAsia="EUAlbertina-Regular-Identity-H"/>
          <w:lang w:val="en-GB" w:eastAsia="en-US"/>
        </w:rPr>
      </w:pPr>
      <w:r>
        <w:rPr>
          <w:rFonts w:eastAsia="EUAlbertina-Regular-Identity-H"/>
          <w:lang w:val="en-GB" w:eastAsia="en-US"/>
        </w:rPr>
        <w:lastRenderedPageBreak/>
        <w:t>2.</w:t>
      </w:r>
      <w:r>
        <w:rPr>
          <w:rFonts w:eastAsia="EUAlbertina-Regular-Identity-H"/>
          <w:lang w:val="en-GB" w:eastAsia="en-US"/>
        </w:rPr>
        <w:tab/>
        <w:t>Support to education, research, technological development and innovation (Strategic objective: A);</w:t>
      </w:r>
    </w:p>
    <w:p w:rsidR="00C7761C" w:rsidRDefault="00C7761C" w:rsidP="00C7761C">
      <w:pPr>
        <w:tabs>
          <w:tab w:val="left" w:pos="1440"/>
        </w:tabs>
        <w:spacing w:before="60" w:after="60" w:line="288" w:lineRule="auto"/>
        <w:ind w:left="1080" w:hanging="360"/>
        <w:jc w:val="both"/>
        <w:rPr>
          <w:rFonts w:eastAsia="EUAlbertina-Regular-Identity-H"/>
          <w:lang w:val="en-GB" w:eastAsia="en-US"/>
        </w:rPr>
      </w:pPr>
      <w:r>
        <w:rPr>
          <w:rFonts w:eastAsia="EUAlbertina-Regular-Identity-H"/>
          <w:lang w:val="en-GB" w:eastAsia="en-US"/>
        </w:rPr>
        <w:t>3.</w:t>
      </w:r>
      <w:r>
        <w:rPr>
          <w:rFonts w:eastAsia="EUAlbertina-Regular-Identity-H"/>
          <w:lang w:val="en-GB" w:eastAsia="en-US"/>
        </w:rPr>
        <w:tab/>
        <w:t>Promotion of local culture and preservation of historical heritage (Strategic objective: A);</w:t>
      </w:r>
    </w:p>
    <w:p w:rsidR="00C7761C" w:rsidRDefault="00C7761C" w:rsidP="00C7761C">
      <w:pPr>
        <w:tabs>
          <w:tab w:val="left" w:pos="1440"/>
        </w:tabs>
        <w:spacing w:before="60" w:after="60" w:line="288" w:lineRule="auto"/>
        <w:ind w:left="1080" w:hanging="360"/>
        <w:jc w:val="both"/>
        <w:rPr>
          <w:rFonts w:eastAsia="EUAlbertina-Regular-Identity-H"/>
          <w:lang w:val="en-GB" w:eastAsia="en-US"/>
        </w:rPr>
      </w:pPr>
      <w:r>
        <w:rPr>
          <w:rFonts w:eastAsia="EUAlbertina-Regular-Identity-H"/>
          <w:lang w:val="en-GB" w:eastAsia="en-US"/>
        </w:rPr>
        <w:t>4.</w:t>
      </w:r>
      <w:r>
        <w:rPr>
          <w:rFonts w:eastAsia="EUAlbertina-Regular-Identity-H"/>
          <w:lang w:val="en-GB" w:eastAsia="en-US"/>
        </w:rPr>
        <w:tab/>
        <w:t>Promotion of social inclusion and fight against poverty (Strategic objectives: A, B, C);</w:t>
      </w:r>
    </w:p>
    <w:p w:rsidR="00C7761C" w:rsidRDefault="00C7761C" w:rsidP="00C7761C">
      <w:pPr>
        <w:tabs>
          <w:tab w:val="left" w:pos="1440"/>
        </w:tabs>
        <w:spacing w:before="60" w:after="60" w:line="288" w:lineRule="auto"/>
        <w:ind w:left="1080" w:hanging="360"/>
        <w:jc w:val="both"/>
        <w:rPr>
          <w:rFonts w:eastAsia="EUAlbertina-Regular-Identity-H"/>
          <w:lang w:val="en-GB" w:eastAsia="en-US"/>
        </w:rPr>
      </w:pPr>
      <w:r>
        <w:rPr>
          <w:rFonts w:eastAsia="EUAlbertina-Regular-Identity-H"/>
          <w:lang w:val="en-GB" w:eastAsia="en-US"/>
        </w:rPr>
        <w:t>5.</w:t>
      </w:r>
      <w:r>
        <w:rPr>
          <w:rFonts w:eastAsia="EUAlbertina-Regular-Identity-H"/>
          <w:lang w:val="en-GB" w:eastAsia="en-US"/>
        </w:rPr>
        <w:tab/>
        <w:t>Support to local &amp; regional good governance (Strategic objectives: A, B, C);</w:t>
      </w:r>
    </w:p>
    <w:p w:rsidR="00C7761C" w:rsidRDefault="00C7761C" w:rsidP="00C7761C">
      <w:pPr>
        <w:tabs>
          <w:tab w:val="left" w:pos="1440"/>
        </w:tabs>
        <w:spacing w:before="60" w:after="60" w:line="288" w:lineRule="auto"/>
        <w:ind w:left="1080" w:hanging="360"/>
        <w:jc w:val="both"/>
        <w:rPr>
          <w:rFonts w:eastAsia="EUAlbertina-Regular-Identity-H"/>
          <w:lang w:val="en-GB" w:eastAsia="en-US"/>
        </w:rPr>
      </w:pPr>
      <w:r>
        <w:rPr>
          <w:rFonts w:eastAsia="EUAlbertina-Regular-Identity-H"/>
          <w:lang w:val="en-GB" w:eastAsia="en-US"/>
        </w:rPr>
        <w:t>6.</w:t>
      </w:r>
      <w:r>
        <w:rPr>
          <w:rFonts w:eastAsia="EUAlbertina-Regular-Identity-H"/>
          <w:lang w:val="en-GB" w:eastAsia="en-US"/>
        </w:rPr>
        <w:tab/>
        <w:t>Environmental protection, climate change adaptation (Strategic objective: B);</w:t>
      </w:r>
    </w:p>
    <w:p w:rsidR="00C7761C" w:rsidRDefault="00C7761C" w:rsidP="00C7761C">
      <w:pPr>
        <w:tabs>
          <w:tab w:val="left" w:pos="1440"/>
        </w:tabs>
        <w:spacing w:before="60" w:after="60" w:line="288" w:lineRule="auto"/>
        <w:ind w:left="1080" w:hanging="360"/>
        <w:jc w:val="both"/>
        <w:rPr>
          <w:rFonts w:eastAsia="EUAlbertina-Regular-Identity-H"/>
          <w:lang w:val="en-GB" w:eastAsia="en-US"/>
        </w:rPr>
      </w:pPr>
      <w:r>
        <w:rPr>
          <w:rFonts w:eastAsia="EUAlbertina-Regular-Identity-H"/>
          <w:lang w:val="en-GB" w:eastAsia="en-US"/>
        </w:rPr>
        <w:t>7.</w:t>
      </w:r>
      <w:r>
        <w:rPr>
          <w:rFonts w:eastAsia="EUAlbertina-Regular-Identity-H"/>
          <w:lang w:val="en-GB" w:eastAsia="en-US"/>
        </w:rPr>
        <w:tab/>
        <w:t>Improvement of accessibility to the regions, development of transport and communication networks and systems (Strategic objective: C);</w:t>
      </w:r>
    </w:p>
    <w:p w:rsidR="00C7761C" w:rsidRDefault="00C7761C" w:rsidP="00C7761C">
      <w:pPr>
        <w:tabs>
          <w:tab w:val="left" w:pos="1440"/>
        </w:tabs>
        <w:spacing w:before="60" w:after="60" w:line="288" w:lineRule="auto"/>
        <w:ind w:left="1080" w:hanging="360"/>
        <w:jc w:val="both"/>
        <w:rPr>
          <w:rFonts w:eastAsia="EUAlbertina-Regular-Identity-H"/>
          <w:lang w:val="en-GB" w:eastAsia="en-US"/>
        </w:rPr>
      </w:pPr>
      <w:r>
        <w:rPr>
          <w:rFonts w:eastAsia="EUAlbertina-Regular-Identity-H"/>
          <w:lang w:val="en-GB" w:eastAsia="en-US"/>
        </w:rPr>
        <w:t>8.</w:t>
      </w:r>
      <w:r>
        <w:rPr>
          <w:rFonts w:eastAsia="EUAlbertina-Regular-Identity-H"/>
          <w:lang w:val="en-GB" w:eastAsia="en-US"/>
        </w:rPr>
        <w:tab/>
        <w:t>Common challenges in the field of safety and security (Strategic objective: B);</w:t>
      </w:r>
    </w:p>
    <w:p w:rsidR="00C7761C" w:rsidRDefault="00C7761C" w:rsidP="00C7761C">
      <w:pPr>
        <w:tabs>
          <w:tab w:val="left" w:pos="1440"/>
        </w:tabs>
        <w:spacing w:before="60" w:after="60" w:line="288" w:lineRule="auto"/>
        <w:ind w:left="1080" w:hanging="360"/>
        <w:jc w:val="both"/>
        <w:rPr>
          <w:rFonts w:eastAsia="EUAlbertina-Regular-Identity-H"/>
          <w:lang w:val="en-GB" w:eastAsia="en-US"/>
        </w:rPr>
      </w:pPr>
      <w:r>
        <w:rPr>
          <w:rFonts w:eastAsia="EUAlbertina-Regular-Identity-H"/>
          <w:lang w:val="en-GB" w:eastAsia="en-US"/>
        </w:rPr>
        <w:t>9.</w:t>
      </w:r>
      <w:r>
        <w:rPr>
          <w:rFonts w:eastAsia="EUAlbertina-Regular-Identity-H"/>
          <w:lang w:val="en-GB" w:eastAsia="en-US"/>
        </w:rPr>
        <w:tab/>
        <w:t>Promotion of energy cooperation (Strategic objective: B);</w:t>
      </w:r>
    </w:p>
    <w:p w:rsidR="00C7761C" w:rsidRDefault="00C7761C" w:rsidP="00C7761C">
      <w:pPr>
        <w:tabs>
          <w:tab w:val="left" w:pos="1440"/>
        </w:tabs>
        <w:spacing w:before="60" w:after="60" w:line="288" w:lineRule="auto"/>
        <w:ind w:left="1080" w:hanging="360"/>
        <w:jc w:val="both"/>
        <w:rPr>
          <w:rFonts w:eastAsia="EUAlbertina-Regular-Identity-H"/>
          <w:lang w:val="en-GB" w:eastAsia="en-US"/>
        </w:rPr>
      </w:pPr>
      <w:r>
        <w:rPr>
          <w:rFonts w:eastAsia="EUAlbertina-Regular-Identity-H"/>
          <w:lang w:val="en-GB" w:eastAsia="en-US"/>
        </w:rPr>
        <w:t>10.</w:t>
      </w:r>
      <w:r>
        <w:rPr>
          <w:rFonts w:eastAsia="EUAlbertina-Regular-Identity-H"/>
          <w:lang w:val="en-GB" w:eastAsia="en-US"/>
        </w:rPr>
        <w:tab/>
        <w:t>Promotion of border management and border security, migration and mobility management (Strategic objective: C);</w:t>
      </w:r>
    </w:p>
    <w:p w:rsidR="00C7761C" w:rsidRDefault="00C7761C" w:rsidP="00C7761C">
      <w:pPr>
        <w:ind w:firstLine="765"/>
        <w:jc w:val="both"/>
        <w:rPr>
          <w:rFonts w:eastAsia="EUAlbertina-Regular-Identity-H"/>
          <w:lang w:val="en-GB" w:eastAsia="en-US"/>
        </w:rPr>
      </w:pPr>
    </w:p>
    <w:p w:rsidR="00C7761C" w:rsidRDefault="00C7761C" w:rsidP="00C7761C">
      <w:pPr>
        <w:spacing w:before="60" w:after="60" w:line="288" w:lineRule="auto"/>
        <w:ind w:firstLine="765"/>
        <w:jc w:val="both"/>
        <w:rPr>
          <w:rFonts w:eastAsia="EUAlbertina-Regular-Identity-H"/>
          <w:lang w:val="en-GB" w:eastAsia="en-US"/>
        </w:rPr>
      </w:pPr>
      <w:r>
        <w:rPr>
          <w:rFonts w:eastAsia="EUAlbertina-Regular-Identity-H"/>
          <w:lang w:val="en-GB" w:eastAsia="en-US"/>
        </w:rPr>
        <w:t xml:space="preserve">Regulation no. 232/2014 establishing a European Neighbourhood Instrument (ENI) and Regulation no 897/2014 laying down specific provisions for the implementation of cross-border cooperation programmes, say that the programme partners have to cooperate in order to identify the needs of the programme area and select those thematic objectives and priorities, that are most relevant to the border region. </w:t>
      </w:r>
    </w:p>
    <w:p w:rsidR="00C7761C" w:rsidRDefault="00C7761C" w:rsidP="00C7761C">
      <w:pPr>
        <w:spacing w:before="60" w:after="60" w:line="288" w:lineRule="auto"/>
        <w:ind w:firstLine="765"/>
        <w:jc w:val="both"/>
        <w:rPr>
          <w:rFonts w:eastAsia="EUAlbertina-Regular-Identity-H"/>
          <w:lang w:val="en-GB" w:eastAsia="en-US"/>
        </w:rPr>
      </w:pPr>
      <w:r>
        <w:rPr>
          <w:rFonts w:eastAsia="EUAlbertina-Regular-Identity-H"/>
          <w:lang w:val="en-GB" w:eastAsia="en-US"/>
        </w:rPr>
        <w:t xml:space="preserve">Within this context, the partner countries nominated the Ministry of Regional Development and Public Administration from Romania as Managing Authority and created the Joint Programming Committee (JPC) as decisional body for the programming process. Additionally, two working groups were created, one for the identification of Large Infrastructure Projects and one for the Management and Control structures. </w:t>
      </w:r>
    </w:p>
    <w:p w:rsidR="00C7761C" w:rsidRDefault="00C7761C" w:rsidP="00C7761C">
      <w:pPr>
        <w:spacing w:before="60" w:after="60" w:line="288" w:lineRule="auto"/>
        <w:ind w:firstLine="765"/>
        <w:jc w:val="both"/>
        <w:rPr>
          <w:rFonts w:eastAsia="EUAlbertina-Regular-Identity-H"/>
          <w:lang w:val="en-GB" w:eastAsia="en-US"/>
        </w:rPr>
      </w:pPr>
      <w:r>
        <w:rPr>
          <w:rFonts w:eastAsia="EUAlbertina-Regular-Identity-H"/>
          <w:lang w:val="en-GB" w:eastAsia="en-US"/>
        </w:rPr>
        <w:t>The Joint Operational Programme Romania - Ukraine provides the legal framework for the financing of cross-border cooperation projects between the two countries during 2014 ÷ 2020.</w:t>
      </w:r>
    </w:p>
    <w:p w:rsidR="00C7761C" w:rsidRDefault="00C7761C" w:rsidP="00C7761C">
      <w:pPr>
        <w:spacing w:before="60" w:after="60" w:line="288" w:lineRule="auto"/>
        <w:ind w:firstLine="765"/>
        <w:jc w:val="both"/>
        <w:rPr>
          <w:rFonts w:eastAsia="EUAlbertina-Regular-Identity-H"/>
          <w:lang w:val="en-GB" w:eastAsia="en-US"/>
        </w:rPr>
      </w:pPr>
      <w:r>
        <w:rPr>
          <w:rFonts w:eastAsia="EUAlbertina-Regular-Identity-H"/>
          <w:lang w:val="en-GB" w:eastAsia="en-US"/>
        </w:rPr>
        <w:t xml:space="preserve">The methodology for the elaboration of the Romania-Ukraine Joint Operational Programme included stakeholder consultations, socio economic analysis (SWOT) and multi criteria analysis, as well as a review of the lessons learnt from the Joint Operational Programme  Romania-Ukraine-Republic of Moldova 2007 </w:t>
      </w:r>
      <w:r>
        <w:rPr>
          <w:rFonts w:eastAsia="EUAlbertina-Regular-Identity-H" w:cs="Arial"/>
          <w:lang w:val="en-GB" w:eastAsia="en-US"/>
        </w:rPr>
        <w:t>÷</w:t>
      </w:r>
      <w:r>
        <w:rPr>
          <w:rFonts w:eastAsia="EUAlbertina-Regular-Identity-H"/>
          <w:lang w:val="en-GB" w:eastAsia="en-US"/>
        </w:rPr>
        <w:t xml:space="preserve"> 2013. </w:t>
      </w:r>
    </w:p>
    <w:p w:rsidR="00C7761C" w:rsidRDefault="00C7761C" w:rsidP="00C7761C">
      <w:pPr>
        <w:spacing w:before="60" w:after="60" w:line="288" w:lineRule="auto"/>
        <w:ind w:firstLine="765"/>
        <w:jc w:val="both"/>
        <w:rPr>
          <w:rFonts w:eastAsia="EUAlbertina-Regular-Identity-H"/>
          <w:lang w:val="en-GB" w:eastAsia="en-US"/>
        </w:rPr>
      </w:pPr>
      <w:r>
        <w:rPr>
          <w:rFonts w:eastAsia="EUAlbertina-Regular-Identity-H"/>
          <w:lang w:val="en-GB" w:eastAsia="en-US"/>
        </w:rPr>
        <w:t>The main steps of the development of the Ro-Ua Programme were:</w:t>
      </w:r>
    </w:p>
    <w:p w:rsidR="00C7761C" w:rsidRDefault="00C7761C" w:rsidP="00C7761C">
      <w:pPr>
        <w:numPr>
          <w:ilvl w:val="0"/>
          <w:numId w:val="43"/>
        </w:numPr>
        <w:spacing w:before="60" w:after="60" w:line="288" w:lineRule="auto"/>
        <w:ind w:left="900" w:hanging="180"/>
        <w:jc w:val="both"/>
        <w:rPr>
          <w:rFonts w:eastAsia="EUAlbertina-Regular-Identity-H"/>
          <w:lang w:val="en-GB" w:eastAsia="en-US"/>
        </w:rPr>
      </w:pPr>
      <w:r>
        <w:rPr>
          <w:rFonts w:eastAsia="EUAlbertina-Regular-Identity-H"/>
          <w:lang w:val="en-GB" w:eastAsia="en-US"/>
        </w:rPr>
        <w:t>Socio-economic and SWOT analyses;</w:t>
      </w:r>
    </w:p>
    <w:p w:rsidR="00C7761C" w:rsidRDefault="00C7761C" w:rsidP="00C7761C">
      <w:pPr>
        <w:numPr>
          <w:ilvl w:val="0"/>
          <w:numId w:val="43"/>
        </w:numPr>
        <w:spacing w:before="60" w:after="60" w:line="288" w:lineRule="auto"/>
        <w:ind w:left="900" w:hanging="180"/>
        <w:jc w:val="both"/>
        <w:rPr>
          <w:rFonts w:eastAsia="EUAlbertina-Regular-Identity-H"/>
          <w:lang w:val="en-GB" w:eastAsia="en-US"/>
        </w:rPr>
      </w:pPr>
      <w:r>
        <w:rPr>
          <w:rFonts w:eastAsia="EUAlbertina-Regular-Identity-H"/>
          <w:lang w:val="en-GB" w:eastAsia="en-US"/>
        </w:rPr>
        <w:t>Preliminary consultations: interviews, focus groups, online survey;</w:t>
      </w:r>
    </w:p>
    <w:p w:rsidR="00C7761C" w:rsidRDefault="00C7761C" w:rsidP="00C7761C">
      <w:pPr>
        <w:numPr>
          <w:ilvl w:val="0"/>
          <w:numId w:val="43"/>
        </w:numPr>
        <w:spacing w:before="60" w:after="60" w:line="288" w:lineRule="auto"/>
        <w:ind w:left="900" w:hanging="180"/>
        <w:jc w:val="both"/>
        <w:rPr>
          <w:rFonts w:eastAsia="EUAlbertina-Regular-Identity-H"/>
          <w:lang w:val="en-GB" w:eastAsia="en-US"/>
        </w:rPr>
      </w:pPr>
      <w:r>
        <w:rPr>
          <w:rFonts w:eastAsia="EUAlbertina-Regular-Identity-H"/>
          <w:lang w:val="en-GB" w:eastAsia="en-US"/>
        </w:rPr>
        <w:t>Coherence analysis and multi-criteria analysis;</w:t>
      </w:r>
    </w:p>
    <w:p w:rsidR="00C7761C" w:rsidRDefault="00C7761C" w:rsidP="00C7761C">
      <w:pPr>
        <w:numPr>
          <w:ilvl w:val="0"/>
          <w:numId w:val="43"/>
        </w:numPr>
        <w:spacing w:before="60" w:after="60" w:line="288" w:lineRule="auto"/>
        <w:ind w:left="900" w:hanging="180"/>
        <w:jc w:val="both"/>
        <w:rPr>
          <w:rFonts w:eastAsia="EUAlbertina-Regular-Identity-H"/>
          <w:lang w:val="en-GB" w:eastAsia="en-US"/>
        </w:rPr>
      </w:pPr>
      <w:r>
        <w:rPr>
          <w:rFonts w:eastAsia="EUAlbertina-Regular-Identity-H"/>
          <w:lang w:val="en-GB" w:eastAsia="en-US"/>
        </w:rPr>
        <w:t xml:space="preserve">Public consultations on the first JOP draft. </w:t>
      </w:r>
    </w:p>
    <w:p w:rsidR="00C7761C" w:rsidRDefault="00C7761C" w:rsidP="00C7761C">
      <w:pPr>
        <w:spacing w:before="60" w:after="60" w:line="288" w:lineRule="auto"/>
        <w:ind w:firstLine="709"/>
        <w:jc w:val="both"/>
        <w:rPr>
          <w:rFonts w:eastAsia="EUAlbertina-Regular-Identity-H"/>
          <w:lang w:val="en-GB" w:eastAsia="en-US"/>
        </w:rPr>
      </w:pPr>
    </w:p>
    <w:p w:rsidR="00C7761C" w:rsidRDefault="00C7761C" w:rsidP="00C7761C">
      <w:pPr>
        <w:spacing w:before="60" w:after="60" w:line="288" w:lineRule="auto"/>
        <w:ind w:firstLine="900"/>
        <w:jc w:val="both"/>
        <w:rPr>
          <w:bCs/>
          <w:lang w:val="en-GB"/>
        </w:rPr>
      </w:pPr>
      <w:r>
        <w:rPr>
          <w:bCs/>
          <w:lang w:val="en-GB"/>
        </w:rPr>
        <w:t xml:space="preserve">The Joint Programming Committee approved 4 thematic objectives (TO) for the Romania-Ukraine Programme 2014-2020, together with their subsequent priorities as follows: </w:t>
      </w:r>
    </w:p>
    <w:p w:rsidR="00C7761C" w:rsidRDefault="00C7761C" w:rsidP="00C7761C">
      <w:pPr>
        <w:spacing w:before="60" w:after="60" w:line="288" w:lineRule="auto"/>
        <w:ind w:firstLine="900"/>
        <w:jc w:val="both"/>
        <w:rPr>
          <w:lang w:val="en-GB"/>
        </w:rPr>
      </w:pPr>
      <w:r>
        <w:rPr>
          <w:b/>
          <w:i/>
          <w:lang w:val="en-GB"/>
        </w:rPr>
        <w:t>TO2 - Support to education, research, technological development and innovation</w:t>
      </w:r>
      <w:r>
        <w:rPr>
          <w:lang w:val="en-GB"/>
        </w:rPr>
        <w:t>:</w:t>
      </w:r>
    </w:p>
    <w:p w:rsidR="00C7761C" w:rsidRDefault="00C7761C" w:rsidP="00C7761C">
      <w:pPr>
        <w:numPr>
          <w:ilvl w:val="1"/>
          <w:numId w:val="26"/>
        </w:numPr>
        <w:spacing w:before="60" w:after="60" w:line="288" w:lineRule="auto"/>
        <w:ind w:left="1260"/>
        <w:jc w:val="both"/>
        <w:rPr>
          <w:lang w:val="en-GB"/>
        </w:rPr>
      </w:pPr>
      <w:r>
        <w:rPr>
          <w:b/>
          <w:i/>
          <w:lang w:val="en-GB"/>
        </w:rPr>
        <w:lastRenderedPageBreak/>
        <w:t>Objective 1</w:t>
      </w:r>
      <w:r>
        <w:rPr>
          <w:lang w:val="en-GB"/>
        </w:rPr>
        <w:t xml:space="preserve">: </w:t>
      </w:r>
      <w:r w:rsidRPr="0088539B">
        <w:rPr>
          <w:lang w:val="en-GB"/>
        </w:rPr>
        <w:t>Develop education and support research and innovation at the level of the Programme area by facilitating the cooperation at local, regional and central level</w:t>
      </w:r>
      <w:r>
        <w:rPr>
          <w:lang w:val="en-GB"/>
        </w:rPr>
        <w:t>:</w:t>
      </w:r>
    </w:p>
    <w:p w:rsidR="00C7761C" w:rsidRDefault="00C7761C" w:rsidP="00C7761C">
      <w:pPr>
        <w:numPr>
          <w:ilvl w:val="0"/>
          <w:numId w:val="27"/>
        </w:numPr>
        <w:spacing w:before="60" w:after="60" w:line="288" w:lineRule="auto"/>
        <w:jc w:val="both"/>
        <w:rPr>
          <w:i/>
          <w:lang w:val="en-GB"/>
        </w:rPr>
      </w:pPr>
      <w:r>
        <w:rPr>
          <w:i/>
          <w:lang w:val="en-GB"/>
        </w:rPr>
        <w:t xml:space="preserve">Priority 1.1 </w:t>
      </w:r>
      <w:r>
        <w:rPr>
          <w:lang w:val="en-GB"/>
        </w:rPr>
        <w:t xml:space="preserve">- Institutional cooperation in the educational field for increasing </w:t>
      </w:r>
      <w:r>
        <w:rPr>
          <w:i/>
          <w:lang w:val="en-GB"/>
        </w:rPr>
        <w:t>education and quality of education</w:t>
      </w:r>
      <w:r>
        <w:rPr>
          <w:lang w:val="en-GB"/>
        </w:rPr>
        <w:t>;</w:t>
      </w:r>
    </w:p>
    <w:p w:rsidR="00C7761C" w:rsidRDefault="00C7761C" w:rsidP="00C7761C">
      <w:pPr>
        <w:numPr>
          <w:ilvl w:val="0"/>
          <w:numId w:val="27"/>
        </w:numPr>
        <w:spacing w:before="60" w:after="60" w:line="288" w:lineRule="auto"/>
        <w:jc w:val="both"/>
        <w:rPr>
          <w:lang w:val="en-GB"/>
        </w:rPr>
      </w:pPr>
      <w:r>
        <w:rPr>
          <w:i/>
          <w:lang w:val="en-GB"/>
        </w:rPr>
        <w:t>Priority</w:t>
      </w:r>
      <w:r>
        <w:rPr>
          <w:lang w:val="en-GB"/>
        </w:rPr>
        <w:t xml:space="preserve"> 1.2 - Promotion and support to research and innovation.</w:t>
      </w:r>
    </w:p>
    <w:p w:rsidR="00C7761C" w:rsidRDefault="00C7761C" w:rsidP="00C7761C">
      <w:pPr>
        <w:numPr>
          <w:ilvl w:val="0"/>
          <w:numId w:val="42"/>
        </w:numPr>
        <w:tabs>
          <w:tab w:val="left" w:pos="1080"/>
        </w:tabs>
        <w:spacing w:before="60" w:after="60" w:line="288" w:lineRule="auto"/>
        <w:ind w:left="1170" w:hanging="450"/>
        <w:jc w:val="both"/>
        <w:rPr>
          <w:lang w:val="en-GB"/>
        </w:rPr>
      </w:pPr>
      <w:r>
        <w:rPr>
          <w:b/>
          <w:lang w:val="en-GB"/>
        </w:rPr>
        <w:t>TO 3</w:t>
      </w:r>
      <w:r>
        <w:rPr>
          <w:lang w:val="en-GB"/>
        </w:rPr>
        <w:t xml:space="preserve"> - </w:t>
      </w:r>
      <w:r>
        <w:rPr>
          <w:b/>
          <w:lang w:val="en-GB"/>
        </w:rPr>
        <w:t>Promotion of the local culture and preservation of historical heritage</w:t>
      </w:r>
    </w:p>
    <w:p w:rsidR="00C7761C" w:rsidRDefault="00C7761C" w:rsidP="00C7761C">
      <w:pPr>
        <w:numPr>
          <w:ilvl w:val="0"/>
          <w:numId w:val="45"/>
        </w:numPr>
        <w:spacing w:before="60" w:after="60" w:line="288" w:lineRule="auto"/>
        <w:jc w:val="both"/>
        <w:rPr>
          <w:lang w:val="en-GB"/>
        </w:rPr>
      </w:pPr>
      <w:r>
        <w:rPr>
          <w:b/>
          <w:lang w:val="en-GB"/>
        </w:rPr>
        <w:t>Objective 2:</w:t>
      </w:r>
      <w:r>
        <w:rPr>
          <w:lang w:val="en-GB"/>
        </w:rPr>
        <w:t xml:space="preserve">  Preservation of the cultural and historical heritage in the eligible area, support the developing of local culture, specific cultural identities and the cultural dialog </w:t>
      </w:r>
      <w:r w:rsidRPr="004E1796">
        <w:rPr>
          <w:lang w:val="en-GB"/>
        </w:rPr>
        <w:t>contributing to an enhanced attractiveness of the eligible area.</w:t>
      </w:r>
    </w:p>
    <w:p w:rsidR="00C7761C" w:rsidRDefault="00C7761C" w:rsidP="00C7761C">
      <w:pPr>
        <w:numPr>
          <w:ilvl w:val="0"/>
          <w:numId w:val="46"/>
        </w:numPr>
        <w:spacing w:before="60" w:after="60" w:line="288" w:lineRule="auto"/>
        <w:ind w:left="1800"/>
        <w:jc w:val="both"/>
        <w:rPr>
          <w:lang w:val="en-GB"/>
        </w:rPr>
      </w:pPr>
      <w:r>
        <w:rPr>
          <w:i/>
          <w:lang w:val="en-GB"/>
        </w:rPr>
        <w:t>Priority 2.1</w:t>
      </w:r>
      <w:r>
        <w:rPr>
          <w:lang w:val="en-GB"/>
        </w:rPr>
        <w:t xml:space="preserve"> – Preservation and promotion of the cultural and historical heritage </w:t>
      </w:r>
    </w:p>
    <w:p w:rsidR="00C7761C" w:rsidRDefault="00C7761C" w:rsidP="00C7761C">
      <w:pPr>
        <w:numPr>
          <w:ilvl w:val="0"/>
          <w:numId w:val="26"/>
        </w:numPr>
        <w:tabs>
          <w:tab w:val="num" w:pos="900"/>
        </w:tabs>
        <w:spacing w:before="60" w:after="60" w:line="288" w:lineRule="auto"/>
        <w:ind w:left="900" w:hanging="180"/>
        <w:jc w:val="both"/>
        <w:rPr>
          <w:lang w:val="en-GB"/>
        </w:rPr>
      </w:pPr>
      <w:r>
        <w:rPr>
          <w:b/>
          <w:i/>
          <w:lang w:val="en-GB"/>
        </w:rPr>
        <w:t>TO 7 - Improvement of accessibility to the regions, development of transport and common networks and systems</w:t>
      </w:r>
      <w:r>
        <w:rPr>
          <w:lang w:val="en-GB"/>
        </w:rPr>
        <w:t>:</w:t>
      </w:r>
    </w:p>
    <w:p w:rsidR="00C7761C" w:rsidRDefault="00C7761C" w:rsidP="00C7761C">
      <w:pPr>
        <w:numPr>
          <w:ilvl w:val="1"/>
          <w:numId w:val="26"/>
        </w:numPr>
        <w:spacing w:before="60" w:after="60" w:line="288" w:lineRule="auto"/>
        <w:ind w:left="1260"/>
        <w:jc w:val="both"/>
        <w:rPr>
          <w:lang w:val="en-GB"/>
        </w:rPr>
      </w:pPr>
      <w:r>
        <w:rPr>
          <w:b/>
          <w:i/>
          <w:lang w:val="en-GB"/>
        </w:rPr>
        <w:t>Objective 3</w:t>
      </w:r>
      <w:r>
        <w:rPr>
          <w:lang w:val="en-GB"/>
        </w:rPr>
        <w:t>: Improve public transport services, infrastructure and ITC cooperation and networking</w:t>
      </w:r>
    </w:p>
    <w:p w:rsidR="00C7761C" w:rsidRDefault="00C7761C" w:rsidP="00C7761C">
      <w:pPr>
        <w:numPr>
          <w:ilvl w:val="0"/>
          <w:numId w:val="46"/>
        </w:numPr>
        <w:tabs>
          <w:tab w:val="left" w:pos="851"/>
        </w:tabs>
        <w:spacing w:before="60" w:after="60" w:line="288" w:lineRule="auto"/>
        <w:ind w:left="2070" w:hanging="270"/>
        <w:contextualSpacing/>
        <w:jc w:val="both"/>
        <w:rPr>
          <w:i/>
          <w:szCs w:val="20"/>
          <w:lang w:val="en-GB" w:eastAsia="en-US"/>
        </w:rPr>
      </w:pPr>
      <w:r>
        <w:rPr>
          <w:i/>
          <w:szCs w:val="20"/>
          <w:lang w:val="en-GB" w:eastAsia="en-US"/>
        </w:rPr>
        <w:t xml:space="preserve">Priority 3.1 - </w:t>
      </w:r>
      <w:r>
        <w:rPr>
          <w:bCs/>
          <w:szCs w:val="20"/>
          <w:lang w:val="en-GB" w:eastAsia="en-US"/>
        </w:rPr>
        <w:t xml:space="preserve">Development of cross border transport and ITC infrastructure </w:t>
      </w:r>
    </w:p>
    <w:p w:rsidR="00C7761C" w:rsidRDefault="00C7761C" w:rsidP="00C7761C">
      <w:pPr>
        <w:numPr>
          <w:ilvl w:val="0"/>
          <w:numId w:val="26"/>
        </w:numPr>
        <w:tabs>
          <w:tab w:val="num" w:pos="900"/>
        </w:tabs>
        <w:spacing w:before="60" w:after="60" w:line="288" w:lineRule="auto"/>
        <w:ind w:left="900" w:hanging="180"/>
        <w:jc w:val="both"/>
        <w:rPr>
          <w:b/>
          <w:i/>
          <w:lang w:val="en-GB"/>
        </w:rPr>
      </w:pPr>
      <w:r>
        <w:rPr>
          <w:b/>
          <w:i/>
          <w:lang w:val="en-GB"/>
        </w:rPr>
        <w:t>TO 8 - Common challenges in the field of safety and security</w:t>
      </w:r>
    </w:p>
    <w:p w:rsidR="00C7761C" w:rsidRDefault="00C7761C" w:rsidP="00C7761C">
      <w:pPr>
        <w:numPr>
          <w:ilvl w:val="0"/>
          <w:numId w:val="28"/>
        </w:numPr>
        <w:spacing w:before="60" w:after="60" w:line="288" w:lineRule="auto"/>
        <w:ind w:left="1440"/>
        <w:rPr>
          <w:lang w:val="en-GB"/>
        </w:rPr>
      </w:pPr>
      <w:r>
        <w:rPr>
          <w:b/>
          <w:i/>
          <w:lang w:val="en-GB"/>
        </w:rPr>
        <w:t xml:space="preserve">Objective 4: </w:t>
      </w:r>
      <w:r>
        <w:rPr>
          <w:lang w:val="en-GB"/>
        </w:rPr>
        <w:t>Addressing common challenges in cross-border security, access to health,  Managing of natural and anthropic risks and emergency situations through joint projects</w:t>
      </w:r>
    </w:p>
    <w:p w:rsidR="00C7761C" w:rsidRDefault="00C7761C" w:rsidP="00C7761C">
      <w:pPr>
        <w:numPr>
          <w:ilvl w:val="0"/>
          <w:numId w:val="47"/>
        </w:numPr>
        <w:spacing w:before="60" w:after="60" w:line="288" w:lineRule="auto"/>
        <w:jc w:val="both"/>
        <w:rPr>
          <w:i/>
          <w:lang w:val="en-GB"/>
        </w:rPr>
      </w:pPr>
      <w:r>
        <w:rPr>
          <w:i/>
          <w:lang w:val="en-GB"/>
        </w:rPr>
        <w:t xml:space="preserve">Priority 4.1 - </w:t>
      </w:r>
      <w:r>
        <w:rPr>
          <w:bCs/>
          <w:iCs/>
          <w:lang w:val="en-GB"/>
        </w:rPr>
        <w:t>Support to the development of health services and access to health</w:t>
      </w:r>
      <w:r>
        <w:rPr>
          <w:lang w:val="en-GB"/>
        </w:rPr>
        <w:t>;</w:t>
      </w:r>
    </w:p>
    <w:p w:rsidR="00C7761C" w:rsidRDefault="00C7761C" w:rsidP="00C7761C">
      <w:pPr>
        <w:numPr>
          <w:ilvl w:val="0"/>
          <w:numId w:val="47"/>
        </w:numPr>
        <w:spacing w:before="60" w:after="60" w:line="288" w:lineRule="auto"/>
        <w:jc w:val="both"/>
        <w:rPr>
          <w:i/>
          <w:lang w:val="en-GB"/>
        </w:rPr>
      </w:pPr>
      <w:r>
        <w:rPr>
          <w:i/>
          <w:lang w:val="en-GB"/>
        </w:rPr>
        <w:t xml:space="preserve">Priority 4.2 – </w:t>
      </w:r>
      <w:r>
        <w:rPr>
          <w:lang w:val="en-GB"/>
        </w:rPr>
        <w:t>Support to joint activities for the prevention of natural and man-made disasters as well as joint activities during emergency situations;</w:t>
      </w:r>
    </w:p>
    <w:p w:rsidR="00C7761C" w:rsidRDefault="00C7761C" w:rsidP="00C7761C">
      <w:pPr>
        <w:numPr>
          <w:ilvl w:val="0"/>
          <w:numId w:val="47"/>
        </w:numPr>
        <w:spacing w:before="60" w:after="60" w:line="288" w:lineRule="auto"/>
        <w:jc w:val="both"/>
        <w:rPr>
          <w:i/>
          <w:lang w:val="en-GB"/>
        </w:rPr>
      </w:pPr>
      <w:r>
        <w:rPr>
          <w:i/>
          <w:lang w:val="en-GB"/>
        </w:rPr>
        <w:t>Priority 4.3 -</w:t>
      </w:r>
      <w:r>
        <w:rPr>
          <w:lang w:val="en-GB"/>
        </w:rPr>
        <w:t xml:space="preserve"> Prevention and fight against organized crime and police cooperation </w:t>
      </w:r>
    </w:p>
    <w:p w:rsidR="00C7761C" w:rsidRDefault="00C7761C" w:rsidP="00C7761C">
      <w:pPr>
        <w:spacing w:before="60" w:after="60" w:line="288" w:lineRule="auto"/>
        <w:ind w:firstLine="720"/>
        <w:jc w:val="both"/>
        <w:rPr>
          <w:lang w:val="en-GB"/>
        </w:rPr>
      </w:pPr>
      <w:r>
        <w:rPr>
          <w:lang w:val="en-GB"/>
        </w:rPr>
        <w:t>The approval of the four thematic objectives was done by theJoint Programme Committee, which agreed also on the preliminary list of Large Infrastructure Projects. It remains to identify the projects with the best value for the eligible area.</w:t>
      </w:r>
    </w:p>
    <w:p w:rsidR="00C7761C" w:rsidRDefault="00C7761C" w:rsidP="00C7761C">
      <w:pPr>
        <w:spacing w:before="60" w:after="60" w:line="288" w:lineRule="auto"/>
        <w:ind w:firstLine="720"/>
        <w:jc w:val="both"/>
        <w:rPr>
          <w:lang w:val="en-GB"/>
        </w:rPr>
      </w:pPr>
      <w:r>
        <w:rPr>
          <w:lang w:val="en-GB"/>
        </w:rPr>
        <w:t xml:space="preserve">During 2014 </w:t>
      </w:r>
      <w:r>
        <w:rPr>
          <w:rFonts w:cs="Arial"/>
          <w:lang w:val="en-GB"/>
        </w:rPr>
        <w:t>÷</w:t>
      </w:r>
      <w:r>
        <w:rPr>
          <w:lang w:val="en-GB"/>
        </w:rPr>
        <w:t xml:space="preserve"> 2020, European Union will finance the Joint Operational Programme Romania - Ukraine, through the European  Neighbourhood Instrument (ENI).</w:t>
      </w:r>
    </w:p>
    <w:p w:rsidR="00C7761C" w:rsidRDefault="00C7761C" w:rsidP="00C7761C">
      <w:pPr>
        <w:spacing w:before="60" w:after="60" w:line="288" w:lineRule="auto"/>
        <w:ind w:firstLine="720"/>
        <w:jc w:val="both"/>
        <w:rPr>
          <w:lang w:val="en-GB"/>
        </w:rPr>
      </w:pPr>
      <w:r>
        <w:rPr>
          <w:lang w:val="en-GB"/>
        </w:rPr>
        <w:t xml:space="preserve">The Programme is addressing the area situated at the border between Romania and Ukraine, and contributes to the achievement of the overall ENI objective of </w:t>
      </w:r>
      <w:r>
        <w:rPr>
          <w:i/>
          <w:lang w:val="en-GB"/>
        </w:rPr>
        <w:t>“progress towards an area of shared prosperity and good neighbourliness between Member states and their neighbours”.</w:t>
      </w:r>
    </w:p>
    <w:p w:rsidR="00C7761C" w:rsidRDefault="00C7761C" w:rsidP="00C7761C">
      <w:pPr>
        <w:spacing w:before="60" w:after="60" w:line="288" w:lineRule="auto"/>
        <w:ind w:firstLine="709"/>
        <w:jc w:val="both"/>
        <w:rPr>
          <w:rFonts w:eastAsia="EUAlbertina-Regular-Identity-H"/>
          <w:lang w:val="en-GB" w:eastAsia="en-US"/>
        </w:rPr>
      </w:pPr>
    </w:p>
    <w:p w:rsidR="00C7761C" w:rsidRDefault="00C7761C" w:rsidP="00C7761C">
      <w:pPr>
        <w:pStyle w:val="Heading1"/>
        <w:rPr>
          <w:rFonts w:ascii="Arial" w:hAnsi="Arial" w:cs="Arial"/>
          <w:sz w:val="24"/>
          <w:szCs w:val="24"/>
          <w:lang w:val="en-GB" w:eastAsia="en-US"/>
        </w:rPr>
      </w:pPr>
      <w:bookmarkStart w:id="5" w:name="_Toc419704919"/>
      <w:r>
        <w:rPr>
          <w:rFonts w:ascii="Arial" w:hAnsi="Arial" w:cs="Arial"/>
          <w:sz w:val="24"/>
          <w:szCs w:val="24"/>
          <w:lang w:val="en-GB" w:eastAsia="en-US"/>
        </w:rPr>
        <w:t>2.2 The Programme Area</w:t>
      </w:r>
      <w:bookmarkEnd w:id="5"/>
    </w:p>
    <w:p w:rsidR="00C7761C" w:rsidRDefault="00C7761C" w:rsidP="00C7761C">
      <w:pPr>
        <w:spacing w:before="60" w:after="60" w:line="288" w:lineRule="auto"/>
        <w:jc w:val="both"/>
        <w:rPr>
          <w:rFonts w:eastAsia="EUAlbertina-Regular-Identity-H"/>
          <w:lang w:val="en-GB" w:eastAsia="en-US"/>
        </w:rPr>
      </w:pPr>
    </w:p>
    <w:p w:rsidR="00C7761C" w:rsidRDefault="00C7761C" w:rsidP="00C7761C">
      <w:pPr>
        <w:spacing w:before="60" w:after="60" w:line="288" w:lineRule="auto"/>
        <w:ind w:firstLine="709"/>
        <w:jc w:val="both"/>
        <w:rPr>
          <w:rFonts w:cs="Arial"/>
          <w:lang w:val="en-GB"/>
        </w:rPr>
      </w:pPr>
      <w:r>
        <w:rPr>
          <w:rFonts w:cs="Arial"/>
          <w:lang w:val="en-GB"/>
        </w:rPr>
        <w:t xml:space="preserve">The Joint Operatonal Programme Romania - Ukraina </w:t>
      </w:r>
      <w:r>
        <w:rPr>
          <w:rStyle w:val="hps"/>
          <w:rFonts w:cs="Arial"/>
          <w:lang w:val="en-GB"/>
        </w:rPr>
        <w:t>2014 ÷ 2020</w:t>
      </w:r>
      <w:r>
        <w:rPr>
          <w:rFonts w:cs="Arial"/>
          <w:lang w:val="en-GB"/>
        </w:rPr>
        <w:t xml:space="preserve"> would cover the following area,</w:t>
      </w:r>
      <w:r>
        <w:rPr>
          <w:rStyle w:val="hps"/>
          <w:rFonts w:cs="Arial"/>
          <w:lang w:val="en-GB"/>
        </w:rPr>
        <w:t xml:space="preserve"> established</w:t>
      </w:r>
      <w:r>
        <w:rPr>
          <w:rFonts w:cs="Arial"/>
          <w:lang w:val="en-GB"/>
        </w:rPr>
        <w:t xml:space="preserve"> by</w:t>
      </w:r>
      <w:r>
        <w:rPr>
          <w:rStyle w:val="hps"/>
          <w:rFonts w:cs="Arial"/>
          <w:lang w:val="en-GB"/>
        </w:rPr>
        <w:t xml:space="preserve"> ENI CBC</w:t>
      </w:r>
      <w:r>
        <w:rPr>
          <w:rFonts w:cs="Arial"/>
          <w:lang w:val="en-GB"/>
        </w:rPr>
        <w:t>:</w:t>
      </w:r>
    </w:p>
    <w:p w:rsidR="00C7761C" w:rsidRDefault="00C7761C" w:rsidP="00C7761C">
      <w:pPr>
        <w:spacing w:before="60" w:after="60" w:line="288" w:lineRule="auto"/>
        <w:ind w:firstLine="709"/>
        <w:jc w:val="both"/>
        <w:rPr>
          <w:i/>
          <w:lang w:val="en-GB"/>
        </w:rPr>
      </w:pPr>
      <w:r>
        <w:rPr>
          <w:b/>
          <w:bCs/>
          <w:lang w:val="en-GB"/>
        </w:rPr>
        <w:lastRenderedPageBreak/>
        <w:t>Romania:</w:t>
      </w:r>
      <w:r>
        <w:rPr>
          <w:lang w:val="en-GB"/>
        </w:rPr>
        <w:t> </w:t>
      </w:r>
      <w:r>
        <w:rPr>
          <w:lang w:val="en-GB"/>
        </w:rPr>
        <w:tab/>
      </w:r>
      <w:r>
        <w:rPr>
          <w:b/>
          <w:lang w:val="en-GB"/>
        </w:rPr>
        <w:t>5 counties</w:t>
      </w:r>
      <w:r>
        <w:rPr>
          <w:lang w:val="en-GB"/>
        </w:rPr>
        <w:t xml:space="preserve">: </w:t>
      </w:r>
      <w:r>
        <w:rPr>
          <w:i/>
          <w:lang w:val="en-GB"/>
        </w:rPr>
        <w:t>Satu Mare, Maramureş, Botoșani, Suceava, Tulcea;</w:t>
      </w:r>
    </w:p>
    <w:p w:rsidR="00C7761C" w:rsidRDefault="00C7761C" w:rsidP="00C7761C">
      <w:pPr>
        <w:spacing w:before="60" w:after="60" w:line="288" w:lineRule="auto"/>
        <w:ind w:firstLine="709"/>
        <w:jc w:val="both"/>
        <w:rPr>
          <w:lang w:val="en-GB"/>
        </w:rPr>
      </w:pPr>
      <w:r>
        <w:rPr>
          <w:b/>
          <w:bCs/>
          <w:lang w:val="en-GB"/>
        </w:rPr>
        <w:t>Ukraine:</w:t>
      </w:r>
      <w:r>
        <w:rPr>
          <w:lang w:val="en-GB"/>
        </w:rPr>
        <w:t xml:space="preserve">  </w:t>
      </w:r>
      <w:r>
        <w:rPr>
          <w:lang w:val="en-GB"/>
        </w:rPr>
        <w:tab/>
      </w:r>
      <w:r>
        <w:rPr>
          <w:b/>
          <w:lang w:val="en-GB"/>
        </w:rPr>
        <w:t>4 oblasts</w:t>
      </w:r>
      <w:r>
        <w:rPr>
          <w:lang w:val="en-GB"/>
        </w:rPr>
        <w:t xml:space="preserve">: </w:t>
      </w:r>
      <w:r>
        <w:rPr>
          <w:i/>
          <w:lang w:val="en-GB"/>
        </w:rPr>
        <w:t>Ivano-Frankivsk, Zakarpatska, Chernivtsi, Odessa.</w:t>
      </w:r>
    </w:p>
    <w:p w:rsidR="00C7761C" w:rsidRDefault="00C7761C" w:rsidP="00C7761C">
      <w:pPr>
        <w:jc w:val="both"/>
        <w:rPr>
          <w:rFonts w:ascii="Times New Roman" w:eastAsia="Calibri" w:hAnsi="Times New Roman"/>
          <w:sz w:val="20"/>
          <w:szCs w:val="20"/>
          <w:lang w:val="en-GB"/>
        </w:rPr>
      </w:pPr>
    </w:p>
    <w:p w:rsidR="00C7761C" w:rsidRDefault="00C7761C" w:rsidP="00C7761C">
      <w:pPr>
        <w:spacing w:before="60" w:after="60" w:line="288" w:lineRule="auto"/>
        <w:ind w:firstLine="709"/>
        <w:jc w:val="both"/>
        <w:rPr>
          <w:rFonts w:eastAsia="EUAlbertina-Regular-Identity-H"/>
          <w:lang w:val="en-GB" w:eastAsia="en-US"/>
        </w:rPr>
      </w:pPr>
      <w:r>
        <w:rPr>
          <w:rFonts w:eastAsia="EUAlbertina-Regular-Identity-H"/>
          <w:lang w:val="en-GB" w:eastAsia="en-US"/>
        </w:rPr>
        <w:t>The core regions encompass a total of 100,860 km</w:t>
      </w:r>
      <w:r>
        <w:rPr>
          <w:rFonts w:eastAsia="EUAlbertina-Regular-Identity-H"/>
          <w:vertAlign w:val="superscript"/>
          <w:lang w:val="en-GB" w:eastAsia="en-US"/>
        </w:rPr>
        <w:t>2</w:t>
      </w:r>
      <w:r>
        <w:rPr>
          <w:rFonts w:eastAsia="EUAlbertina-Regular-Identity-H"/>
          <w:lang w:val="en-GB" w:eastAsia="en-US"/>
        </w:rPr>
        <w:t>, out of which:</w:t>
      </w:r>
    </w:p>
    <w:p w:rsidR="00C7761C" w:rsidRDefault="00C7761C" w:rsidP="00C7761C">
      <w:pPr>
        <w:spacing w:before="60" w:after="60" w:line="288" w:lineRule="auto"/>
        <w:ind w:left="3600" w:hanging="2880"/>
        <w:jc w:val="both"/>
        <w:rPr>
          <w:rFonts w:eastAsia="EUAlbertina-Regular-Identity-H"/>
          <w:lang w:val="en-GB" w:eastAsia="en-US"/>
        </w:rPr>
      </w:pPr>
      <w:r>
        <w:rPr>
          <w:rFonts w:eastAsia="EUAlbertina-Regular-Identity-H"/>
          <w:lang w:val="en-GB" w:eastAsia="en-US"/>
        </w:rPr>
        <w:t>- Romanian teritory:      32,760 km</w:t>
      </w:r>
      <w:r>
        <w:rPr>
          <w:rFonts w:eastAsia="EUAlbertina-Regular-Identity-H"/>
          <w:vertAlign w:val="superscript"/>
          <w:lang w:val="en-GB" w:eastAsia="en-US"/>
        </w:rPr>
        <w:t>2</w:t>
      </w:r>
      <w:r>
        <w:rPr>
          <w:rFonts w:eastAsia="EUAlbertina-Regular-Identity-H"/>
          <w:lang w:val="en-GB" w:eastAsia="en-US"/>
        </w:rPr>
        <w:t xml:space="preserve"> (Suceava 8,553 km</w:t>
      </w:r>
      <w:r>
        <w:rPr>
          <w:rFonts w:eastAsia="EUAlbertina-Regular-Identity-H"/>
          <w:vertAlign w:val="superscript"/>
          <w:lang w:val="en-GB" w:eastAsia="en-US"/>
        </w:rPr>
        <w:t>2</w:t>
      </w:r>
      <w:r>
        <w:rPr>
          <w:rFonts w:eastAsia="EUAlbertina-Regular-Identity-H"/>
          <w:lang w:val="en-GB" w:eastAsia="en-US"/>
        </w:rPr>
        <w:t>, Botosani 4,986 km</w:t>
      </w:r>
      <w:r>
        <w:rPr>
          <w:rFonts w:eastAsia="EUAlbertina-Regular-Identity-H"/>
          <w:vertAlign w:val="superscript"/>
          <w:lang w:val="en-GB" w:eastAsia="en-US"/>
        </w:rPr>
        <w:t>2</w:t>
      </w:r>
      <w:r>
        <w:rPr>
          <w:rFonts w:eastAsia="EUAlbertina-Regular-Identity-H"/>
          <w:lang w:val="en-GB" w:eastAsia="en-US"/>
        </w:rPr>
        <w:t>, Satu - Mare 4,418 km</w:t>
      </w:r>
      <w:r>
        <w:rPr>
          <w:rFonts w:eastAsia="EUAlbertina-Regular-Identity-H"/>
          <w:vertAlign w:val="superscript"/>
          <w:lang w:val="en-GB" w:eastAsia="en-US"/>
        </w:rPr>
        <w:t>2</w:t>
      </w:r>
      <w:r>
        <w:rPr>
          <w:rFonts w:eastAsia="EUAlbertina-Regular-Identity-H"/>
          <w:lang w:val="en-GB" w:eastAsia="en-US"/>
        </w:rPr>
        <w:t>, Maramures 6.304 km</w:t>
      </w:r>
      <w:r>
        <w:rPr>
          <w:rFonts w:eastAsia="EUAlbertina-Regular-Identity-H"/>
          <w:vertAlign w:val="superscript"/>
          <w:lang w:val="en-GB" w:eastAsia="en-US"/>
        </w:rPr>
        <w:t>2</w:t>
      </w:r>
      <w:r>
        <w:rPr>
          <w:rFonts w:eastAsia="EUAlbertina-Regular-Identity-H"/>
          <w:lang w:val="en-GB" w:eastAsia="en-US"/>
        </w:rPr>
        <w:t>, Tulcea 8,499 km</w:t>
      </w:r>
      <w:r>
        <w:rPr>
          <w:rFonts w:eastAsia="EUAlbertina-Regular-Identity-H"/>
          <w:vertAlign w:val="superscript"/>
          <w:lang w:val="en-GB" w:eastAsia="en-US"/>
        </w:rPr>
        <w:t>2</w:t>
      </w:r>
      <w:r>
        <w:rPr>
          <w:rFonts w:eastAsia="EUAlbertina-Regular-Identity-H"/>
          <w:lang w:val="en-GB" w:eastAsia="en-US"/>
        </w:rPr>
        <w:t>);</w:t>
      </w:r>
    </w:p>
    <w:p w:rsidR="00C7761C" w:rsidRDefault="00C7761C" w:rsidP="00C7761C">
      <w:pPr>
        <w:spacing w:before="60" w:after="60" w:line="288" w:lineRule="auto"/>
        <w:ind w:left="3600" w:hanging="2880"/>
        <w:jc w:val="both"/>
        <w:rPr>
          <w:rFonts w:eastAsia="EUAlbertina-Regular-Identity-H"/>
          <w:lang w:val="en-GB" w:eastAsia="en-US"/>
        </w:rPr>
      </w:pPr>
      <w:r>
        <w:rPr>
          <w:rFonts w:eastAsia="EUAlbertina-Regular-Identity-H"/>
          <w:lang w:val="en-GB" w:eastAsia="en-US"/>
        </w:rPr>
        <w:t xml:space="preserve">- Ukrainean teritory: </w:t>
      </w:r>
      <w:r>
        <w:rPr>
          <w:rFonts w:eastAsia="EUAlbertina-Regular-Identity-H"/>
          <w:lang w:val="en-GB" w:eastAsia="en-US"/>
        </w:rPr>
        <w:tab/>
        <w:t>68,100 km</w:t>
      </w:r>
      <w:r>
        <w:rPr>
          <w:rFonts w:eastAsia="EUAlbertina-Regular-Identity-H"/>
          <w:vertAlign w:val="superscript"/>
          <w:lang w:val="en-GB" w:eastAsia="en-US"/>
        </w:rPr>
        <w:t>2</w:t>
      </w:r>
      <w:r>
        <w:rPr>
          <w:rFonts w:eastAsia="EUAlbertina-Regular-Identity-H"/>
          <w:lang w:val="en-GB" w:eastAsia="en-US"/>
        </w:rPr>
        <w:t xml:space="preserve"> (Zakarpatska 12,800 km</w:t>
      </w:r>
      <w:r>
        <w:rPr>
          <w:rFonts w:eastAsia="EUAlbertina-Regular-Identity-H"/>
          <w:vertAlign w:val="superscript"/>
          <w:lang w:val="en-GB" w:eastAsia="en-US"/>
        </w:rPr>
        <w:t>2</w:t>
      </w:r>
      <w:r>
        <w:rPr>
          <w:rFonts w:eastAsia="EUAlbertina-Regular-Identity-H"/>
          <w:lang w:val="en-GB" w:eastAsia="en-US"/>
        </w:rPr>
        <w:t>, Ivano-Frankivsk 13,900 km</w:t>
      </w:r>
      <w:r>
        <w:rPr>
          <w:rFonts w:eastAsia="EUAlbertina-Regular-Identity-H"/>
          <w:vertAlign w:val="superscript"/>
          <w:lang w:val="en-GB" w:eastAsia="en-US"/>
        </w:rPr>
        <w:t>2</w:t>
      </w:r>
      <w:r>
        <w:rPr>
          <w:rFonts w:eastAsia="EUAlbertina-Regular-Identity-H"/>
          <w:lang w:val="en-GB" w:eastAsia="en-US"/>
        </w:rPr>
        <w:t>, Odesa 33,300 km</w:t>
      </w:r>
      <w:r>
        <w:rPr>
          <w:rFonts w:eastAsia="EUAlbertina-Regular-Identity-H"/>
          <w:vertAlign w:val="superscript"/>
          <w:lang w:val="en-GB" w:eastAsia="en-US"/>
        </w:rPr>
        <w:t>2</w:t>
      </w:r>
      <w:r>
        <w:rPr>
          <w:rFonts w:eastAsia="EUAlbertina-Regular-Identity-H"/>
          <w:lang w:val="en-GB" w:eastAsia="en-US"/>
        </w:rPr>
        <w:t>, Chernivtsi 8,100 km</w:t>
      </w:r>
      <w:r>
        <w:rPr>
          <w:rFonts w:eastAsia="EUAlbertina-Regular-Identity-H"/>
          <w:vertAlign w:val="superscript"/>
          <w:lang w:val="en-GB" w:eastAsia="en-US"/>
        </w:rPr>
        <w:t>2</w:t>
      </w:r>
      <w:r>
        <w:rPr>
          <w:rFonts w:eastAsia="EUAlbertina-Regular-Identity-H"/>
          <w:lang w:val="en-GB" w:eastAsia="en-US"/>
        </w:rPr>
        <w:t xml:space="preserve">) . </w:t>
      </w:r>
    </w:p>
    <w:p w:rsidR="00C7761C" w:rsidRDefault="00C7761C" w:rsidP="00C7761C">
      <w:pPr>
        <w:spacing w:before="60" w:after="60" w:line="288" w:lineRule="auto"/>
        <w:ind w:firstLine="720"/>
        <w:jc w:val="both"/>
        <w:rPr>
          <w:rFonts w:eastAsia="EUAlbertina-Regular-Identity-H"/>
          <w:lang w:val="en-GB" w:eastAsia="en-US"/>
        </w:rPr>
      </w:pPr>
      <w:r>
        <w:rPr>
          <w:rFonts w:eastAsia="EUAlbertina-Regular-Identity-H"/>
          <w:lang w:val="en-GB" w:eastAsia="en-US"/>
        </w:rPr>
        <w:t xml:space="preserve">In terms of proportionality, the Ukrainian eligible area is more than double in size compared to the Romanian territory. </w:t>
      </w:r>
    </w:p>
    <w:p w:rsidR="00C7761C" w:rsidRDefault="00C7761C" w:rsidP="00C7761C">
      <w:pPr>
        <w:spacing w:before="60" w:after="60" w:line="288" w:lineRule="auto"/>
        <w:jc w:val="both"/>
        <w:rPr>
          <w:rFonts w:eastAsia="EUAlbertina-Regular-Identity-H"/>
          <w:lang w:val="en-GB" w:eastAsia="en-US"/>
        </w:rPr>
      </w:pPr>
      <w:r>
        <w:rPr>
          <w:rFonts w:eastAsia="EUAlbertina-Regular-Identity-H"/>
          <w:lang w:val="en-GB" w:eastAsia="en-US"/>
        </w:rPr>
        <w:tab/>
        <w:t>The border shared by the two countries represents part of the current virtual border of the European Union, as the Romanian regions of North-West, North-East, and South-East are the outermost border regions of the EU in the region.</w:t>
      </w:r>
    </w:p>
    <w:p w:rsidR="00C7761C" w:rsidRDefault="00C7761C" w:rsidP="00C7761C">
      <w:pPr>
        <w:spacing w:before="60" w:after="60" w:line="288" w:lineRule="auto"/>
        <w:jc w:val="both"/>
        <w:rPr>
          <w:rFonts w:eastAsia="EUAlbertina-Regular-Identity-H"/>
          <w:lang w:val="en-GB" w:eastAsia="en-US"/>
        </w:rPr>
      </w:pPr>
    </w:p>
    <w:p w:rsidR="00C7761C" w:rsidRDefault="00C7761C" w:rsidP="00C7761C">
      <w:pPr>
        <w:spacing w:before="60" w:after="60" w:line="288" w:lineRule="auto"/>
        <w:ind w:firstLine="705"/>
        <w:jc w:val="both"/>
        <w:rPr>
          <w:rFonts w:eastAsia="EUAlbertina-Regular-Identity-H"/>
          <w:b/>
          <w:i/>
          <w:lang w:val="en-GB" w:eastAsia="en-US"/>
        </w:rPr>
      </w:pPr>
      <w:r>
        <w:rPr>
          <w:rFonts w:eastAsia="EUAlbertina-Regular-Identity-H"/>
          <w:b/>
          <w:i/>
          <w:lang w:val="en-GB" w:eastAsia="en-US"/>
        </w:rPr>
        <w:t>Romania-Ukraine border</w:t>
      </w:r>
    </w:p>
    <w:p w:rsidR="00C7761C" w:rsidRDefault="00C7761C" w:rsidP="00C7761C">
      <w:pPr>
        <w:spacing w:before="60" w:after="60" w:line="288" w:lineRule="auto"/>
        <w:ind w:firstLine="705"/>
        <w:jc w:val="both"/>
        <w:rPr>
          <w:rFonts w:eastAsia="EUAlbertina-Regular-Identity-H"/>
          <w:i/>
          <w:lang w:val="en-GB" w:eastAsia="en-US"/>
        </w:rPr>
      </w:pPr>
    </w:p>
    <w:p w:rsidR="00C7761C" w:rsidRDefault="00C7761C" w:rsidP="00C7761C">
      <w:pPr>
        <w:spacing w:before="60" w:after="60" w:line="288" w:lineRule="auto"/>
        <w:ind w:firstLine="705"/>
        <w:jc w:val="both"/>
        <w:rPr>
          <w:rFonts w:eastAsia="EUAlbertina-Regular-Identity-H"/>
          <w:lang w:val="en-GB" w:eastAsia="en-US"/>
        </w:rPr>
      </w:pPr>
      <w:r>
        <w:rPr>
          <w:rFonts w:eastAsia="EUAlbertina-Regular-Identity-H"/>
          <w:lang w:val="en-GB" w:eastAsia="en-US"/>
        </w:rPr>
        <w:t xml:space="preserve">The total length of the border is of 649.4 km. </w:t>
      </w:r>
    </w:p>
    <w:p w:rsidR="00C7761C" w:rsidRDefault="00C7761C" w:rsidP="00C7761C">
      <w:pPr>
        <w:spacing w:before="60" w:after="60" w:line="288" w:lineRule="auto"/>
        <w:ind w:firstLine="705"/>
        <w:jc w:val="both"/>
        <w:rPr>
          <w:rFonts w:eastAsia="EUAlbertina-Regular-Identity-H"/>
          <w:lang w:val="en-GB" w:eastAsia="en-US"/>
        </w:rPr>
      </w:pPr>
      <w:r>
        <w:rPr>
          <w:rFonts w:eastAsia="EUAlbertina-Regular-Identity-H"/>
          <w:lang w:val="en-GB" w:eastAsia="en-US"/>
        </w:rPr>
        <w:t>The border is varied in terms of type: land – 273.8 km, river – 343.9 km, sea – 31.7 km. Furthermore, the Southern part of the Romanian-Ukrainian border divides the shared biosphere of the Danube Delta. The two countries share six land border crossing points, accessible by car and train:</w:t>
      </w:r>
    </w:p>
    <w:p w:rsidR="00C7761C" w:rsidRDefault="00C7761C" w:rsidP="00C7761C">
      <w:pPr>
        <w:numPr>
          <w:ilvl w:val="0"/>
          <w:numId w:val="9"/>
        </w:numPr>
        <w:tabs>
          <w:tab w:val="clear" w:pos="720"/>
          <w:tab w:val="num" w:pos="1080"/>
        </w:tabs>
        <w:spacing w:before="60" w:after="60" w:line="288" w:lineRule="auto"/>
        <w:ind w:left="1080"/>
        <w:jc w:val="both"/>
        <w:rPr>
          <w:rFonts w:eastAsia="EUAlbertina-Regular-Identity-H"/>
          <w:bCs/>
          <w:lang w:val="en-GB" w:eastAsia="en-US"/>
        </w:rPr>
      </w:pPr>
      <w:r>
        <w:rPr>
          <w:rFonts w:eastAsia="EUAlbertina-Regular-Identity-H"/>
          <w:bCs/>
          <w:lang w:val="en-GB" w:eastAsia="en-US"/>
        </w:rPr>
        <w:t xml:space="preserve">Halmeu – Diakove  </w:t>
      </w:r>
      <w:r>
        <w:rPr>
          <w:rFonts w:eastAsia="EUAlbertina-Regular-Identity-H"/>
          <w:bCs/>
          <w:lang w:val="en-GB" w:eastAsia="en-US"/>
        </w:rPr>
        <w:tab/>
      </w:r>
      <w:r>
        <w:rPr>
          <w:rFonts w:eastAsia="EUAlbertina-Regular-Identity-H"/>
          <w:bCs/>
          <w:lang w:val="en-GB" w:eastAsia="en-US"/>
        </w:rPr>
        <w:tab/>
      </w:r>
      <w:r>
        <w:rPr>
          <w:rFonts w:eastAsia="EUAlbertina-Regular-Identity-H"/>
          <w:bCs/>
          <w:lang w:val="en-GB" w:eastAsia="en-US"/>
        </w:rPr>
        <w:tab/>
      </w:r>
      <w:r>
        <w:rPr>
          <w:rFonts w:eastAsia="EUAlbertina-Regular-Identity-H"/>
          <w:bCs/>
          <w:lang w:val="en-GB" w:eastAsia="en-US"/>
        </w:rPr>
        <w:tab/>
        <w:t>rail and auto;</w:t>
      </w:r>
    </w:p>
    <w:p w:rsidR="00C7761C" w:rsidRDefault="00C7761C" w:rsidP="00C7761C">
      <w:pPr>
        <w:numPr>
          <w:ilvl w:val="0"/>
          <w:numId w:val="9"/>
        </w:numPr>
        <w:tabs>
          <w:tab w:val="clear" w:pos="720"/>
          <w:tab w:val="num" w:pos="1080"/>
        </w:tabs>
        <w:spacing w:before="60" w:after="60" w:line="288" w:lineRule="auto"/>
        <w:ind w:left="1080"/>
        <w:jc w:val="both"/>
        <w:rPr>
          <w:rFonts w:eastAsia="EUAlbertina-Regular-Identity-H"/>
          <w:bCs/>
          <w:lang w:val="en-GB" w:eastAsia="en-US"/>
        </w:rPr>
      </w:pPr>
      <w:r>
        <w:rPr>
          <w:rFonts w:eastAsia="EUAlbertina-Regular-Identity-H"/>
          <w:bCs/>
          <w:lang w:val="en-GB" w:eastAsia="en-US"/>
        </w:rPr>
        <w:t xml:space="preserve">Câmpulung la Tisa – Teresva  </w:t>
      </w:r>
      <w:r>
        <w:rPr>
          <w:rFonts w:eastAsia="EUAlbertina-Regular-Identity-H"/>
          <w:bCs/>
          <w:lang w:val="en-GB" w:eastAsia="en-US"/>
        </w:rPr>
        <w:tab/>
      </w:r>
      <w:r>
        <w:rPr>
          <w:rFonts w:eastAsia="EUAlbertina-Regular-Identity-H"/>
          <w:bCs/>
          <w:lang w:val="en-GB" w:eastAsia="en-US"/>
        </w:rPr>
        <w:tab/>
        <w:t xml:space="preserve">rail, but </w:t>
      </w:r>
      <w:r>
        <w:rPr>
          <w:rFonts w:cs="Arial"/>
          <w:lang w:val="en-GB"/>
        </w:rPr>
        <w:t>not operational</w:t>
      </w:r>
      <w:r>
        <w:rPr>
          <w:rFonts w:eastAsia="EUAlbertina-Regular-Identity-H"/>
          <w:bCs/>
          <w:lang w:val="en-GB" w:eastAsia="en-US"/>
        </w:rPr>
        <w:t>;</w:t>
      </w:r>
    </w:p>
    <w:p w:rsidR="00C7761C" w:rsidRDefault="00C7761C" w:rsidP="00C7761C">
      <w:pPr>
        <w:numPr>
          <w:ilvl w:val="0"/>
          <w:numId w:val="9"/>
        </w:numPr>
        <w:tabs>
          <w:tab w:val="clear" w:pos="720"/>
          <w:tab w:val="num" w:pos="1080"/>
        </w:tabs>
        <w:spacing w:before="60" w:after="60" w:line="288" w:lineRule="auto"/>
        <w:ind w:left="1080"/>
        <w:jc w:val="both"/>
        <w:rPr>
          <w:rFonts w:eastAsia="EUAlbertina-Regular-Identity-H"/>
          <w:bCs/>
          <w:lang w:val="en-GB" w:eastAsia="en-US"/>
        </w:rPr>
      </w:pPr>
      <w:r>
        <w:rPr>
          <w:rFonts w:eastAsia="EUAlbertina-Regular-Identity-H"/>
          <w:bCs/>
          <w:lang w:val="en-GB" w:eastAsia="en-US"/>
        </w:rPr>
        <w:t xml:space="preserve">Sighetu - Marmației – Solotvino </w:t>
      </w:r>
      <w:r>
        <w:rPr>
          <w:rFonts w:eastAsia="EUAlbertina-Regular-Identity-H"/>
          <w:bCs/>
          <w:lang w:val="en-GB" w:eastAsia="en-US"/>
        </w:rPr>
        <w:tab/>
      </w:r>
      <w:r>
        <w:rPr>
          <w:rFonts w:eastAsia="EUAlbertina-Regular-Identity-H"/>
          <w:bCs/>
          <w:lang w:val="en-GB" w:eastAsia="en-US"/>
        </w:rPr>
        <w:tab/>
        <w:t>auto;</w:t>
      </w:r>
    </w:p>
    <w:p w:rsidR="00C7761C" w:rsidRDefault="00C7761C" w:rsidP="00C7761C">
      <w:pPr>
        <w:numPr>
          <w:ilvl w:val="0"/>
          <w:numId w:val="9"/>
        </w:numPr>
        <w:tabs>
          <w:tab w:val="clear" w:pos="720"/>
          <w:tab w:val="num" w:pos="1080"/>
        </w:tabs>
        <w:spacing w:before="60" w:after="60" w:line="288" w:lineRule="auto"/>
        <w:ind w:left="1080"/>
        <w:jc w:val="both"/>
        <w:rPr>
          <w:rFonts w:eastAsia="EUAlbertina-Regular-Identity-H"/>
          <w:bCs/>
          <w:lang w:val="en-GB" w:eastAsia="en-US"/>
        </w:rPr>
      </w:pPr>
      <w:r>
        <w:rPr>
          <w:rFonts w:eastAsia="EUAlbertina-Regular-Identity-H"/>
          <w:bCs/>
          <w:lang w:val="en-GB" w:eastAsia="en-US"/>
        </w:rPr>
        <w:t xml:space="preserve">Valea Vișeului – Dilove  </w:t>
      </w:r>
      <w:r>
        <w:rPr>
          <w:rFonts w:eastAsia="EUAlbertina-Regular-Identity-H"/>
          <w:bCs/>
          <w:lang w:val="en-GB" w:eastAsia="en-US"/>
        </w:rPr>
        <w:tab/>
      </w:r>
      <w:r>
        <w:rPr>
          <w:rFonts w:eastAsia="EUAlbertina-Regular-Identity-H"/>
          <w:bCs/>
          <w:lang w:val="en-GB" w:eastAsia="en-US"/>
        </w:rPr>
        <w:tab/>
      </w:r>
      <w:r>
        <w:rPr>
          <w:rFonts w:eastAsia="EUAlbertina-Regular-Identity-H"/>
          <w:bCs/>
          <w:lang w:val="en-GB" w:eastAsia="en-US"/>
        </w:rPr>
        <w:tab/>
        <w:t xml:space="preserve">rail; </w:t>
      </w:r>
    </w:p>
    <w:p w:rsidR="00C7761C" w:rsidRDefault="00C7761C" w:rsidP="00C7761C">
      <w:pPr>
        <w:numPr>
          <w:ilvl w:val="0"/>
          <w:numId w:val="9"/>
        </w:numPr>
        <w:tabs>
          <w:tab w:val="clear" w:pos="720"/>
          <w:tab w:val="num" w:pos="1080"/>
        </w:tabs>
        <w:spacing w:before="60" w:after="60" w:line="288" w:lineRule="auto"/>
        <w:ind w:left="1080"/>
        <w:jc w:val="both"/>
        <w:rPr>
          <w:rFonts w:eastAsia="EUAlbertina-Regular-Identity-H"/>
          <w:bCs/>
          <w:lang w:val="en-GB" w:eastAsia="en-US"/>
        </w:rPr>
      </w:pPr>
      <w:r>
        <w:rPr>
          <w:rFonts w:eastAsia="EUAlbertina-Regular-Identity-H"/>
          <w:bCs/>
          <w:lang w:val="en-GB" w:eastAsia="en-US"/>
        </w:rPr>
        <w:t xml:space="preserve">Vicșani – Vadul Siret  </w:t>
      </w:r>
      <w:r>
        <w:rPr>
          <w:rFonts w:eastAsia="EUAlbertina-Regular-Identity-H"/>
          <w:bCs/>
          <w:lang w:val="en-GB" w:eastAsia="en-US"/>
        </w:rPr>
        <w:tab/>
      </w:r>
      <w:r>
        <w:rPr>
          <w:rFonts w:eastAsia="EUAlbertina-Regular-Identity-H"/>
          <w:bCs/>
          <w:lang w:val="en-GB" w:eastAsia="en-US"/>
        </w:rPr>
        <w:tab/>
      </w:r>
      <w:r>
        <w:rPr>
          <w:rFonts w:eastAsia="EUAlbertina-Regular-Identity-H"/>
          <w:bCs/>
          <w:lang w:val="en-GB" w:eastAsia="en-US"/>
        </w:rPr>
        <w:tab/>
      </w:r>
      <w:r>
        <w:rPr>
          <w:rFonts w:eastAsia="EUAlbertina-Regular-Identity-H"/>
          <w:bCs/>
          <w:lang w:val="en-GB" w:eastAsia="en-US"/>
        </w:rPr>
        <w:tab/>
        <w:t xml:space="preserve">rail, but not </w:t>
      </w:r>
      <w:r>
        <w:rPr>
          <w:rFonts w:cs="Arial"/>
          <w:lang w:val="en-GB"/>
        </w:rPr>
        <w:t>operational</w:t>
      </w:r>
      <w:r>
        <w:rPr>
          <w:rFonts w:eastAsia="EUAlbertina-Regular-Identity-H"/>
          <w:bCs/>
          <w:lang w:val="en-GB" w:eastAsia="en-US"/>
        </w:rPr>
        <w:t>;</w:t>
      </w:r>
    </w:p>
    <w:p w:rsidR="00C7761C" w:rsidRDefault="00C7761C" w:rsidP="00C7761C">
      <w:pPr>
        <w:numPr>
          <w:ilvl w:val="0"/>
          <w:numId w:val="9"/>
        </w:numPr>
        <w:tabs>
          <w:tab w:val="clear" w:pos="720"/>
          <w:tab w:val="num" w:pos="1080"/>
        </w:tabs>
        <w:spacing w:before="60" w:after="60" w:line="288" w:lineRule="auto"/>
        <w:ind w:left="1080"/>
        <w:jc w:val="both"/>
        <w:rPr>
          <w:rFonts w:eastAsia="EUAlbertina-Regular-Identity-H"/>
          <w:bCs/>
          <w:lang w:val="en-GB" w:eastAsia="en-US"/>
        </w:rPr>
      </w:pPr>
      <w:r>
        <w:rPr>
          <w:rFonts w:eastAsia="EUAlbertina-Regular-Identity-H"/>
          <w:bCs/>
          <w:lang w:val="en-GB" w:eastAsia="en-US"/>
        </w:rPr>
        <w:t xml:space="preserve">Siret – Porubne  </w:t>
      </w:r>
      <w:r>
        <w:rPr>
          <w:rFonts w:eastAsia="EUAlbertina-Regular-Identity-H"/>
          <w:bCs/>
          <w:lang w:val="en-GB" w:eastAsia="en-US"/>
        </w:rPr>
        <w:tab/>
      </w:r>
      <w:r>
        <w:rPr>
          <w:rFonts w:eastAsia="EUAlbertina-Regular-Identity-H"/>
          <w:bCs/>
          <w:lang w:val="en-GB" w:eastAsia="en-US"/>
        </w:rPr>
        <w:tab/>
      </w:r>
      <w:r>
        <w:rPr>
          <w:rFonts w:eastAsia="EUAlbertina-Regular-Identity-H"/>
          <w:bCs/>
          <w:lang w:val="en-GB" w:eastAsia="en-US"/>
        </w:rPr>
        <w:tab/>
      </w:r>
      <w:r>
        <w:rPr>
          <w:rFonts w:eastAsia="EUAlbertina-Regular-Identity-H"/>
          <w:bCs/>
          <w:lang w:val="en-GB" w:eastAsia="en-US"/>
        </w:rPr>
        <w:tab/>
        <w:t>auto.</w:t>
      </w:r>
    </w:p>
    <w:p w:rsidR="00C7761C" w:rsidRDefault="00C7761C" w:rsidP="00C7761C">
      <w:pPr>
        <w:spacing w:before="60" w:after="60" w:line="288" w:lineRule="auto"/>
        <w:jc w:val="both"/>
        <w:rPr>
          <w:rFonts w:eastAsia="EUAlbertina-Regular-Identity-H"/>
          <w:lang w:val="en-GB" w:eastAsia="en-US"/>
        </w:rPr>
      </w:pPr>
    </w:p>
    <w:p w:rsidR="00C7761C" w:rsidRDefault="00C7761C" w:rsidP="00C7761C">
      <w:pPr>
        <w:jc w:val="center"/>
        <w:rPr>
          <w:rFonts w:cs="Arial"/>
          <w:lang w:val="en-GB" w:eastAsia="en-US"/>
        </w:rPr>
      </w:pPr>
      <w:r>
        <w:rPr>
          <w:noProof/>
          <w:lang w:val="en-US" w:eastAsia="en-US"/>
        </w:rPr>
        <w:lastRenderedPageBreak/>
        <w:drawing>
          <wp:inline distT="0" distB="0" distL="0" distR="0" wp14:anchorId="4DAE42A7" wp14:editId="313FD257">
            <wp:extent cx="5259705" cy="42138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9705" cy="4213860"/>
                    </a:xfrm>
                    <a:prstGeom prst="rect">
                      <a:avLst/>
                    </a:prstGeom>
                    <a:solidFill>
                      <a:srgbClr val="FFFFFF"/>
                    </a:solidFill>
                    <a:ln>
                      <a:noFill/>
                    </a:ln>
                  </pic:spPr>
                </pic:pic>
              </a:graphicData>
            </a:graphic>
          </wp:inline>
        </w:drawing>
      </w:r>
    </w:p>
    <w:p w:rsidR="00C7761C" w:rsidRDefault="00C7761C" w:rsidP="00C7761C">
      <w:pPr>
        <w:rPr>
          <w:lang w:val="en-GB" w:eastAsia="en-US"/>
        </w:rPr>
      </w:pPr>
    </w:p>
    <w:p w:rsidR="00C7761C" w:rsidRDefault="00C7761C" w:rsidP="00C77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lang w:val="en-GB" w:eastAsia="en-US"/>
        </w:rPr>
      </w:pPr>
      <w:r>
        <w:rPr>
          <w:lang w:val="en-GB" w:eastAsia="en-US"/>
        </w:rPr>
        <w:t xml:space="preserve">The programme area sums up a total of approximately 8,022,042 inhabitants. Of the total </w:t>
      </w:r>
      <w:r>
        <w:rPr>
          <w:i/>
          <w:lang w:val="en-GB" w:eastAsia="en-US"/>
        </w:rPr>
        <w:t>population</w:t>
      </w:r>
      <w:r>
        <w:rPr>
          <w:lang w:val="en-GB" w:eastAsia="en-US"/>
        </w:rPr>
        <w:t>, 26% (2,083,538 inhabitants) reside on the Romanian side of the border and 74% (5,938,504 inhabitants) on the Ukrainian side.</w:t>
      </w:r>
    </w:p>
    <w:p w:rsidR="00C7761C" w:rsidRDefault="00C7761C" w:rsidP="00C77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rFonts w:cs="Arial"/>
          <w:lang w:val="en-GB" w:eastAsia="en-US"/>
        </w:rPr>
      </w:pPr>
      <w:r>
        <w:rPr>
          <w:rFonts w:cs="Arial"/>
          <w:lang w:val="en-GB" w:eastAsia="en-US"/>
        </w:rPr>
        <w:t xml:space="preserve">The core eligible area concentrates a large population with ages between 15 and 64 years. Territorial comparisons show that the four Ukrainian oblasts have a positive (but sensitive) natural increase of 0.6‰, while the Romanian counties have a negative rate of -3.78‰. </w:t>
      </w:r>
    </w:p>
    <w:p w:rsidR="00C7761C" w:rsidRDefault="00C7761C" w:rsidP="00C77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rFonts w:cs="Arial"/>
          <w:lang w:val="en-GB" w:eastAsia="en-US"/>
        </w:rPr>
      </w:pPr>
      <w:r>
        <w:rPr>
          <w:rFonts w:cs="Arial"/>
          <w:lang w:val="en-GB" w:eastAsia="en-US"/>
        </w:rPr>
        <w:t>The health infrastructures are limited in development especially in the rural areas. The level of development and the capacity of the health units are below national averages across all of the core eligible area. In Romania, male life expectancy is 71 years and female life expectancy is 78 years, while in Ukraine the life expectancy for males is of 66 years and 76 years for females. Compared to previous years life expectancy is on a rise, but it is still below European averages.</w:t>
      </w:r>
    </w:p>
    <w:p w:rsidR="00C7761C" w:rsidRDefault="00C7761C" w:rsidP="00C77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rFonts w:cs="Arial"/>
          <w:lang w:val="en-GB" w:eastAsia="en-US"/>
        </w:rPr>
      </w:pPr>
      <w:r>
        <w:rPr>
          <w:rFonts w:cs="Arial"/>
          <w:lang w:val="en-GB" w:eastAsia="en-US"/>
        </w:rPr>
        <w:t xml:space="preserve">The core eligible area's </w:t>
      </w:r>
      <w:r>
        <w:rPr>
          <w:rFonts w:cs="Arial"/>
          <w:i/>
          <w:lang w:val="en-GB" w:eastAsia="en-US"/>
        </w:rPr>
        <w:t>active population</w:t>
      </w:r>
      <w:r>
        <w:rPr>
          <w:rFonts w:cs="Arial"/>
          <w:lang w:val="en-GB" w:eastAsia="en-US"/>
        </w:rPr>
        <w:t xml:space="preserve"> represents 45.09% of the total population. Out this total, 93.83% of the active population is employed, while 6.15% is unemployed. The largest employed population by sector is employed in the agricultural sector, and represents 25.35% of the total employed population. Territorial differences are however significant, as in Romania 42.58% of the employed population works in this sector, while in Ukraine only 20.35%. In the latter case, this still represents the largest sector by employed population.</w:t>
      </w:r>
    </w:p>
    <w:p w:rsidR="00C7761C" w:rsidRDefault="00C7761C" w:rsidP="00C77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rFonts w:cs="Arial"/>
          <w:lang w:val="en-GB" w:eastAsia="en-US"/>
        </w:rPr>
      </w:pPr>
      <w:r>
        <w:rPr>
          <w:rFonts w:cs="Arial"/>
          <w:lang w:val="en-GB" w:eastAsia="en-US"/>
        </w:rPr>
        <w:t xml:space="preserve">The average gross monthly earnings in the area are some of the lowest at national and European levels.  On average the gross monthly earnings reached in 2012 €360 in Romania and €241 in Ukraine. The agricultural sector is the largest sector in terms of </w:t>
      </w:r>
      <w:r>
        <w:rPr>
          <w:rFonts w:cs="Arial"/>
          <w:lang w:val="en-GB" w:eastAsia="en-US"/>
        </w:rPr>
        <w:lastRenderedPageBreak/>
        <w:t xml:space="preserve">employed population; however, earnings in this sector are some of the lowest, registering values below the averages. </w:t>
      </w:r>
    </w:p>
    <w:p w:rsidR="00C7761C" w:rsidRDefault="00C7761C" w:rsidP="00C77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90"/>
        <w:jc w:val="both"/>
        <w:rPr>
          <w:rFonts w:cs="Arial"/>
          <w:lang w:val="en-GB" w:eastAsia="en-US"/>
        </w:rPr>
      </w:pPr>
      <w:r>
        <w:rPr>
          <w:rFonts w:cs="Arial"/>
          <w:b/>
          <w:i/>
          <w:lang w:val="en-GB" w:eastAsia="en-US"/>
        </w:rPr>
        <w:t xml:space="preserve">Competitiveness </w:t>
      </w:r>
      <w:r>
        <w:rPr>
          <w:rFonts w:cs="Arial"/>
          <w:lang w:val="en-GB" w:eastAsia="en-US"/>
        </w:rPr>
        <w:t xml:space="preserve">is rather low in the core eligible area. The major causes behind this are: the predominance of agriculture and industry as the main economic activity and the lack diverse economic activities; the low level of investments in Research &amp; Development and its underuse in industrial and technological activities, reducing productivity; low accessibility due to the poor quality of the transport infrastructure; the underdeveloped and deteriorating public utilities infrastructure; and the low ICT penetration rates at territorial level. </w:t>
      </w:r>
    </w:p>
    <w:p w:rsidR="00C7761C" w:rsidRDefault="00C7761C" w:rsidP="00C77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90"/>
        <w:jc w:val="both"/>
        <w:rPr>
          <w:rFonts w:cs="Arial"/>
          <w:b/>
          <w:i/>
          <w:lang w:val="en-GB" w:eastAsia="en-US"/>
        </w:rPr>
      </w:pPr>
    </w:p>
    <w:p w:rsidR="00C7761C" w:rsidRDefault="00C7761C" w:rsidP="00C77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90"/>
        <w:jc w:val="both"/>
        <w:rPr>
          <w:rFonts w:cs="Arial"/>
          <w:lang w:val="en-GB" w:eastAsia="en-US"/>
        </w:rPr>
      </w:pPr>
      <w:r>
        <w:rPr>
          <w:rFonts w:cs="Arial"/>
          <w:lang w:val="en-GB" w:eastAsia="en-US"/>
        </w:rPr>
        <w:t>In terms of</w:t>
      </w:r>
      <w:r>
        <w:rPr>
          <w:rFonts w:cs="Arial"/>
          <w:b/>
          <w:i/>
          <w:lang w:val="en-GB" w:eastAsia="en-US"/>
        </w:rPr>
        <w:t xml:space="preserve"> infrastructure, </w:t>
      </w:r>
      <w:r>
        <w:rPr>
          <w:rFonts w:cs="Arial"/>
          <w:lang w:val="en-GB" w:eastAsia="en-US"/>
        </w:rPr>
        <w:t xml:space="preserve">the core eligible area has a poorly developed transport infrastructure, which cannot insure accessibility and connectivity at international standards, resulting in an isolation effect. </w:t>
      </w:r>
    </w:p>
    <w:p w:rsidR="00C7761C" w:rsidRDefault="00C7761C" w:rsidP="00C77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90"/>
        <w:jc w:val="both"/>
        <w:rPr>
          <w:rFonts w:cs="Arial"/>
          <w:lang w:val="en-GB" w:eastAsia="en-US"/>
        </w:rPr>
      </w:pPr>
      <w:r>
        <w:rPr>
          <w:rFonts w:cs="Arial"/>
          <w:lang w:val="en-GB" w:eastAsia="en-US"/>
        </w:rPr>
        <w:t xml:space="preserve">Intermodal transport is still limited, as the naval and air links are underdeveloped, in spite of the gain potential given by the Tulcea-Odessa region. The road and rail infrastructures are sufficiently dense if compared to their national figures. However, quality wise the infrastructure still leaves room for improvement. Local roads lack investments due to limited funding opportunities and bureaucracy, compared to national and European roads, which receive significantly more attention. </w:t>
      </w:r>
    </w:p>
    <w:p w:rsidR="00C7761C" w:rsidRDefault="00C7761C" w:rsidP="00C7761C">
      <w:pPr>
        <w:spacing w:before="60" w:after="60" w:line="288" w:lineRule="auto"/>
        <w:ind w:firstLine="705"/>
        <w:jc w:val="both"/>
        <w:rPr>
          <w:rFonts w:cs="Arial"/>
          <w:lang w:val="en-GB" w:eastAsia="en-US"/>
        </w:rPr>
      </w:pPr>
      <w:r>
        <w:rPr>
          <w:rFonts w:cs="Arial"/>
          <w:lang w:val="en-GB" w:eastAsia="en-US"/>
        </w:rPr>
        <w:t xml:space="preserve">The state of the </w:t>
      </w:r>
      <w:r>
        <w:rPr>
          <w:rFonts w:cs="Arial"/>
          <w:b/>
          <w:i/>
          <w:lang w:val="en-GB" w:eastAsia="en-US"/>
        </w:rPr>
        <w:t>public utilities and services infrastructure</w:t>
      </w:r>
      <w:r>
        <w:rPr>
          <w:rFonts w:cs="Arial"/>
          <w:b/>
          <w:lang w:val="en-GB" w:eastAsia="en-US"/>
        </w:rPr>
        <w:t xml:space="preserve"> </w:t>
      </w:r>
      <w:r>
        <w:rPr>
          <w:rFonts w:cs="Arial"/>
          <w:lang w:val="en-GB" w:eastAsia="en-US"/>
        </w:rPr>
        <w:t xml:space="preserve">serving the urban and rural localities in the area raises a number of issues. Even if significant percentages of the localities in the core eligible area are connected to these networks, their quality is rather poor. </w:t>
      </w:r>
    </w:p>
    <w:p w:rsidR="00C7761C" w:rsidRDefault="00C7761C" w:rsidP="00C7761C">
      <w:pPr>
        <w:spacing w:before="60" w:after="60" w:line="288" w:lineRule="auto"/>
        <w:ind w:firstLine="705"/>
        <w:jc w:val="both"/>
        <w:rPr>
          <w:rFonts w:cs="Arial"/>
          <w:lang w:val="en-GB" w:eastAsia="en-US"/>
        </w:rPr>
      </w:pPr>
      <w:r>
        <w:rPr>
          <w:rFonts w:cs="Arial"/>
          <w:lang w:val="en-GB" w:eastAsia="en-US"/>
        </w:rPr>
        <w:t xml:space="preserve">A large portion of these infrastructures are developed before 1989 and in general lack serious investments since then, especially in the case of rural localities. This creates problems in terms of environmental protection, as this leads to the evacuation of undertreated or untreated waters and poorly managed waste, which combined have a negative impact on soil and water quality.The analysis shows that the core eligible area is a big consumer of energy, mostly due to industrial activities and energy production with the purpose of heating. </w:t>
      </w:r>
    </w:p>
    <w:p w:rsidR="00C7761C" w:rsidRDefault="00C7761C" w:rsidP="00C7761C">
      <w:pPr>
        <w:spacing w:before="60" w:after="60" w:line="288" w:lineRule="auto"/>
        <w:ind w:firstLine="705"/>
        <w:jc w:val="both"/>
        <w:rPr>
          <w:rFonts w:cs="Arial"/>
          <w:lang w:val="en-GB" w:eastAsia="en-US"/>
        </w:rPr>
      </w:pPr>
      <w:r>
        <w:rPr>
          <w:rFonts w:cs="Arial"/>
          <w:lang w:val="en-GB" w:eastAsia="en-US"/>
        </w:rPr>
        <w:t>The Ukrainian oblasts have significantly higher levels of energy use compared to the Romanian counties. Furthermore, the Ukrainian oblasts are large consumers of coal and gas as fuels, greatly increasing particle and greenhouse emissions in the area.</w:t>
      </w:r>
    </w:p>
    <w:p w:rsidR="00C7761C" w:rsidRDefault="00C7761C" w:rsidP="00C7761C">
      <w:pPr>
        <w:spacing w:before="60" w:after="60" w:line="288" w:lineRule="auto"/>
        <w:jc w:val="both"/>
        <w:rPr>
          <w:bCs/>
          <w:lang w:val="en-GB" w:eastAsia="en-US"/>
        </w:rPr>
      </w:pPr>
      <w:r>
        <w:rPr>
          <w:rFonts w:cs="Arial"/>
          <w:lang w:val="en-GB" w:eastAsia="en-US"/>
        </w:rPr>
        <w:t xml:space="preserve"> The area benefits from over 1000 natural protected areas of national and international importance and numerous historic sites.</w:t>
      </w:r>
      <w:r>
        <w:rPr>
          <w:bCs/>
          <w:lang w:val="en-GB" w:eastAsia="en-US"/>
        </w:rPr>
        <w:t xml:space="preserve"> The increasing number of tourists in the last two years confirms that the attractiveness of this area is one of international level.</w:t>
      </w:r>
    </w:p>
    <w:p w:rsidR="00C7761C" w:rsidRDefault="00C7761C" w:rsidP="00C7761C">
      <w:pPr>
        <w:spacing w:before="60" w:after="60" w:line="288" w:lineRule="auto"/>
        <w:ind w:firstLine="705"/>
        <w:jc w:val="both"/>
        <w:rPr>
          <w:bCs/>
          <w:lang w:val="en-GB" w:eastAsia="en-US"/>
        </w:rPr>
      </w:pPr>
    </w:p>
    <w:p w:rsidR="00C7761C" w:rsidRDefault="00C7761C" w:rsidP="00C7761C">
      <w:pPr>
        <w:spacing w:before="60" w:after="60" w:line="288" w:lineRule="auto"/>
        <w:ind w:firstLine="705"/>
        <w:jc w:val="both"/>
        <w:rPr>
          <w:bCs/>
          <w:i/>
          <w:lang w:val="en-GB" w:eastAsia="en-US"/>
        </w:rPr>
      </w:pPr>
      <w:r>
        <w:rPr>
          <w:bCs/>
          <w:i/>
          <w:lang w:val="en-GB" w:eastAsia="en-US"/>
        </w:rPr>
        <w:t>Major social, economic and cultural centres</w:t>
      </w:r>
    </w:p>
    <w:p w:rsidR="00C7761C" w:rsidRDefault="00C7761C" w:rsidP="00C7761C">
      <w:pPr>
        <w:spacing w:before="60" w:after="60" w:line="288" w:lineRule="auto"/>
        <w:ind w:firstLine="705"/>
        <w:jc w:val="both"/>
        <w:rPr>
          <w:rFonts w:eastAsia="Calibri" w:cs="Arial"/>
          <w:lang w:val="en-GB" w:eastAsia="en-US"/>
        </w:rPr>
      </w:pPr>
      <w:r>
        <w:rPr>
          <w:rFonts w:eastAsia="Calibri" w:cs="Arial"/>
          <w:lang w:val="en-GB" w:eastAsia="en-US"/>
        </w:rPr>
        <w:t xml:space="preserve">The programme decided to make use of the art. 8 (3) of the </w:t>
      </w:r>
      <w:r>
        <w:rPr>
          <w:rFonts w:eastAsia="Calibri" w:cs="Arial"/>
          <w:i/>
          <w:lang w:val="en-GB" w:eastAsia="en-US"/>
        </w:rPr>
        <w:t>Regulation no 232/2014 of the European Parliament and of the council establishing a European Neighbourhood Instrument</w:t>
      </w:r>
      <w:r>
        <w:rPr>
          <w:rFonts w:eastAsia="Calibri" w:cs="Arial"/>
          <w:lang w:val="en-GB" w:eastAsia="en-US"/>
        </w:rPr>
        <w:t xml:space="preserve"> provisions, and included two major social, economic and cultural centres Bucharest (RO) and Kiev (UA) in the programme area. </w:t>
      </w:r>
    </w:p>
    <w:p w:rsidR="00C7761C" w:rsidRDefault="00C7761C" w:rsidP="00C7761C">
      <w:pPr>
        <w:spacing w:before="60" w:after="60" w:line="288" w:lineRule="auto"/>
        <w:ind w:firstLine="705"/>
        <w:jc w:val="both"/>
        <w:rPr>
          <w:rFonts w:eastAsia="EUAlbertina-Regular-Identity-H"/>
          <w:lang w:val="en-GB" w:eastAsia="en-US"/>
        </w:rPr>
      </w:pPr>
    </w:p>
    <w:p w:rsidR="00C7761C" w:rsidRDefault="00C7761C" w:rsidP="00C7761C">
      <w:pPr>
        <w:spacing w:before="60" w:after="60" w:line="288" w:lineRule="auto"/>
        <w:ind w:firstLine="720"/>
        <w:jc w:val="both"/>
        <w:rPr>
          <w:rFonts w:eastAsia="EUAlbertina-Regular-Identity-H"/>
          <w:lang w:val="en-GB" w:eastAsia="en-US"/>
        </w:rPr>
      </w:pPr>
      <w:r>
        <w:rPr>
          <w:rFonts w:eastAsia="EUAlbertina-Regular-Identity-H"/>
          <w:lang w:val="en-GB" w:eastAsia="en-US"/>
        </w:rPr>
        <w:lastRenderedPageBreak/>
        <w:t xml:space="preserve">A </w:t>
      </w:r>
      <w:r>
        <w:rPr>
          <w:rFonts w:eastAsia="EUAlbertina-Regular-Identity-H"/>
          <w:b/>
          <w:lang w:val="en-GB" w:eastAsia="en-US"/>
        </w:rPr>
        <w:t xml:space="preserve">flexibility rule </w:t>
      </w:r>
      <w:r>
        <w:rPr>
          <w:rFonts w:eastAsia="EUAlbertina-Regular-Identity-H"/>
          <w:lang w:val="en-GB" w:eastAsia="en-US"/>
        </w:rPr>
        <w:t xml:space="preserve">set in accordance to point (b) of article 39(2), and article 45(4) of Commission Regulation 897/2014 </w:t>
      </w:r>
      <w:r>
        <w:rPr>
          <w:rFonts w:eastAsia="EUAlbertina-Regular-Identity-H"/>
          <w:b/>
          <w:lang w:val="en-GB" w:eastAsia="en-US"/>
        </w:rPr>
        <w:t xml:space="preserve">may </w:t>
      </w:r>
      <w:r>
        <w:rPr>
          <w:rFonts w:eastAsia="EUAlbertina-Regular-Identity-H"/>
          <w:lang w:val="en-GB" w:eastAsia="en-US"/>
        </w:rPr>
        <w:t xml:space="preserve">be used outside the programme area (meaning outside core regions and major social, economic and cultural centres).  </w:t>
      </w:r>
    </w:p>
    <w:p w:rsidR="00C7761C" w:rsidRDefault="00C7761C" w:rsidP="00C7761C">
      <w:pPr>
        <w:spacing w:before="60" w:after="60" w:line="288" w:lineRule="auto"/>
        <w:ind w:firstLine="720"/>
        <w:jc w:val="both"/>
        <w:rPr>
          <w:rFonts w:eastAsia="EUAlbertina-Regular-Identity-H"/>
          <w:lang w:val="en-GB" w:eastAsia="en-US"/>
        </w:rPr>
      </w:pPr>
      <w:r>
        <w:rPr>
          <w:rFonts w:eastAsia="EUAlbertina-Regular-Identity-H"/>
          <w:lang w:val="en-GB" w:eastAsia="en-US"/>
        </w:rPr>
        <w:t xml:space="preserve">Maximum 10 % of the Programme allocation may be used outside the programme area or by the beneficiaries located outside the programme area. </w:t>
      </w:r>
    </w:p>
    <w:p w:rsidR="00C7761C" w:rsidRDefault="00C7761C" w:rsidP="00C7761C">
      <w:pPr>
        <w:rPr>
          <w:lang w:val="en-GB" w:eastAsia="en-US"/>
        </w:rPr>
      </w:pPr>
    </w:p>
    <w:p w:rsidR="00C7761C" w:rsidRDefault="00C7761C" w:rsidP="00C7761C">
      <w:pPr>
        <w:jc w:val="center"/>
        <w:rPr>
          <w:lang w:val="en-GB" w:eastAsia="en-US"/>
        </w:rPr>
      </w:pPr>
      <w:r>
        <w:rPr>
          <w:noProof/>
          <w:lang w:val="en-US" w:eastAsia="en-US"/>
        </w:rPr>
        <w:drawing>
          <wp:inline distT="0" distB="0" distL="0" distR="0" wp14:anchorId="44B189E4" wp14:editId="6A03C23F">
            <wp:extent cx="5837555" cy="3079750"/>
            <wp:effectExtent l="0" t="0" r="0" b="6350"/>
            <wp:docPr id="5" name="Picture 1" descr="C:\Users\user\Desktop\ROUA-Final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ROUA-Final - Copy.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37555" cy="3079750"/>
                    </a:xfrm>
                    <a:prstGeom prst="rect">
                      <a:avLst/>
                    </a:prstGeom>
                    <a:noFill/>
                    <a:ln>
                      <a:noFill/>
                    </a:ln>
                  </pic:spPr>
                </pic:pic>
              </a:graphicData>
            </a:graphic>
          </wp:inline>
        </w:drawing>
      </w:r>
    </w:p>
    <w:p w:rsidR="00C7761C" w:rsidRDefault="00C7761C" w:rsidP="00C7761C">
      <w:pPr>
        <w:rPr>
          <w:lang w:val="en-GB" w:eastAsia="en-US"/>
        </w:rPr>
      </w:pPr>
    </w:p>
    <w:p w:rsidR="00C7761C" w:rsidRDefault="00C7761C" w:rsidP="00C7761C">
      <w:pPr>
        <w:pStyle w:val="Heading1"/>
        <w:rPr>
          <w:rFonts w:ascii="Arial" w:hAnsi="Arial" w:cs="Arial"/>
          <w:sz w:val="24"/>
          <w:szCs w:val="24"/>
          <w:lang w:val="en-GB" w:eastAsia="en-US"/>
        </w:rPr>
      </w:pPr>
      <w:bookmarkStart w:id="6" w:name="_Toc419704920"/>
      <w:r>
        <w:rPr>
          <w:rFonts w:ascii="Arial" w:hAnsi="Arial" w:cs="Arial"/>
          <w:sz w:val="24"/>
          <w:szCs w:val="24"/>
          <w:lang w:val="en-GB" w:eastAsia="en-US"/>
        </w:rPr>
        <w:t>2.3 The Programme Description</w:t>
      </w:r>
      <w:bookmarkEnd w:id="6"/>
    </w:p>
    <w:p w:rsidR="00C7761C" w:rsidRDefault="00C7761C" w:rsidP="00C7761C">
      <w:pPr>
        <w:rPr>
          <w:rFonts w:eastAsia="EUAlbertina-Regular-Identity-H"/>
          <w:lang w:val="en-GB" w:eastAsia="en-US"/>
        </w:rPr>
      </w:pPr>
    </w:p>
    <w:p w:rsidR="00C7761C" w:rsidRDefault="00C7761C" w:rsidP="00C7761C">
      <w:pPr>
        <w:spacing w:before="60" w:after="60" w:line="288" w:lineRule="auto"/>
        <w:ind w:firstLine="720"/>
        <w:jc w:val="both"/>
        <w:rPr>
          <w:b/>
          <w:i/>
          <w:lang w:val="en-GB"/>
        </w:rPr>
      </w:pPr>
      <w:r>
        <w:rPr>
          <w:b/>
          <w:i/>
          <w:lang w:val="en-GB"/>
        </w:rPr>
        <w:t xml:space="preserve">The general objective of the Romania-Ukraine Joint Operational Programme is to enhance the economic development and to improve the quality of life of the people in the border area through joint investments in economic development, culture, infrastructure and health. </w:t>
      </w:r>
    </w:p>
    <w:p w:rsidR="00C7761C" w:rsidRDefault="00C7761C" w:rsidP="00C7761C">
      <w:pPr>
        <w:spacing w:before="60" w:after="60" w:line="288" w:lineRule="auto"/>
        <w:ind w:firstLine="720"/>
        <w:jc w:val="both"/>
        <w:rPr>
          <w:rFonts w:eastAsia="EUAlbertina-Regular-Identity-H"/>
          <w:b/>
          <w:bCs/>
          <w:i/>
          <w:iCs/>
          <w:lang w:val="en-GB" w:eastAsia="en-US"/>
        </w:rPr>
      </w:pPr>
    </w:p>
    <w:p w:rsidR="00C7761C" w:rsidRDefault="00C7761C" w:rsidP="00C7761C">
      <w:pPr>
        <w:spacing w:before="60" w:after="60" w:line="288" w:lineRule="auto"/>
        <w:ind w:firstLine="709"/>
        <w:jc w:val="both"/>
        <w:rPr>
          <w:rFonts w:eastAsia="EUAlbertina-Regular-Identity-H"/>
          <w:lang w:val="en-GB" w:eastAsia="en-US"/>
        </w:rPr>
      </w:pPr>
      <w:r>
        <w:rPr>
          <w:rFonts w:eastAsia="EUAlbertina-Regular-Identity-H"/>
          <w:lang w:val="en-GB" w:eastAsia="en-US"/>
        </w:rPr>
        <w:t>The Ro-Ua Programme was concluded with the selection of 4 specific thematic objectives; the activities and the beneficiaries are presented below.</w:t>
      </w:r>
    </w:p>
    <w:p w:rsidR="00C7761C" w:rsidRDefault="00C7761C" w:rsidP="00C7761C">
      <w:pPr>
        <w:spacing w:before="60" w:after="60" w:line="288" w:lineRule="auto"/>
        <w:ind w:firstLine="709"/>
        <w:jc w:val="both"/>
        <w:rPr>
          <w:rFonts w:eastAsia="EUAlbertina-Regular-Identity-H"/>
          <w:lang w:val="en-GB" w:eastAsia="en-US"/>
        </w:rPr>
      </w:pPr>
    </w:p>
    <w:p w:rsidR="00C7761C" w:rsidRDefault="00C7761C" w:rsidP="00C7761C">
      <w:pPr>
        <w:spacing w:before="60" w:after="60" w:line="288" w:lineRule="auto"/>
        <w:jc w:val="both"/>
        <w:rPr>
          <w:b/>
          <w:u w:val="single"/>
          <w:lang w:val="en-GB"/>
        </w:rPr>
      </w:pPr>
      <w:r>
        <w:rPr>
          <w:b/>
          <w:lang w:val="en-GB"/>
        </w:rPr>
        <w:t>TO2 - SUPPORT TO EDUCATION, RESEARCH, TECHNOLOGICAL DEVELOPMENT &amp; INNOVATION</w:t>
      </w:r>
    </w:p>
    <w:p w:rsidR="00C7761C" w:rsidRDefault="00C7761C" w:rsidP="00C7761C">
      <w:pPr>
        <w:spacing w:before="60" w:after="60" w:line="288" w:lineRule="auto"/>
        <w:jc w:val="both"/>
        <w:rPr>
          <w:b/>
          <w:i/>
          <w:lang w:val="en-GB"/>
        </w:rPr>
      </w:pPr>
      <w:r>
        <w:rPr>
          <w:b/>
          <w:bCs/>
          <w:i/>
          <w:iCs/>
          <w:lang w:val="en-GB"/>
        </w:rPr>
        <w:t>Objective 1</w:t>
      </w:r>
      <w:r>
        <w:rPr>
          <w:b/>
          <w:bCs/>
          <w:iCs/>
          <w:lang w:val="en-GB"/>
        </w:rPr>
        <w:t xml:space="preserve">:  </w:t>
      </w:r>
      <w:r w:rsidRPr="004E1796">
        <w:rPr>
          <w:i/>
          <w:lang w:val="en-GB"/>
        </w:rPr>
        <w:t>Develop education and support research and innovation at the level of the Programme area by facilitating the cooperation at local, regional and central level</w:t>
      </w:r>
    </w:p>
    <w:p w:rsidR="00C7761C" w:rsidRDefault="00C7761C" w:rsidP="00C7761C">
      <w:pPr>
        <w:spacing w:before="60" w:after="60" w:line="288" w:lineRule="auto"/>
        <w:jc w:val="both"/>
        <w:rPr>
          <w:b/>
          <w:lang w:val="en-GB"/>
        </w:rPr>
      </w:pPr>
      <w:r>
        <w:rPr>
          <w:b/>
          <w:bCs/>
          <w:iCs/>
          <w:lang w:val="en-GB"/>
        </w:rPr>
        <w:t xml:space="preserve">Priority 1.1 – Institutional cooperation in the educational field for increasing access to education and quality of education </w:t>
      </w:r>
    </w:p>
    <w:p w:rsidR="00C7761C" w:rsidRDefault="00C7761C" w:rsidP="00C7761C">
      <w:pPr>
        <w:spacing w:before="60" w:after="60" w:line="288" w:lineRule="auto"/>
        <w:jc w:val="both"/>
        <w:rPr>
          <w:rFonts w:eastAsia="EUAlbertina-Regular-Identity-H"/>
          <w:b/>
          <w:bCs/>
          <w:iCs/>
          <w:lang w:val="en-GB" w:eastAsia="en-US"/>
        </w:rPr>
      </w:pPr>
    </w:p>
    <w:p w:rsidR="00C7761C" w:rsidRDefault="00C7761C" w:rsidP="00C7761C">
      <w:pPr>
        <w:spacing w:before="60" w:after="60" w:line="288" w:lineRule="auto"/>
        <w:jc w:val="both"/>
        <w:rPr>
          <w:rFonts w:eastAsia="EUAlbertina-Regular-Identity-H"/>
          <w:b/>
          <w:i/>
          <w:lang w:val="en-GB" w:eastAsia="en-US"/>
        </w:rPr>
      </w:pPr>
      <w:r>
        <w:rPr>
          <w:rFonts w:eastAsia="EUAlbertina-Regular-Identity-H"/>
          <w:b/>
          <w:i/>
          <w:iCs/>
          <w:lang w:val="en-GB" w:eastAsia="en-US"/>
        </w:rPr>
        <w:t>Indicative activities:</w:t>
      </w:r>
    </w:p>
    <w:p w:rsidR="00C7761C" w:rsidRDefault="00C7761C" w:rsidP="00C7761C">
      <w:pPr>
        <w:numPr>
          <w:ilvl w:val="0"/>
          <w:numId w:val="51"/>
        </w:numPr>
        <w:spacing w:before="60" w:after="60" w:line="288" w:lineRule="auto"/>
        <w:jc w:val="both"/>
        <w:rPr>
          <w:lang w:val="en-GB"/>
        </w:rPr>
      </w:pPr>
      <w:r>
        <w:rPr>
          <w:lang w:val="en-GB"/>
        </w:rPr>
        <w:t xml:space="preserve">Joint planning and joint development of educational strategies; </w:t>
      </w:r>
    </w:p>
    <w:p w:rsidR="00C7761C" w:rsidRDefault="00C7761C" w:rsidP="00C7761C">
      <w:pPr>
        <w:numPr>
          <w:ilvl w:val="0"/>
          <w:numId w:val="51"/>
        </w:numPr>
        <w:spacing w:before="60" w:after="60" w:line="288" w:lineRule="auto"/>
        <w:jc w:val="both"/>
        <w:rPr>
          <w:lang w:val="en-GB"/>
        </w:rPr>
      </w:pPr>
      <w:r>
        <w:rPr>
          <w:lang w:val="en-GB"/>
        </w:rPr>
        <w:lastRenderedPageBreak/>
        <w:t>Exchanges of experience, teacher exchanges, transfer of good practices between institutions from both sides of the border for increasing the effectiveness of education through the diversification of professional training programs for employees in the education system in areas such as:</w:t>
      </w:r>
    </w:p>
    <w:p w:rsidR="00C7761C" w:rsidRDefault="00C7761C" w:rsidP="00C7761C">
      <w:pPr>
        <w:numPr>
          <w:ilvl w:val="1"/>
          <w:numId w:val="52"/>
        </w:numPr>
        <w:spacing w:before="60" w:after="60" w:line="288" w:lineRule="auto"/>
        <w:ind w:left="1080"/>
        <w:jc w:val="both"/>
        <w:rPr>
          <w:lang w:val="en-GB"/>
        </w:rPr>
      </w:pPr>
      <w:r>
        <w:rPr>
          <w:lang w:val="en-GB"/>
        </w:rPr>
        <w:t>School development, school management, developing the relation between schools and communities;</w:t>
      </w:r>
    </w:p>
    <w:p w:rsidR="00C7761C" w:rsidRDefault="00C7761C" w:rsidP="00C7761C">
      <w:pPr>
        <w:numPr>
          <w:ilvl w:val="1"/>
          <w:numId w:val="52"/>
        </w:numPr>
        <w:spacing w:before="60" w:after="60" w:line="288" w:lineRule="auto"/>
        <w:jc w:val="both"/>
        <w:rPr>
          <w:lang w:val="en-GB"/>
        </w:rPr>
      </w:pPr>
      <w:r>
        <w:rPr>
          <w:lang w:val="en-GB"/>
        </w:rPr>
        <w:t xml:space="preserve">Developing and applying innovative educational methods, for increasing teaching skills  to facilitate and motivate students to perform; </w:t>
      </w:r>
    </w:p>
    <w:p w:rsidR="00C7761C" w:rsidRDefault="00C7761C" w:rsidP="00C7761C">
      <w:pPr>
        <w:numPr>
          <w:ilvl w:val="0"/>
          <w:numId w:val="53"/>
        </w:numPr>
        <w:tabs>
          <w:tab w:val="clear" w:pos="720"/>
        </w:tabs>
        <w:spacing w:before="60" w:after="60" w:line="288" w:lineRule="auto"/>
        <w:jc w:val="both"/>
        <w:rPr>
          <w:lang w:val="en-GB"/>
        </w:rPr>
      </w:pPr>
      <w:r>
        <w:rPr>
          <w:lang w:val="en-GB"/>
        </w:rPr>
        <w:t>Developing specific joint programs of entrepreneurship education, programmes that stimulate creativity, innovation and active citizenship;</w:t>
      </w:r>
    </w:p>
    <w:p w:rsidR="00C7761C" w:rsidRDefault="00C7761C" w:rsidP="00C7761C">
      <w:pPr>
        <w:numPr>
          <w:ilvl w:val="0"/>
          <w:numId w:val="53"/>
        </w:numPr>
        <w:tabs>
          <w:tab w:val="clear" w:pos="720"/>
        </w:tabs>
        <w:spacing w:before="60" w:after="60" w:line="288" w:lineRule="auto"/>
        <w:jc w:val="both"/>
        <w:rPr>
          <w:lang w:val="en-GB"/>
        </w:rPr>
      </w:pPr>
      <w:r>
        <w:rPr>
          <w:lang w:val="en-GB"/>
        </w:rPr>
        <w:t>Rehabilitation/modernization/ extension/ equipment procurement for the educational infrastructure to provide the necessary material preconditions of a quality educational process and increase the participation in the educational processes;</w:t>
      </w:r>
    </w:p>
    <w:p w:rsidR="00C7761C" w:rsidRDefault="00C7761C" w:rsidP="00C7761C">
      <w:pPr>
        <w:numPr>
          <w:ilvl w:val="0"/>
          <w:numId w:val="53"/>
        </w:numPr>
        <w:tabs>
          <w:tab w:val="clear" w:pos="720"/>
        </w:tabs>
        <w:spacing w:before="60" w:after="60" w:line="288" w:lineRule="auto"/>
        <w:jc w:val="both"/>
        <w:rPr>
          <w:lang w:val="en-GB"/>
        </w:rPr>
      </w:pPr>
      <w:r>
        <w:rPr>
          <w:lang w:val="en-GB"/>
        </w:rPr>
        <w:t>Development and implementation of partnerships between education institutions from both sides of the border to:</w:t>
      </w:r>
    </w:p>
    <w:p w:rsidR="00C7761C" w:rsidRDefault="00C7761C" w:rsidP="00C7761C">
      <w:pPr>
        <w:numPr>
          <w:ilvl w:val="0"/>
          <w:numId w:val="54"/>
        </w:numPr>
        <w:spacing w:before="60" w:after="60" w:line="288" w:lineRule="auto"/>
        <w:ind w:left="1080"/>
        <w:jc w:val="both"/>
        <w:rPr>
          <w:lang w:val="en-GB"/>
        </w:rPr>
      </w:pPr>
      <w:r>
        <w:rPr>
          <w:lang w:val="en-GB"/>
        </w:rPr>
        <w:t>Prevent and correct early school leaving phenomenon through integrated programs (including awareness campaigns) for prevention of school dropout, encourage school attendance and reintegration of those who have left school early;</w:t>
      </w:r>
    </w:p>
    <w:p w:rsidR="00C7761C" w:rsidRDefault="00C7761C" w:rsidP="00C7761C">
      <w:pPr>
        <w:numPr>
          <w:ilvl w:val="0"/>
          <w:numId w:val="54"/>
        </w:numPr>
        <w:spacing w:before="60" w:after="60" w:line="288" w:lineRule="auto"/>
        <w:ind w:left="1080"/>
        <w:jc w:val="both"/>
        <w:rPr>
          <w:i/>
          <w:lang w:val="en-GB"/>
        </w:rPr>
      </w:pPr>
      <w:r>
        <w:rPr>
          <w:lang w:val="en-GB"/>
        </w:rPr>
        <w:t xml:space="preserve">Develop after school programs and extra-curricular activities; </w:t>
      </w:r>
    </w:p>
    <w:p w:rsidR="00C7761C" w:rsidRDefault="00C7761C" w:rsidP="00C7761C">
      <w:pPr>
        <w:numPr>
          <w:ilvl w:val="0"/>
          <w:numId w:val="50"/>
        </w:numPr>
        <w:spacing w:before="60" w:after="60" w:line="288" w:lineRule="auto"/>
        <w:jc w:val="both"/>
        <w:rPr>
          <w:lang w:val="en-GB"/>
        </w:rPr>
      </w:pPr>
      <w:r>
        <w:rPr>
          <w:lang w:val="en-GB"/>
        </w:rPr>
        <w:t>Development and implementation of joint actions in support of disadvantaged groups, e.g*.:</w:t>
      </w:r>
    </w:p>
    <w:p w:rsidR="00C7761C" w:rsidRDefault="00C7761C" w:rsidP="00C7761C">
      <w:pPr>
        <w:numPr>
          <w:ilvl w:val="1"/>
          <w:numId w:val="55"/>
        </w:numPr>
        <w:spacing w:before="60" w:after="60" w:line="288" w:lineRule="auto"/>
        <w:ind w:left="1080"/>
        <w:jc w:val="both"/>
        <w:rPr>
          <w:lang w:val="en-GB"/>
        </w:rPr>
      </w:pPr>
      <w:r>
        <w:rPr>
          <w:lang w:val="en-GB"/>
        </w:rPr>
        <w:t>Integrated support actions addressing children and youth with parents living abroad (which may include inter alia guidance, counselling, after school programmes, educational and cultural activities);</w:t>
      </w:r>
    </w:p>
    <w:p w:rsidR="00C7761C" w:rsidRDefault="00C7761C" w:rsidP="00C7761C">
      <w:pPr>
        <w:numPr>
          <w:ilvl w:val="1"/>
          <w:numId w:val="55"/>
        </w:numPr>
        <w:spacing w:before="60" w:after="60" w:line="288" w:lineRule="auto"/>
        <w:ind w:left="1080"/>
        <w:jc w:val="both"/>
        <w:rPr>
          <w:lang w:val="en-GB"/>
        </w:rPr>
      </w:pPr>
      <w:r>
        <w:rPr>
          <w:lang w:val="en-GB"/>
        </w:rPr>
        <w:t>Support actions meant to facilitate the social and work integration of people (children, youth and adults) with disabilities*</w:t>
      </w:r>
    </w:p>
    <w:p w:rsidR="00C7761C" w:rsidRDefault="00C7761C" w:rsidP="00C7761C">
      <w:pPr>
        <w:numPr>
          <w:ilvl w:val="0"/>
          <w:numId w:val="50"/>
        </w:numPr>
        <w:spacing w:before="60" w:after="60" w:line="288" w:lineRule="auto"/>
        <w:jc w:val="both"/>
        <w:rPr>
          <w:lang w:val="en-GB"/>
        </w:rPr>
      </w:pPr>
      <w:r>
        <w:rPr>
          <w:lang w:val="en-GB"/>
        </w:rPr>
        <w:t>Joint support actions for youth for the prevention of drug use, human trafficking, alcohol abuse, etc.**</w:t>
      </w:r>
    </w:p>
    <w:p w:rsidR="00C7761C" w:rsidRDefault="00C7761C" w:rsidP="00C7761C">
      <w:pPr>
        <w:numPr>
          <w:ilvl w:val="0"/>
          <w:numId w:val="50"/>
        </w:numPr>
        <w:spacing w:before="60" w:after="60" w:line="288" w:lineRule="auto"/>
        <w:jc w:val="both"/>
        <w:rPr>
          <w:lang w:val="en-GB"/>
        </w:rPr>
      </w:pPr>
      <w:r>
        <w:rPr>
          <w:lang w:val="en-GB"/>
        </w:rPr>
        <w:t>Development and implementation of cross border actions for enhancing/improving/facilitating job qualifications and competences.**</w:t>
      </w:r>
    </w:p>
    <w:p w:rsidR="00C7761C" w:rsidRDefault="00C7761C" w:rsidP="00C7761C">
      <w:pPr>
        <w:spacing w:before="60" w:after="60" w:line="288" w:lineRule="auto"/>
        <w:ind w:left="360" w:hanging="360"/>
        <w:jc w:val="both"/>
        <w:rPr>
          <w:i/>
          <w:sz w:val="22"/>
          <w:szCs w:val="22"/>
          <w:lang w:val="en-GB"/>
        </w:rPr>
      </w:pPr>
      <w:r>
        <w:rPr>
          <w:i/>
          <w:lang w:val="en-GB"/>
        </w:rPr>
        <w:t xml:space="preserve">* </w:t>
      </w:r>
      <w:r>
        <w:rPr>
          <w:i/>
          <w:sz w:val="22"/>
          <w:szCs w:val="22"/>
          <w:lang w:val="en-GB"/>
        </w:rPr>
        <w:t xml:space="preserve">Only activities that do not provide an economical advantage for the beneficiary will be supported. </w:t>
      </w:r>
    </w:p>
    <w:p w:rsidR="00C7761C" w:rsidRDefault="00C7761C" w:rsidP="00C7761C">
      <w:pPr>
        <w:spacing w:before="60" w:after="60" w:line="288" w:lineRule="auto"/>
        <w:jc w:val="both"/>
        <w:rPr>
          <w:i/>
          <w:lang w:val="en-GB"/>
        </w:rPr>
      </w:pPr>
      <w:r>
        <w:rPr>
          <w:i/>
          <w:sz w:val="22"/>
          <w:szCs w:val="22"/>
          <w:lang w:val="en-GB"/>
        </w:rPr>
        <w:t>** These activities should be carried out in the framework of educational campaigns and in cooperation with education institutions in order to be eligible</w:t>
      </w:r>
      <w:r>
        <w:rPr>
          <w:i/>
          <w:lang w:val="en-GB"/>
        </w:rPr>
        <w:t xml:space="preserve">. </w:t>
      </w:r>
    </w:p>
    <w:p w:rsidR="00C7761C" w:rsidRDefault="00C7761C" w:rsidP="00C7761C">
      <w:pPr>
        <w:spacing w:before="60" w:after="60" w:line="288" w:lineRule="auto"/>
        <w:jc w:val="both"/>
        <w:rPr>
          <w:rFonts w:eastAsia="EUAlbertina-Regular-Identity-H"/>
          <w:b/>
          <w:i/>
          <w:lang w:val="en-GB" w:eastAsia="en-US"/>
        </w:rPr>
      </w:pPr>
    </w:p>
    <w:p w:rsidR="00C7761C" w:rsidRDefault="00C7761C" w:rsidP="00C7761C">
      <w:pPr>
        <w:spacing w:before="60" w:after="60" w:line="288" w:lineRule="auto"/>
        <w:jc w:val="both"/>
        <w:rPr>
          <w:rFonts w:eastAsia="EUAlbertina-Regular-Identity-H"/>
          <w:b/>
          <w:i/>
          <w:lang w:val="en-GB" w:eastAsia="en-US"/>
        </w:rPr>
      </w:pPr>
      <w:r>
        <w:rPr>
          <w:rFonts w:eastAsia="EUAlbertina-Regular-Identity-H"/>
          <w:b/>
          <w:i/>
          <w:lang w:val="en-GB" w:eastAsia="en-US"/>
        </w:rPr>
        <w:t>Indicative Beneficiaries:</w:t>
      </w:r>
    </w:p>
    <w:p w:rsidR="00C7761C" w:rsidRDefault="00C7761C" w:rsidP="00C7761C">
      <w:pPr>
        <w:numPr>
          <w:ilvl w:val="0"/>
          <w:numId w:val="56"/>
        </w:numPr>
        <w:spacing w:before="60" w:after="60" w:line="288" w:lineRule="auto"/>
        <w:rPr>
          <w:lang w:val="en-GB"/>
        </w:rPr>
      </w:pPr>
      <w:r>
        <w:rPr>
          <w:lang w:val="en-GB"/>
        </w:rPr>
        <w:t xml:space="preserve">National/regional/local public administration and other public institutions; </w:t>
      </w:r>
    </w:p>
    <w:p w:rsidR="00C7761C" w:rsidRDefault="00C7761C" w:rsidP="00C7761C">
      <w:pPr>
        <w:numPr>
          <w:ilvl w:val="0"/>
          <w:numId w:val="56"/>
        </w:numPr>
        <w:spacing w:before="60" w:after="60" w:line="288" w:lineRule="auto"/>
        <w:rPr>
          <w:lang w:val="en-GB"/>
        </w:rPr>
      </w:pPr>
      <w:r>
        <w:rPr>
          <w:lang w:val="en-GB"/>
        </w:rPr>
        <w:t>Education institutions;</w:t>
      </w:r>
    </w:p>
    <w:p w:rsidR="00C7761C" w:rsidRDefault="00C7761C" w:rsidP="00C7761C">
      <w:pPr>
        <w:numPr>
          <w:ilvl w:val="0"/>
          <w:numId w:val="56"/>
        </w:numPr>
        <w:spacing w:before="60" w:after="60" w:line="288" w:lineRule="auto"/>
        <w:rPr>
          <w:lang w:val="en-GB"/>
        </w:rPr>
      </w:pPr>
      <w:r>
        <w:rPr>
          <w:lang w:val="en-GB"/>
        </w:rPr>
        <w:t>NGOs; / professional teachers associations; other relevant associations;</w:t>
      </w:r>
    </w:p>
    <w:p w:rsidR="00C7761C" w:rsidRDefault="00C7761C" w:rsidP="00C7761C">
      <w:pPr>
        <w:numPr>
          <w:ilvl w:val="0"/>
          <w:numId w:val="56"/>
        </w:numPr>
        <w:spacing w:before="60" w:after="60" w:line="288" w:lineRule="auto"/>
        <w:rPr>
          <w:lang w:val="en-GB"/>
        </w:rPr>
      </w:pPr>
      <w:r>
        <w:rPr>
          <w:lang w:val="en-GB"/>
        </w:rPr>
        <w:t>Health organizations acting to prevent and cope with alcohol and drug abuse**</w:t>
      </w:r>
    </w:p>
    <w:p w:rsidR="00C7761C" w:rsidRDefault="00C7761C" w:rsidP="00C7761C">
      <w:pPr>
        <w:spacing w:before="60" w:after="60" w:line="288" w:lineRule="auto"/>
        <w:jc w:val="both"/>
        <w:rPr>
          <w:i/>
          <w:lang w:val="en-GB"/>
        </w:rPr>
      </w:pPr>
      <w:r>
        <w:rPr>
          <w:i/>
          <w:lang w:val="en-GB"/>
        </w:rPr>
        <w:t xml:space="preserve">** </w:t>
      </w:r>
      <w:r>
        <w:rPr>
          <w:i/>
          <w:sz w:val="22"/>
          <w:szCs w:val="22"/>
          <w:lang w:val="en-GB"/>
        </w:rPr>
        <w:t>These types of beneficiaries may only be eligible for this priority when work in partnership/association with education institutions.</w:t>
      </w:r>
    </w:p>
    <w:p w:rsidR="00C7761C" w:rsidRDefault="00C7761C" w:rsidP="00C7761C">
      <w:pPr>
        <w:spacing w:before="60" w:after="60" w:line="288" w:lineRule="auto"/>
        <w:ind w:firstLine="720"/>
        <w:jc w:val="both"/>
        <w:rPr>
          <w:rFonts w:eastAsia="EUAlbertina-Regular-Identity-H"/>
          <w:i/>
          <w:lang w:val="en-GB" w:eastAsia="en-US"/>
        </w:rPr>
      </w:pPr>
    </w:p>
    <w:p w:rsidR="00C7761C" w:rsidRDefault="00C7761C" w:rsidP="00C7761C">
      <w:pPr>
        <w:spacing w:before="60" w:after="60" w:line="288" w:lineRule="auto"/>
        <w:ind w:firstLine="630"/>
        <w:jc w:val="both"/>
        <w:rPr>
          <w:rFonts w:eastAsia="EUAlbertina-Regular-Identity-H"/>
          <w:i/>
          <w:lang w:val="en-GB" w:eastAsia="en-US"/>
        </w:rPr>
      </w:pPr>
    </w:p>
    <w:p w:rsidR="00C7761C" w:rsidRDefault="00C7761C" w:rsidP="00C7761C">
      <w:pPr>
        <w:spacing w:before="60" w:after="60" w:line="288" w:lineRule="auto"/>
        <w:ind w:firstLine="630"/>
        <w:jc w:val="both"/>
        <w:rPr>
          <w:rFonts w:eastAsia="EUAlbertina-Regular-Identity-H"/>
          <w:i/>
          <w:lang w:val="en-GB" w:eastAsia="en-US"/>
        </w:rPr>
      </w:pPr>
    </w:p>
    <w:p w:rsidR="00C7761C" w:rsidRDefault="00C7761C" w:rsidP="00C7761C">
      <w:pPr>
        <w:spacing w:before="60" w:after="60" w:line="288" w:lineRule="auto"/>
        <w:ind w:firstLine="630"/>
        <w:jc w:val="both"/>
        <w:rPr>
          <w:rFonts w:eastAsia="EUAlbertina-Regular-Identity-H"/>
          <w:i/>
          <w:lang w:val="en-GB" w:eastAsia="en-US"/>
        </w:rPr>
      </w:pPr>
    </w:p>
    <w:p w:rsidR="00C7761C" w:rsidRDefault="00C7761C" w:rsidP="00C7761C">
      <w:pPr>
        <w:spacing w:before="60" w:after="60" w:line="288" w:lineRule="auto"/>
        <w:ind w:firstLine="630"/>
        <w:jc w:val="both"/>
        <w:rPr>
          <w:rFonts w:eastAsia="EUAlbertina-Regular-Identity-H"/>
          <w:i/>
          <w:lang w:val="en-GB" w:eastAsia="en-US"/>
        </w:rPr>
      </w:pPr>
    </w:p>
    <w:p w:rsidR="00C7761C" w:rsidRDefault="00C7761C" w:rsidP="00C7761C">
      <w:pPr>
        <w:spacing w:before="60" w:after="60" w:line="288" w:lineRule="auto"/>
        <w:ind w:firstLine="630"/>
        <w:jc w:val="both"/>
        <w:rPr>
          <w:rFonts w:eastAsia="EUAlbertina-Regular-Identity-H"/>
          <w:b/>
          <w:bCs/>
          <w:iCs/>
          <w:lang w:val="en-GB" w:eastAsia="en-US"/>
        </w:rPr>
      </w:pPr>
      <w:r>
        <w:rPr>
          <w:rFonts w:eastAsia="EUAlbertina-Regular-Identity-H"/>
          <w:i/>
          <w:lang w:val="en-GB" w:eastAsia="en-US"/>
        </w:rPr>
        <w:t xml:space="preserve"> </w:t>
      </w:r>
      <w:r>
        <w:rPr>
          <w:b/>
          <w:lang w:val="en-GB"/>
        </w:rPr>
        <w:t>Priority 1.2 – Promotion and support to research and innovation</w:t>
      </w:r>
    </w:p>
    <w:p w:rsidR="00C7761C" w:rsidRDefault="00C7761C" w:rsidP="00C7761C">
      <w:pPr>
        <w:spacing w:before="60" w:after="60" w:line="288" w:lineRule="auto"/>
        <w:jc w:val="both"/>
        <w:rPr>
          <w:rFonts w:eastAsia="EUAlbertina-Regular-Identity-H"/>
          <w:b/>
          <w:i/>
          <w:iCs/>
          <w:lang w:val="en-GB" w:eastAsia="en-US"/>
        </w:rPr>
      </w:pPr>
    </w:p>
    <w:p w:rsidR="00C7761C" w:rsidRDefault="00C7761C" w:rsidP="00C7761C">
      <w:pPr>
        <w:spacing w:before="60" w:after="60" w:line="288" w:lineRule="auto"/>
        <w:jc w:val="both"/>
        <w:rPr>
          <w:rFonts w:eastAsia="EUAlbertina-Regular-Identity-H"/>
          <w:b/>
          <w:i/>
          <w:lang w:val="en-GB" w:eastAsia="en-US"/>
        </w:rPr>
      </w:pPr>
      <w:r>
        <w:rPr>
          <w:rFonts w:eastAsia="EUAlbertina-Regular-Identity-H"/>
          <w:b/>
          <w:i/>
          <w:iCs/>
          <w:lang w:val="en-GB" w:eastAsia="en-US"/>
        </w:rPr>
        <w:t>Indicative activities:</w:t>
      </w:r>
    </w:p>
    <w:p w:rsidR="00C7761C" w:rsidRDefault="00C7761C" w:rsidP="00C7761C">
      <w:pPr>
        <w:numPr>
          <w:ilvl w:val="0"/>
          <w:numId w:val="50"/>
        </w:numPr>
        <w:spacing w:before="60" w:after="60" w:line="288" w:lineRule="auto"/>
        <w:jc w:val="both"/>
        <w:rPr>
          <w:rFonts w:cs="Arial"/>
          <w:lang w:val="en-GB"/>
        </w:rPr>
      </w:pPr>
      <w:r>
        <w:rPr>
          <w:rFonts w:cs="Arial"/>
          <w:lang w:val="en-GB"/>
        </w:rPr>
        <w:t xml:space="preserve">Development of partnerships/networking between universities for joint development of theoretical research  </w:t>
      </w:r>
    </w:p>
    <w:p w:rsidR="00C7761C" w:rsidRDefault="00C7761C" w:rsidP="00C7761C">
      <w:pPr>
        <w:numPr>
          <w:ilvl w:val="0"/>
          <w:numId w:val="50"/>
        </w:numPr>
        <w:spacing w:before="60" w:after="60" w:line="288" w:lineRule="auto"/>
        <w:jc w:val="both"/>
        <w:rPr>
          <w:rFonts w:cs="Arial"/>
          <w:lang w:val="en-GB"/>
        </w:rPr>
      </w:pPr>
      <w:r>
        <w:rPr>
          <w:rFonts w:cs="Arial"/>
          <w:lang w:val="en-GB"/>
        </w:rPr>
        <w:t>Joint research actions and studies (including related equipment procurement) in the field of environment (climate change challenges, preservation of biodiversity, renewable energy and resource efficiency, etc.).</w:t>
      </w:r>
    </w:p>
    <w:p w:rsidR="00C7761C" w:rsidRDefault="00C7761C" w:rsidP="00C7761C">
      <w:pPr>
        <w:numPr>
          <w:ilvl w:val="0"/>
          <w:numId w:val="50"/>
        </w:numPr>
        <w:spacing w:before="60" w:after="60" w:line="288" w:lineRule="auto"/>
        <w:jc w:val="both"/>
        <w:rPr>
          <w:rFonts w:cs="Arial"/>
          <w:lang w:val="en-GB"/>
        </w:rPr>
      </w:pPr>
      <w:r>
        <w:rPr>
          <w:rFonts w:cs="Arial"/>
          <w:lang w:val="en-GB"/>
        </w:rPr>
        <w:t xml:space="preserve">Promotion and support for research and innovation through rehabilitation/modernization/extension of the specific infrastructure including the procurement of related equipment. </w:t>
      </w:r>
    </w:p>
    <w:p w:rsidR="00C7761C" w:rsidRDefault="00C7761C" w:rsidP="00C7761C">
      <w:pPr>
        <w:spacing w:before="60" w:after="60" w:line="288" w:lineRule="auto"/>
        <w:jc w:val="both"/>
        <w:rPr>
          <w:rFonts w:cs="Arial"/>
          <w:i/>
          <w:lang w:val="en-GB"/>
        </w:rPr>
      </w:pPr>
      <w:r>
        <w:rPr>
          <w:rFonts w:cs="Arial"/>
          <w:i/>
          <w:lang w:val="en-GB"/>
        </w:rPr>
        <w:t>Indicative Beneficiaries:</w:t>
      </w:r>
    </w:p>
    <w:p w:rsidR="00C7761C" w:rsidRDefault="00C7761C" w:rsidP="00C7761C">
      <w:pPr>
        <w:numPr>
          <w:ilvl w:val="0"/>
          <w:numId w:val="29"/>
        </w:numPr>
        <w:spacing w:before="60" w:after="60" w:line="288" w:lineRule="auto"/>
        <w:jc w:val="both"/>
        <w:rPr>
          <w:rFonts w:cs="Arial"/>
          <w:lang w:val="en-GB"/>
        </w:rPr>
      </w:pPr>
      <w:r>
        <w:rPr>
          <w:rFonts w:cs="Arial"/>
          <w:lang w:val="en-GB"/>
        </w:rPr>
        <w:t>Universities;</w:t>
      </w:r>
    </w:p>
    <w:p w:rsidR="00C7761C" w:rsidRDefault="00C7761C" w:rsidP="00C7761C">
      <w:pPr>
        <w:numPr>
          <w:ilvl w:val="0"/>
          <w:numId w:val="29"/>
        </w:numPr>
        <w:spacing w:before="60" w:after="60" w:line="288" w:lineRule="auto"/>
        <w:jc w:val="both"/>
        <w:rPr>
          <w:rFonts w:cs="Arial"/>
          <w:lang w:val="en-GB"/>
        </w:rPr>
      </w:pPr>
      <w:r>
        <w:rPr>
          <w:rFonts w:cs="Arial"/>
          <w:lang w:val="en-GB"/>
        </w:rPr>
        <w:t>Research institutes/organizations/NGOs;</w:t>
      </w:r>
    </w:p>
    <w:p w:rsidR="00C7761C" w:rsidRDefault="00C7761C" w:rsidP="00C7761C">
      <w:pPr>
        <w:numPr>
          <w:ilvl w:val="0"/>
          <w:numId w:val="29"/>
        </w:numPr>
        <w:spacing w:before="60" w:after="60" w:line="288" w:lineRule="auto"/>
        <w:jc w:val="both"/>
        <w:rPr>
          <w:rFonts w:cs="Arial"/>
          <w:lang w:val="en-GB"/>
        </w:rPr>
      </w:pPr>
      <w:r>
        <w:rPr>
          <w:rFonts w:cs="Arial"/>
          <w:lang w:val="en-GB"/>
        </w:rPr>
        <w:t xml:space="preserve">National /regional/public administration and other public institutions; </w:t>
      </w:r>
    </w:p>
    <w:p w:rsidR="00C7761C" w:rsidRDefault="00C7761C" w:rsidP="00C7761C">
      <w:pPr>
        <w:numPr>
          <w:ilvl w:val="0"/>
          <w:numId w:val="29"/>
        </w:numPr>
        <w:spacing w:before="60" w:after="60" w:line="288" w:lineRule="auto"/>
        <w:jc w:val="both"/>
        <w:rPr>
          <w:rFonts w:cs="Arial"/>
          <w:lang w:val="en-GB"/>
        </w:rPr>
      </w:pPr>
      <w:r>
        <w:rPr>
          <w:rFonts w:cs="Arial"/>
          <w:lang w:val="en-GB"/>
        </w:rPr>
        <w:t>Professional/ other relevant associations.</w:t>
      </w:r>
    </w:p>
    <w:p w:rsidR="00C7761C" w:rsidRDefault="00C7761C" w:rsidP="00C7761C">
      <w:pPr>
        <w:spacing w:before="60" w:after="60" w:line="288" w:lineRule="auto"/>
        <w:jc w:val="both"/>
        <w:rPr>
          <w:rFonts w:eastAsia="EUAlbertina-Regular-Identity-H"/>
          <w:lang w:val="en-GB" w:eastAsia="en-US"/>
        </w:rPr>
      </w:pPr>
    </w:p>
    <w:p w:rsidR="00C7761C" w:rsidRDefault="00C7761C" w:rsidP="00C7761C">
      <w:pPr>
        <w:spacing w:before="60" w:after="60" w:line="288" w:lineRule="auto"/>
        <w:jc w:val="both"/>
        <w:rPr>
          <w:b/>
          <w:lang w:val="en-GB"/>
        </w:rPr>
      </w:pPr>
      <w:r>
        <w:rPr>
          <w:b/>
          <w:lang w:val="en-GB"/>
        </w:rPr>
        <w:t>TO3- PROMOTION OF THE LOCAL CULTURE AND PRESERVATION OF HISTORICAL HERITAGE</w:t>
      </w:r>
    </w:p>
    <w:p w:rsidR="00C7761C" w:rsidRDefault="00C7761C" w:rsidP="00C7761C">
      <w:pPr>
        <w:spacing w:before="60" w:after="60" w:line="288" w:lineRule="auto"/>
        <w:jc w:val="both"/>
        <w:rPr>
          <w:b/>
          <w:bCs/>
          <w:lang w:val="en-GB"/>
        </w:rPr>
      </w:pPr>
      <w:r>
        <w:rPr>
          <w:b/>
          <w:bCs/>
          <w:i/>
          <w:iCs/>
          <w:lang w:val="en-GB"/>
        </w:rPr>
        <w:t xml:space="preserve">Objective 2:  </w:t>
      </w:r>
      <w:r w:rsidRPr="004E1796">
        <w:rPr>
          <w:bCs/>
          <w:i/>
          <w:lang w:val="en-GB"/>
        </w:rPr>
        <w:t xml:space="preserve">Preservation of the cultural and historical heritage in the eligible area, support the developing of local culture, specific cultural identities and the cultural dialog contributing to an enhanced attractiveness of the eligible area. </w:t>
      </w:r>
      <w:r>
        <w:rPr>
          <w:b/>
          <w:bCs/>
          <w:lang w:val="en-GB"/>
        </w:rPr>
        <w:t xml:space="preserve">Priority 2.1 – Preservation and promotion of the cultural and historical heritage  </w:t>
      </w:r>
    </w:p>
    <w:p w:rsidR="00C7761C" w:rsidRDefault="00C7761C" w:rsidP="00C7761C">
      <w:pPr>
        <w:spacing w:before="60" w:after="60" w:line="288" w:lineRule="auto"/>
        <w:jc w:val="both"/>
        <w:rPr>
          <w:rFonts w:eastAsia="EUAlbertina-Regular-Identity-H"/>
          <w:b/>
          <w:bCs/>
          <w:i/>
          <w:lang w:val="en-GB" w:eastAsia="en-US"/>
        </w:rPr>
      </w:pPr>
    </w:p>
    <w:p w:rsidR="00C7761C" w:rsidRDefault="00C7761C" w:rsidP="00C7761C">
      <w:pPr>
        <w:spacing w:before="60" w:after="60" w:line="288" w:lineRule="auto"/>
        <w:jc w:val="both"/>
        <w:rPr>
          <w:rFonts w:eastAsia="EUAlbertina-Regular-Identity-H"/>
          <w:b/>
          <w:bCs/>
          <w:i/>
          <w:lang w:val="en-GB" w:eastAsia="en-US"/>
        </w:rPr>
      </w:pPr>
      <w:r>
        <w:rPr>
          <w:rFonts w:eastAsia="EUAlbertina-Regular-Identity-H"/>
          <w:b/>
          <w:bCs/>
          <w:i/>
          <w:lang w:val="en-GB" w:eastAsia="en-US"/>
        </w:rPr>
        <w:t>Indicative activities:</w:t>
      </w:r>
    </w:p>
    <w:p w:rsidR="00C7761C" w:rsidRDefault="00C7761C" w:rsidP="00C7761C">
      <w:pPr>
        <w:numPr>
          <w:ilvl w:val="0"/>
          <w:numId w:val="57"/>
        </w:numPr>
        <w:spacing w:before="60" w:after="60" w:line="288" w:lineRule="auto"/>
        <w:jc w:val="both"/>
        <w:rPr>
          <w:rFonts w:eastAsia="EUAlbertina-Regular-Identity-H"/>
          <w:bCs/>
          <w:lang w:val="en-GB" w:eastAsia="en-US"/>
        </w:rPr>
      </w:pPr>
      <w:r>
        <w:rPr>
          <w:rFonts w:eastAsia="EUAlbertina-Regular-Identity-H"/>
          <w:bCs/>
          <w:lang w:val="en-GB" w:eastAsia="en-US"/>
        </w:rPr>
        <w:t xml:space="preserve">Restoration, conservation, consolidation, protection, security of cultural and historical monuments (including the corresponding access roads), museums, objects and art collections and their joint promotion based on relevant cross-border strategies/concepts; </w:t>
      </w:r>
    </w:p>
    <w:p w:rsidR="00C7761C" w:rsidRDefault="00C7761C" w:rsidP="00C7761C">
      <w:pPr>
        <w:numPr>
          <w:ilvl w:val="0"/>
          <w:numId w:val="57"/>
        </w:numPr>
        <w:spacing w:before="60" w:after="60" w:line="288" w:lineRule="auto"/>
        <w:jc w:val="both"/>
        <w:rPr>
          <w:rFonts w:eastAsia="EUAlbertina-Regular-Identity-H"/>
          <w:bCs/>
          <w:lang w:val="en-GB" w:eastAsia="en-US"/>
        </w:rPr>
      </w:pPr>
      <w:r>
        <w:rPr>
          <w:rFonts w:eastAsia="EUAlbertina-Regular-Identity-H"/>
          <w:bCs/>
          <w:lang w:val="en-GB" w:eastAsia="en-US"/>
        </w:rPr>
        <w:t xml:space="preserve">Preservation, security, and joint valorisation of cultural and historical monuments and objects;   </w:t>
      </w:r>
    </w:p>
    <w:p w:rsidR="00C7761C" w:rsidRDefault="00C7761C" w:rsidP="00C7761C">
      <w:pPr>
        <w:numPr>
          <w:ilvl w:val="0"/>
          <w:numId w:val="57"/>
        </w:numPr>
        <w:spacing w:before="60" w:after="60" w:line="288" w:lineRule="auto"/>
        <w:jc w:val="both"/>
        <w:rPr>
          <w:rFonts w:eastAsia="EUAlbertina-Regular-Identity-H"/>
          <w:bCs/>
          <w:lang w:val="en-GB" w:eastAsia="en-US"/>
        </w:rPr>
      </w:pPr>
      <w:r>
        <w:rPr>
          <w:rFonts w:eastAsia="EUAlbertina-Regular-Identity-H"/>
          <w:bCs/>
          <w:lang w:val="en-GB" w:eastAsia="en-US"/>
        </w:rPr>
        <w:t xml:space="preserve">Cultural institutions networks aiming at the promotion of the cultural and historical heritage </w:t>
      </w:r>
    </w:p>
    <w:p w:rsidR="00C7761C" w:rsidRDefault="00C7761C" w:rsidP="00C7761C">
      <w:pPr>
        <w:numPr>
          <w:ilvl w:val="0"/>
          <w:numId w:val="57"/>
        </w:numPr>
        <w:spacing w:before="60" w:after="60" w:line="288" w:lineRule="auto"/>
        <w:jc w:val="both"/>
        <w:rPr>
          <w:rFonts w:eastAsia="EUAlbertina-Regular-Identity-H"/>
          <w:bCs/>
          <w:lang w:val="en-GB" w:eastAsia="en-US"/>
        </w:rPr>
      </w:pPr>
      <w:r>
        <w:rPr>
          <w:rFonts w:eastAsia="EUAlbertina-Regular-Identity-H"/>
          <w:bCs/>
          <w:lang w:val="en-GB" w:eastAsia="en-US"/>
        </w:rPr>
        <w:t>Support for specific and traditional craftsman activities</w:t>
      </w:r>
      <w:r>
        <w:rPr>
          <w:rFonts w:eastAsia="EUAlbertina-Regular-Identity-H"/>
          <w:b/>
          <w:bCs/>
          <w:lang w:val="en-GB" w:eastAsia="en-US"/>
        </w:rPr>
        <w:t xml:space="preserve">, </w:t>
      </w:r>
      <w:r>
        <w:rPr>
          <w:rFonts w:eastAsia="EUAlbertina-Regular-Identity-H"/>
          <w:bCs/>
          <w:lang w:val="en-GB" w:eastAsia="en-US"/>
        </w:rPr>
        <w:t xml:space="preserve">important for preserving local culture and identity. </w:t>
      </w:r>
    </w:p>
    <w:p w:rsidR="00C7761C" w:rsidRDefault="00C7761C" w:rsidP="00C7761C">
      <w:pPr>
        <w:numPr>
          <w:ilvl w:val="0"/>
          <w:numId w:val="57"/>
        </w:numPr>
        <w:spacing w:before="60" w:after="60" w:line="288" w:lineRule="auto"/>
        <w:jc w:val="both"/>
        <w:rPr>
          <w:rFonts w:eastAsia="EUAlbertina-Regular-Identity-H"/>
          <w:bCs/>
          <w:lang w:val="en-GB" w:eastAsia="en-US"/>
        </w:rPr>
      </w:pPr>
      <w:r>
        <w:rPr>
          <w:rFonts w:eastAsia="EUAlbertina-Regular-Identity-H"/>
          <w:bCs/>
          <w:lang w:val="en-GB" w:eastAsia="en-US"/>
        </w:rPr>
        <w:lastRenderedPageBreak/>
        <w:t>Promotion of specific and traditional activities in the eligible area (including cross border cultural events);</w:t>
      </w:r>
    </w:p>
    <w:p w:rsidR="00C7761C" w:rsidRDefault="00C7761C" w:rsidP="00C7761C">
      <w:pPr>
        <w:numPr>
          <w:ilvl w:val="0"/>
          <w:numId w:val="57"/>
        </w:numPr>
        <w:spacing w:before="60" w:after="60" w:line="288" w:lineRule="auto"/>
        <w:jc w:val="both"/>
        <w:rPr>
          <w:rFonts w:eastAsia="EUAlbertina-Regular-Identity-H"/>
          <w:bCs/>
          <w:lang w:val="en-GB" w:eastAsia="en-US"/>
        </w:rPr>
      </w:pPr>
      <w:r>
        <w:rPr>
          <w:rFonts w:eastAsia="EUAlbertina-Regular-Identity-H"/>
          <w:bCs/>
          <w:lang w:val="en-GB" w:eastAsia="en-US"/>
        </w:rPr>
        <w:t xml:space="preserve">Preserving, promoting and developing the cultural and historical heritage, mainly through cultural events with a cross-border dimension; </w:t>
      </w:r>
    </w:p>
    <w:p w:rsidR="00C7761C" w:rsidRDefault="00C7761C" w:rsidP="00C7761C">
      <w:pPr>
        <w:numPr>
          <w:ilvl w:val="0"/>
          <w:numId w:val="57"/>
        </w:numPr>
        <w:spacing w:before="60" w:after="60" w:line="288" w:lineRule="auto"/>
        <w:jc w:val="both"/>
        <w:rPr>
          <w:rFonts w:eastAsia="EUAlbertina-Regular-Identity-H"/>
          <w:bCs/>
          <w:lang w:val="en-GB" w:eastAsia="en-US"/>
        </w:rPr>
      </w:pPr>
      <w:r>
        <w:rPr>
          <w:rFonts w:eastAsia="EUAlbertina-Regular-Identity-H"/>
          <w:bCs/>
          <w:lang w:val="en-GB" w:eastAsia="en-US"/>
        </w:rPr>
        <w:t>Valorisation of the historical and cultural heritage through developing joint promotion strategies, common tourism products and services.</w:t>
      </w:r>
    </w:p>
    <w:p w:rsidR="00C7761C" w:rsidRDefault="00C7761C" w:rsidP="00C7761C">
      <w:pPr>
        <w:spacing w:before="60" w:after="60" w:line="288" w:lineRule="auto"/>
        <w:ind w:left="720"/>
        <w:jc w:val="both"/>
        <w:rPr>
          <w:rFonts w:eastAsia="EUAlbertina-Regular-Identity-H"/>
          <w:lang w:val="en-GB" w:eastAsia="en-US"/>
        </w:rPr>
      </w:pPr>
    </w:p>
    <w:p w:rsidR="00C7761C" w:rsidRDefault="00C7761C" w:rsidP="00C7761C">
      <w:pPr>
        <w:spacing w:before="60" w:after="60" w:line="288" w:lineRule="auto"/>
        <w:jc w:val="both"/>
        <w:rPr>
          <w:rFonts w:eastAsia="EUAlbertina-Regular-Identity-H"/>
          <w:b/>
          <w:i/>
          <w:lang w:val="en-GB" w:eastAsia="en-US"/>
        </w:rPr>
      </w:pPr>
      <w:r>
        <w:rPr>
          <w:rFonts w:eastAsia="EUAlbertina-Regular-Identity-H"/>
          <w:b/>
          <w:i/>
          <w:lang w:val="en-GB" w:eastAsia="en-US"/>
        </w:rPr>
        <w:t xml:space="preserve">Indicative Beneficiaries: </w:t>
      </w:r>
    </w:p>
    <w:p w:rsidR="00C7761C" w:rsidRDefault="00C7761C" w:rsidP="00C7761C">
      <w:pPr>
        <w:numPr>
          <w:ilvl w:val="0"/>
          <w:numId w:val="58"/>
        </w:numPr>
        <w:spacing w:before="60" w:after="60" w:line="288" w:lineRule="auto"/>
        <w:jc w:val="both"/>
        <w:rPr>
          <w:rFonts w:eastAsia="EUAlbertina-Regular-Identity-H"/>
          <w:lang w:val="en-GB" w:eastAsia="en-US"/>
        </w:rPr>
      </w:pPr>
      <w:r>
        <w:rPr>
          <w:rFonts w:eastAsia="EUAlbertina-Regular-Identity-H"/>
          <w:lang w:val="en-GB" w:eastAsia="en-US"/>
        </w:rPr>
        <w:t>Museums, cultural/religious/higher education institutions;</w:t>
      </w:r>
    </w:p>
    <w:p w:rsidR="00C7761C" w:rsidRDefault="00C7761C" w:rsidP="00C7761C">
      <w:pPr>
        <w:numPr>
          <w:ilvl w:val="0"/>
          <w:numId w:val="58"/>
        </w:numPr>
        <w:spacing w:before="60" w:after="60" w:line="288" w:lineRule="auto"/>
        <w:jc w:val="both"/>
        <w:rPr>
          <w:rFonts w:eastAsia="EUAlbertina-Regular-Identity-H"/>
          <w:lang w:val="en-GB" w:eastAsia="en-US"/>
        </w:rPr>
      </w:pPr>
      <w:r>
        <w:rPr>
          <w:rFonts w:eastAsia="EUAlbertina-Regular-Identity-H"/>
          <w:lang w:val="en-GB" w:eastAsia="en-US"/>
        </w:rPr>
        <w:t xml:space="preserve">National /regional/ local public authorities and other public institutions; </w:t>
      </w:r>
    </w:p>
    <w:p w:rsidR="00C7761C" w:rsidRDefault="00C7761C" w:rsidP="00C7761C">
      <w:pPr>
        <w:numPr>
          <w:ilvl w:val="0"/>
          <w:numId w:val="58"/>
        </w:numPr>
        <w:spacing w:before="60" w:after="60" w:line="288" w:lineRule="auto"/>
        <w:jc w:val="both"/>
        <w:rPr>
          <w:rFonts w:eastAsia="EUAlbertina-Regular-Identity-H"/>
          <w:lang w:val="en-GB" w:eastAsia="en-US"/>
        </w:rPr>
      </w:pPr>
      <w:r>
        <w:rPr>
          <w:rFonts w:eastAsia="EUAlbertina-Regular-Identity-H"/>
          <w:lang w:val="en-GB" w:eastAsia="en-US"/>
        </w:rPr>
        <w:t>NGOs, cultural and tourism associations;</w:t>
      </w:r>
    </w:p>
    <w:p w:rsidR="00C7761C" w:rsidRDefault="00C7761C" w:rsidP="00C7761C">
      <w:pPr>
        <w:numPr>
          <w:ilvl w:val="0"/>
          <w:numId w:val="58"/>
        </w:numPr>
        <w:spacing w:before="60" w:after="60" w:line="288" w:lineRule="auto"/>
        <w:jc w:val="both"/>
        <w:rPr>
          <w:rFonts w:eastAsia="EUAlbertina-Regular-Identity-H"/>
          <w:lang w:val="en-GB" w:eastAsia="en-US"/>
        </w:rPr>
      </w:pPr>
      <w:r>
        <w:rPr>
          <w:rFonts w:eastAsia="EUAlbertina-Regular-Identity-H"/>
          <w:lang w:val="en-GB" w:eastAsia="en-US"/>
        </w:rPr>
        <w:t xml:space="preserve">Local business associations in the domain of traditional and craftsmen activities; </w:t>
      </w:r>
    </w:p>
    <w:p w:rsidR="00C7761C" w:rsidRDefault="00C7761C" w:rsidP="00C7761C">
      <w:pPr>
        <w:numPr>
          <w:ilvl w:val="0"/>
          <w:numId w:val="58"/>
        </w:numPr>
        <w:spacing w:before="60" w:after="60" w:line="288" w:lineRule="auto"/>
        <w:jc w:val="both"/>
        <w:rPr>
          <w:rFonts w:eastAsia="EUAlbertina-Regular-Identity-H"/>
          <w:lang w:val="en-GB" w:eastAsia="en-US"/>
        </w:rPr>
      </w:pPr>
      <w:r>
        <w:rPr>
          <w:rFonts w:eastAsia="EUAlbertina-Regular-Identity-H"/>
          <w:lang w:val="en-GB" w:eastAsia="en-US"/>
        </w:rPr>
        <w:t>International organizations.</w:t>
      </w:r>
    </w:p>
    <w:p w:rsidR="00C7761C" w:rsidRDefault="00C7761C" w:rsidP="00C7761C">
      <w:pPr>
        <w:spacing w:before="60" w:after="60" w:line="288" w:lineRule="auto"/>
        <w:jc w:val="both"/>
        <w:rPr>
          <w:rFonts w:eastAsia="Calibri" w:cs="Arial"/>
          <w:b/>
          <w:bCs/>
          <w:color w:val="3476B1"/>
          <w:lang w:val="en-GB" w:eastAsia="en-US"/>
        </w:rPr>
      </w:pPr>
    </w:p>
    <w:p w:rsidR="00C7761C" w:rsidRDefault="00C7761C" w:rsidP="00C7761C">
      <w:pPr>
        <w:spacing w:before="60" w:after="60" w:line="288" w:lineRule="auto"/>
        <w:jc w:val="both"/>
        <w:rPr>
          <w:b/>
          <w:lang w:val="en-GB"/>
        </w:rPr>
      </w:pPr>
      <w:r>
        <w:rPr>
          <w:b/>
          <w:lang w:val="en-GB"/>
        </w:rPr>
        <w:t>TO7 - IMPROVEMENT OF ACCESSIBILITY TO THE REGIONS, DEVELOPMENT OF TRANSPORT AND COMMON NETWORKS AND SYSTEMS</w:t>
      </w:r>
    </w:p>
    <w:p w:rsidR="00C7761C" w:rsidRDefault="00C7761C" w:rsidP="00C7761C">
      <w:pPr>
        <w:spacing w:before="60" w:after="60" w:line="288" w:lineRule="auto"/>
        <w:jc w:val="both"/>
        <w:rPr>
          <w:i/>
          <w:lang w:val="en-GB"/>
        </w:rPr>
      </w:pPr>
      <w:r>
        <w:rPr>
          <w:b/>
          <w:bCs/>
          <w:i/>
          <w:iCs/>
          <w:lang w:val="en-GB"/>
        </w:rPr>
        <w:t>Objective  3:</w:t>
      </w:r>
      <w:r>
        <w:rPr>
          <w:b/>
          <w:bCs/>
          <w:iCs/>
          <w:lang w:val="en-GB"/>
        </w:rPr>
        <w:t xml:space="preserve">  </w:t>
      </w:r>
      <w:r>
        <w:rPr>
          <w:i/>
          <w:lang w:val="en-GB"/>
        </w:rPr>
        <w:t>Improve public transport services, infrastructure and ITC cooperation and networking</w:t>
      </w:r>
    </w:p>
    <w:p w:rsidR="00C7761C" w:rsidRDefault="00C7761C" w:rsidP="00C7761C">
      <w:pPr>
        <w:spacing w:before="60" w:after="60" w:line="288" w:lineRule="auto"/>
        <w:jc w:val="both"/>
        <w:rPr>
          <w:rFonts w:eastAsia="EUAlbertina-Regular-Identity-H"/>
          <w:lang w:val="en-GB" w:eastAsia="en-US"/>
        </w:rPr>
      </w:pPr>
      <w:r>
        <w:rPr>
          <w:b/>
          <w:bCs/>
          <w:lang w:val="en-GB"/>
        </w:rPr>
        <w:t>Priority 3.1 – Development of cross border transport infrastructure and ICT tools</w:t>
      </w:r>
    </w:p>
    <w:p w:rsidR="00C7761C" w:rsidRDefault="00C7761C" w:rsidP="00C7761C">
      <w:pPr>
        <w:spacing w:before="60" w:after="60" w:line="288" w:lineRule="auto"/>
        <w:jc w:val="both"/>
        <w:rPr>
          <w:rFonts w:eastAsia="EUAlbertina-Regular-Identity-H"/>
          <w:b/>
          <w:i/>
          <w:lang w:val="en-GB" w:eastAsia="en-US"/>
        </w:rPr>
      </w:pPr>
    </w:p>
    <w:p w:rsidR="00C7761C" w:rsidRDefault="00C7761C" w:rsidP="00C7761C">
      <w:pPr>
        <w:spacing w:before="60" w:after="60" w:line="288" w:lineRule="auto"/>
        <w:jc w:val="both"/>
        <w:rPr>
          <w:rFonts w:eastAsia="EUAlbertina-Regular-Identity-H"/>
          <w:b/>
          <w:i/>
          <w:lang w:val="en-GB" w:eastAsia="en-US"/>
        </w:rPr>
      </w:pPr>
      <w:r>
        <w:rPr>
          <w:rFonts w:eastAsia="EUAlbertina-Regular-Identity-H"/>
          <w:b/>
          <w:i/>
          <w:lang w:val="en-GB" w:eastAsia="en-US"/>
        </w:rPr>
        <w:t>Indicative activities:</w:t>
      </w:r>
    </w:p>
    <w:p w:rsidR="00C7761C" w:rsidRDefault="00C7761C" w:rsidP="00C7761C">
      <w:pPr>
        <w:numPr>
          <w:ilvl w:val="1"/>
          <w:numId w:val="31"/>
        </w:numPr>
        <w:spacing w:before="60" w:after="60" w:line="288" w:lineRule="auto"/>
        <w:jc w:val="both"/>
        <w:rPr>
          <w:rFonts w:eastAsia="EUAlbertina-Regular-Identity-H"/>
          <w:lang w:val="en-GB" w:eastAsia="en-US"/>
        </w:rPr>
      </w:pPr>
      <w:r>
        <w:rPr>
          <w:rFonts w:eastAsia="EUAlbertina-Regular-Identity-H"/>
          <w:lang w:val="en-GB" w:eastAsia="en-US"/>
        </w:rPr>
        <w:t xml:space="preserve">Reconstruction, rehabilitation, modernization  of cross-border transport systems </w:t>
      </w:r>
    </w:p>
    <w:p w:rsidR="00C7761C" w:rsidRDefault="00C7761C" w:rsidP="00C7761C">
      <w:pPr>
        <w:numPr>
          <w:ilvl w:val="1"/>
          <w:numId w:val="31"/>
        </w:numPr>
        <w:spacing w:before="60" w:after="60" w:line="288" w:lineRule="auto"/>
        <w:jc w:val="both"/>
        <w:rPr>
          <w:rFonts w:eastAsia="EUAlbertina-Regular-Identity-H"/>
          <w:lang w:val="en-GB" w:eastAsia="en-US"/>
        </w:rPr>
      </w:pPr>
      <w:r>
        <w:rPr>
          <w:rFonts w:eastAsia="EUAlbertina-Regular-Identity-H"/>
          <w:lang w:val="en-GB" w:eastAsia="en-US"/>
        </w:rPr>
        <w:t>Development of  environmentally friendly (carbon-proofed) cross-border transport initiatives and innovative solutions ;</w:t>
      </w:r>
    </w:p>
    <w:p w:rsidR="00C7761C" w:rsidRDefault="00C7761C" w:rsidP="00C7761C">
      <w:pPr>
        <w:numPr>
          <w:ilvl w:val="1"/>
          <w:numId w:val="31"/>
        </w:numPr>
        <w:spacing w:before="60" w:after="60" w:line="288" w:lineRule="auto"/>
        <w:jc w:val="both"/>
        <w:rPr>
          <w:rFonts w:eastAsia="EUAlbertina-Regular-Identity-H"/>
          <w:lang w:val="en-GB" w:eastAsia="en-US"/>
        </w:rPr>
      </w:pPr>
      <w:r>
        <w:rPr>
          <w:rFonts w:eastAsia="EUAlbertina-Regular-Identity-H"/>
          <w:lang w:val="en-GB" w:eastAsia="en-US"/>
        </w:rPr>
        <w:t>Improvements of multimode transport (road/water ) facilities of cross-border interest;</w:t>
      </w:r>
    </w:p>
    <w:p w:rsidR="00C7761C" w:rsidRDefault="00C7761C" w:rsidP="00C7761C">
      <w:pPr>
        <w:numPr>
          <w:ilvl w:val="1"/>
          <w:numId w:val="31"/>
        </w:numPr>
        <w:spacing w:before="60" w:after="60" w:line="288" w:lineRule="auto"/>
        <w:jc w:val="both"/>
        <w:rPr>
          <w:rFonts w:eastAsia="EUAlbertina-Regular-Identity-H"/>
          <w:lang w:val="en-GB" w:eastAsia="en-US"/>
        </w:rPr>
      </w:pPr>
      <w:r>
        <w:rPr>
          <w:rFonts w:eastAsia="EUAlbertina-Regular-Identity-H"/>
          <w:lang w:val="en-GB" w:eastAsia="en-US"/>
        </w:rPr>
        <w:t>Reconstruction, rehabilitation, widening of cross-border (segments of) roads connecting settlements alongside the border with main road, which leads to the border;</w:t>
      </w:r>
    </w:p>
    <w:p w:rsidR="00C7761C" w:rsidRDefault="00C7761C" w:rsidP="00C7761C">
      <w:pPr>
        <w:numPr>
          <w:ilvl w:val="1"/>
          <w:numId w:val="31"/>
        </w:numPr>
        <w:spacing w:before="60" w:after="60" w:line="288" w:lineRule="auto"/>
        <w:jc w:val="both"/>
        <w:rPr>
          <w:rFonts w:eastAsia="EUAlbertina-Regular-Identity-H"/>
          <w:lang w:val="en-GB" w:eastAsia="en-US"/>
        </w:rPr>
      </w:pPr>
      <w:r>
        <w:rPr>
          <w:rFonts w:eastAsia="EUAlbertina-Regular-Identity-H"/>
          <w:lang w:val="en-GB" w:eastAsia="en-US"/>
        </w:rPr>
        <w:t xml:space="preserve">Improvement/restoration/construction of (segments of) access roads  to centres of cross-border interest; </w:t>
      </w:r>
    </w:p>
    <w:p w:rsidR="00C7761C" w:rsidRDefault="00C7761C" w:rsidP="00C7761C">
      <w:pPr>
        <w:numPr>
          <w:ilvl w:val="1"/>
          <w:numId w:val="31"/>
        </w:numPr>
        <w:spacing w:before="60" w:after="60" w:line="288" w:lineRule="auto"/>
        <w:jc w:val="both"/>
        <w:rPr>
          <w:rFonts w:eastAsia="EUAlbertina-Regular-Identity-H"/>
          <w:lang w:val="en-GB" w:eastAsia="en-US"/>
        </w:rPr>
      </w:pPr>
      <w:r>
        <w:rPr>
          <w:rFonts w:eastAsia="EUAlbertina-Regular-Identity-H"/>
          <w:lang w:val="en-GB" w:eastAsia="en-US"/>
        </w:rPr>
        <w:t>Elaboration of joint strategies/policies/plans for improving the cross-border transport infrastructure;</w:t>
      </w:r>
    </w:p>
    <w:p w:rsidR="00C7761C" w:rsidRDefault="00C7761C" w:rsidP="00C7761C">
      <w:pPr>
        <w:numPr>
          <w:ilvl w:val="1"/>
          <w:numId w:val="31"/>
        </w:numPr>
        <w:spacing w:before="60" w:after="60" w:line="288" w:lineRule="auto"/>
        <w:jc w:val="both"/>
        <w:rPr>
          <w:rFonts w:eastAsia="EUAlbertina-Regular-Identity-H"/>
          <w:lang w:val="en-GB" w:eastAsia="en-US"/>
        </w:rPr>
      </w:pPr>
      <w:r>
        <w:rPr>
          <w:rFonts w:eastAsia="EUAlbertina-Regular-Identity-H"/>
          <w:lang w:val="en-GB" w:eastAsia="en-US"/>
        </w:rPr>
        <w:t xml:space="preserve">Development of cross-border connections, information and integrated communications network and services; </w:t>
      </w:r>
    </w:p>
    <w:p w:rsidR="00C7761C" w:rsidRDefault="00C7761C" w:rsidP="00C7761C">
      <w:pPr>
        <w:numPr>
          <w:ilvl w:val="1"/>
          <w:numId w:val="31"/>
        </w:numPr>
        <w:spacing w:before="60" w:after="60" w:line="288" w:lineRule="auto"/>
        <w:jc w:val="both"/>
        <w:rPr>
          <w:rFonts w:eastAsia="EUAlbertina-Regular-Identity-H"/>
          <w:lang w:val="en-GB" w:eastAsia="en-US"/>
        </w:rPr>
      </w:pPr>
      <w:r>
        <w:rPr>
          <w:rFonts w:eastAsia="EUAlbertina-Regular-Identity-H"/>
          <w:lang w:val="en-GB" w:eastAsia="en-US"/>
        </w:rPr>
        <w:t>Upgrading existing facilities to enable linkages between communities and public services which promote co-operation on a cross-border and wider international basis;</w:t>
      </w:r>
    </w:p>
    <w:p w:rsidR="00C7761C" w:rsidRDefault="00C7761C" w:rsidP="00C7761C">
      <w:pPr>
        <w:spacing w:before="60" w:after="60" w:line="288" w:lineRule="auto"/>
        <w:jc w:val="both"/>
        <w:rPr>
          <w:rFonts w:eastAsia="EUAlbertina-Regular-Identity-H"/>
          <w:lang w:val="en-GB" w:eastAsia="en-US"/>
        </w:rPr>
      </w:pPr>
    </w:p>
    <w:p w:rsidR="00C7761C" w:rsidRDefault="00C7761C" w:rsidP="00C7761C">
      <w:pPr>
        <w:spacing w:before="60" w:after="60" w:line="288" w:lineRule="auto"/>
        <w:jc w:val="both"/>
        <w:rPr>
          <w:rFonts w:eastAsia="EUAlbertina-Regular-Identity-H"/>
          <w:b/>
          <w:i/>
          <w:lang w:val="en-GB" w:eastAsia="en-US"/>
        </w:rPr>
      </w:pPr>
      <w:r>
        <w:rPr>
          <w:rFonts w:eastAsia="EUAlbertina-Regular-Identity-H"/>
          <w:b/>
          <w:i/>
          <w:lang w:val="en-GB" w:eastAsia="en-US"/>
        </w:rPr>
        <w:t>Beneficiari orientative:</w:t>
      </w:r>
    </w:p>
    <w:p w:rsidR="00C7761C" w:rsidRDefault="00C7761C" w:rsidP="00C7761C">
      <w:pPr>
        <w:numPr>
          <w:ilvl w:val="0"/>
          <w:numId w:val="30"/>
        </w:numPr>
        <w:spacing w:before="60" w:after="60" w:line="288" w:lineRule="auto"/>
        <w:jc w:val="both"/>
        <w:rPr>
          <w:rFonts w:eastAsia="EUAlbertina-Regular-Identity-H"/>
          <w:lang w:val="en-GB" w:eastAsia="en-US"/>
        </w:rPr>
      </w:pPr>
      <w:r>
        <w:rPr>
          <w:rFonts w:eastAsia="EUAlbertina-Regular-Identity-H"/>
          <w:lang w:val="en-GB" w:eastAsia="en-US"/>
        </w:rPr>
        <w:t xml:space="preserve">National /regional/ public administration and other public institutions; </w:t>
      </w:r>
    </w:p>
    <w:p w:rsidR="00C7761C" w:rsidRDefault="00C7761C" w:rsidP="00C7761C">
      <w:pPr>
        <w:numPr>
          <w:ilvl w:val="0"/>
          <w:numId w:val="30"/>
        </w:numPr>
        <w:spacing w:before="60" w:after="60" w:line="288" w:lineRule="auto"/>
        <w:jc w:val="both"/>
        <w:rPr>
          <w:rFonts w:eastAsia="EUAlbertina-Regular-Identity-H"/>
          <w:lang w:val="en-GB" w:eastAsia="en-US"/>
        </w:rPr>
      </w:pPr>
      <w:r>
        <w:rPr>
          <w:rFonts w:eastAsia="EUAlbertina-Regular-Identity-H"/>
          <w:lang w:val="en-GB" w:eastAsia="en-US"/>
        </w:rPr>
        <w:t>State owned companies administrating transport and communication infrastructure.</w:t>
      </w:r>
    </w:p>
    <w:p w:rsidR="00C7761C" w:rsidRDefault="00C7761C" w:rsidP="00C7761C">
      <w:pPr>
        <w:widowControl w:val="0"/>
        <w:suppressAutoHyphens/>
        <w:spacing w:before="60" w:after="60" w:line="288" w:lineRule="auto"/>
        <w:ind w:left="360" w:hanging="360"/>
        <w:jc w:val="both"/>
        <w:rPr>
          <w:rFonts w:eastAsia="SimSun" w:cs="Arial"/>
          <w:kern w:val="1"/>
          <w:lang w:val="en-GB" w:eastAsia="zh-CN" w:bidi="hi-IN"/>
        </w:rPr>
      </w:pPr>
    </w:p>
    <w:p w:rsidR="00C7761C" w:rsidRDefault="00C7761C" w:rsidP="00C7761C">
      <w:pPr>
        <w:tabs>
          <w:tab w:val="num" w:pos="990"/>
        </w:tabs>
        <w:spacing w:before="60" w:after="60" w:line="288" w:lineRule="auto"/>
        <w:jc w:val="both"/>
        <w:rPr>
          <w:b/>
          <w:lang w:val="en-GB"/>
        </w:rPr>
      </w:pPr>
      <w:r>
        <w:rPr>
          <w:b/>
          <w:lang w:val="en-GB"/>
        </w:rPr>
        <w:t>TO8 - COMMON CHALLENGES IN THE FIELD OF SAFETY AND SECURITY</w:t>
      </w:r>
    </w:p>
    <w:p w:rsidR="00C7761C" w:rsidRDefault="00C7761C" w:rsidP="00C7761C">
      <w:pPr>
        <w:spacing w:before="60" w:after="60" w:line="288" w:lineRule="auto"/>
        <w:jc w:val="both"/>
        <w:rPr>
          <w:i/>
          <w:lang w:val="en-GB"/>
        </w:rPr>
      </w:pPr>
      <w:r>
        <w:rPr>
          <w:b/>
          <w:bCs/>
          <w:i/>
          <w:iCs/>
          <w:lang w:val="en-GB"/>
        </w:rPr>
        <w:t xml:space="preserve">Objective 4:  </w:t>
      </w:r>
      <w:r>
        <w:rPr>
          <w:i/>
          <w:lang w:val="en-GB"/>
        </w:rPr>
        <w:t>Addressing common challenges in cross-border security, access to health,  management of natural and anthropic risks and emergency situations through joint projects</w:t>
      </w:r>
    </w:p>
    <w:p w:rsidR="00C7761C" w:rsidRDefault="00C7761C" w:rsidP="00C7761C">
      <w:pPr>
        <w:spacing w:before="60" w:after="60" w:line="288" w:lineRule="auto"/>
        <w:jc w:val="both"/>
        <w:rPr>
          <w:b/>
          <w:bCs/>
          <w:iCs/>
          <w:lang w:val="en-GB"/>
        </w:rPr>
      </w:pPr>
      <w:r>
        <w:rPr>
          <w:b/>
          <w:bCs/>
          <w:iCs/>
          <w:lang w:val="en-GB"/>
        </w:rPr>
        <w:t>Priority 4.1 - Support to the development of health services and access to health</w:t>
      </w:r>
    </w:p>
    <w:p w:rsidR="00C7761C" w:rsidRDefault="00C7761C" w:rsidP="00C7761C">
      <w:pPr>
        <w:spacing w:before="60" w:after="60" w:line="288" w:lineRule="auto"/>
        <w:jc w:val="both"/>
        <w:rPr>
          <w:rFonts w:eastAsia="EUAlbertina-Regular-Identity-H"/>
          <w:b/>
          <w:bCs/>
          <w:i/>
          <w:iCs/>
          <w:lang w:val="en-GB" w:eastAsia="en-US"/>
        </w:rPr>
      </w:pPr>
    </w:p>
    <w:p w:rsidR="00C7761C" w:rsidRDefault="00C7761C" w:rsidP="00C7761C">
      <w:pPr>
        <w:spacing w:before="60" w:after="60" w:line="288" w:lineRule="auto"/>
        <w:jc w:val="both"/>
        <w:rPr>
          <w:rFonts w:eastAsia="EUAlbertina-Regular-Identity-H"/>
          <w:b/>
          <w:bCs/>
          <w:i/>
          <w:iCs/>
          <w:lang w:val="en-GB" w:eastAsia="en-US"/>
        </w:rPr>
      </w:pPr>
    </w:p>
    <w:p w:rsidR="00C7761C" w:rsidRDefault="00C7761C" w:rsidP="00C7761C">
      <w:pPr>
        <w:spacing w:before="60" w:after="60" w:line="288" w:lineRule="auto"/>
        <w:jc w:val="both"/>
        <w:rPr>
          <w:rFonts w:eastAsia="EUAlbertina-Regular-Identity-H"/>
          <w:b/>
          <w:bCs/>
          <w:i/>
          <w:iCs/>
          <w:lang w:val="en-GB" w:eastAsia="en-US"/>
        </w:rPr>
      </w:pPr>
      <w:r>
        <w:rPr>
          <w:rFonts w:eastAsia="EUAlbertina-Regular-Identity-H"/>
          <w:b/>
          <w:bCs/>
          <w:i/>
          <w:iCs/>
          <w:lang w:val="en-GB" w:eastAsia="en-US"/>
        </w:rPr>
        <w:t xml:space="preserve">Indicative activities: </w:t>
      </w:r>
    </w:p>
    <w:p w:rsidR="00C7761C" w:rsidRDefault="00C7761C" w:rsidP="00C7761C">
      <w:pPr>
        <w:numPr>
          <w:ilvl w:val="0"/>
          <w:numId w:val="59"/>
        </w:numPr>
        <w:spacing w:before="60" w:after="60" w:line="288" w:lineRule="auto"/>
        <w:jc w:val="both"/>
        <w:rPr>
          <w:rFonts w:eastAsia="EUAlbertina-Regular-Identity-H"/>
          <w:bCs/>
          <w:iCs/>
          <w:lang w:val="en-GB" w:eastAsia="en-US"/>
        </w:rPr>
      </w:pPr>
      <w:r>
        <w:rPr>
          <w:rFonts w:eastAsia="EUAlbertina-Regular-Identity-H"/>
          <w:bCs/>
          <w:iCs/>
          <w:lang w:val="en-GB" w:eastAsia="en-US"/>
        </w:rPr>
        <w:t>Joint activities meant to enhance the access to health in the border area through construction / rehabilitation / modernization of infrastructure of public health services (including through the use of renewable energy etc.);</w:t>
      </w:r>
    </w:p>
    <w:p w:rsidR="00C7761C" w:rsidRDefault="00C7761C" w:rsidP="00C7761C">
      <w:pPr>
        <w:numPr>
          <w:ilvl w:val="0"/>
          <w:numId w:val="59"/>
        </w:numPr>
        <w:spacing w:before="60" w:after="60" w:line="288" w:lineRule="auto"/>
        <w:jc w:val="both"/>
        <w:rPr>
          <w:rFonts w:eastAsia="EUAlbertina-Regular-Identity-H"/>
          <w:bCs/>
          <w:iCs/>
          <w:lang w:val="en-GB" w:eastAsia="en-US"/>
        </w:rPr>
      </w:pPr>
      <w:r>
        <w:rPr>
          <w:rFonts w:eastAsia="EUAlbertina-Regular-Identity-H"/>
          <w:bCs/>
          <w:iCs/>
          <w:lang w:val="en-GB" w:eastAsia="en-US"/>
        </w:rPr>
        <w:t>Developing labs and mobile labs for screening / clinical monitoring of diseases and prevention of cross border epidemics;</w:t>
      </w:r>
    </w:p>
    <w:p w:rsidR="00C7761C" w:rsidRDefault="00C7761C" w:rsidP="00C7761C">
      <w:pPr>
        <w:numPr>
          <w:ilvl w:val="0"/>
          <w:numId w:val="59"/>
        </w:numPr>
        <w:spacing w:before="60" w:after="60" w:line="288" w:lineRule="auto"/>
        <w:jc w:val="both"/>
        <w:rPr>
          <w:rFonts w:eastAsia="EUAlbertina-Regular-Identity-H"/>
          <w:bCs/>
          <w:iCs/>
          <w:lang w:val="en-GB" w:eastAsia="en-US"/>
        </w:rPr>
      </w:pPr>
      <w:r>
        <w:rPr>
          <w:rFonts w:eastAsia="EUAlbertina-Regular-Identity-H"/>
          <w:bCs/>
          <w:iCs/>
          <w:lang w:val="en-GB" w:eastAsia="en-US"/>
        </w:rPr>
        <w:t>Equipping specific public medical service infrastructure (outpatient, emergency room facilities, medical centres, integrated social intervention, etc.);</w:t>
      </w:r>
    </w:p>
    <w:p w:rsidR="00C7761C" w:rsidRDefault="00C7761C" w:rsidP="00C7761C">
      <w:pPr>
        <w:numPr>
          <w:ilvl w:val="0"/>
          <w:numId w:val="59"/>
        </w:numPr>
        <w:spacing w:before="60" w:after="60" w:line="288" w:lineRule="auto"/>
        <w:jc w:val="both"/>
        <w:rPr>
          <w:rFonts w:eastAsia="EUAlbertina-Regular-Identity-H"/>
          <w:bCs/>
          <w:iCs/>
          <w:lang w:val="en-GB" w:eastAsia="en-US"/>
        </w:rPr>
      </w:pPr>
      <w:r>
        <w:rPr>
          <w:rFonts w:eastAsia="EUAlbertina-Regular-Identity-H"/>
          <w:bCs/>
          <w:iCs/>
          <w:lang w:val="en-GB" w:eastAsia="en-US"/>
        </w:rPr>
        <w:t>Joint training programs and exchange of experience, networking for supporting the functioning of the specific public medical services, telemedicine ;</w:t>
      </w:r>
    </w:p>
    <w:p w:rsidR="00C7761C" w:rsidRDefault="00C7761C" w:rsidP="00C7761C">
      <w:pPr>
        <w:numPr>
          <w:ilvl w:val="0"/>
          <w:numId w:val="59"/>
        </w:numPr>
        <w:spacing w:before="60" w:after="60" w:line="288" w:lineRule="auto"/>
        <w:jc w:val="both"/>
        <w:rPr>
          <w:rFonts w:eastAsia="EUAlbertina-Regular-Identity-H"/>
          <w:bCs/>
          <w:iCs/>
          <w:lang w:val="en-GB" w:eastAsia="en-US"/>
        </w:rPr>
      </w:pPr>
      <w:r>
        <w:rPr>
          <w:rFonts w:eastAsia="EUAlbertina-Regular-Identity-H"/>
          <w:bCs/>
          <w:iCs/>
          <w:lang w:val="en-GB" w:eastAsia="en-US"/>
        </w:rPr>
        <w:t>Exchange of experience, joint activities in order to ensure compatibility of the treatment guidelines, joint diagnosis programmes;</w:t>
      </w:r>
    </w:p>
    <w:p w:rsidR="00C7761C" w:rsidRDefault="00C7761C" w:rsidP="00C7761C">
      <w:pPr>
        <w:numPr>
          <w:ilvl w:val="0"/>
          <w:numId w:val="59"/>
        </w:numPr>
        <w:spacing w:before="60" w:after="60" w:line="288" w:lineRule="auto"/>
        <w:jc w:val="both"/>
        <w:rPr>
          <w:rFonts w:eastAsia="EUAlbertina-Regular-Identity-H"/>
          <w:bCs/>
          <w:iCs/>
          <w:lang w:val="en-GB" w:eastAsia="en-US"/>
        </w:rPr>
      </w:pPr>
      <w:r>
        <w:rPr>
          <w:rFonts w:eastAsia="EUAlbertina-Regular-Identity-H"/>
          <w:bCs/>
          <w:iCs/>
          <w:lang w:val="en-GB" w:eastAsia="en-US"/>
        </w:rPr>
        <w:t>Awareness campaigns concerning public education on health, diseases and prevention of epidemics.</w:t>
      </w:r>
    </w:p>
    <w:p w:rsidR="00C7761C" w:rsidRDefault="00C7761C" w:rsidP="00C7761C">
      <w:pPr>
        <w:spacing w:before="60" w:after="60" w:line="288" w:lineRule="auto"/>
        <w:ind w:left="720"/>
        <w:jc w:val="both"/>
        <w:rPr>
          <w:rFonts w:eastAsia="EUAlbertina-Regular-Identity-H"/>
          <w:b/>
          <w:bCs/>
          <w:i/>
          <w:iCs/>
          <w:lang w:val="en-GB" w:eastAsia="en-US"/>
        </w:rPr>
      </w:pPr>
    </w:p>
    <w:p w:rsidR="00C7761C" w:rsidRDefault="00C7761C" w:rsidP="00C7761C">
      <w:pPr>
        <w:spacing w:before="60" w:after="60" w:line="288" w:lineRule="auto"/>
        <w:jc w:val="both"/>
        <w:rPr>
          <w:rFonts w:eastAsia="EUAlbertina-Regular-Identity-H"/>
          <w:b/>
          <w:bCs/>
          <w:i/>
          <w:iCs/>
          <w:lang w:val="en-GB" w:eastAsia="en-US"/>
        </w:rPr>
      </w:pPr>
      <w:r>
        <w:rPr>
          <w:rFonts w:eastAsia="EUAlbertina-Regular-Identity-H"/>
          <w:b/>
          <w:bCs/>
          <w:i/>
          <w:iCs/>
          <w:lang w:val="en-GB" w:eastAsia="en-US"/>
        </w:rPr>
        <w:t>Indicative Beneficiaries:</w:t>
      </w:r>
    </w:p>
    <w:p w:rsidR="00C7761C" w:rsidRDefault="00C7761C" w:rsidP="00C7761C">
      <w:pPr>
        <w:numPr>
          <w:ilvl w:val="0"/>
          <w:numId w:val="32"/>
        </w:numPr>
        <w:spacing w:before="60" w:after="60" w:line="288" w:lineRule="auto"/>
        <w:jc w:val="both"/>
        <w:rPr>
          <w:rFonts w:eastAsia="EUAlbertina-Regular-Identity-H"/>
          <w:bCs/>
          <w:iCs/>
          <w:lang w:val="en-GB" w:eastAsia="en-US"/>
        </w:rPr>
      </w:pPr>
      <w:r>
        <w:rPr>
          <w:rFonts w:eastAsia="EUAlbertina-Regular-Identity-H"/>
          <w:bCs/>
          <w:iCs/>
          <w:lang w:val="en-GB" w:eastAsia="en-US"/>
        </w:rPr>
        <w:t>National /regional/ public administration and other public institutions</w:t>
      </w:r>
    </w:p>
    <w:p w:rsidR="00C7761C" w:rsidRDefault="00C7761C" w:rsidP="00C7761C">
      <w:pPr>
        <w:numPr>
          <w:ilvl w:val="0"/>
          <w:numId w:val="32"/>
        </w:numPr>
        <w:spacing w:before="60" w:after="60" w:line="288" w:lineRule="auto"/>
        <w:jc w:val="both"/>
        <w:rPr>
          <w:rFonts w:eastAsia="EUAlbertina-Regular-Identity-H"/>
          <w:bCs/>
          <w:iCs/>
          <w:lang w:val="en-GB" w:eastAsia="en-US"/>
        </w:rPr>
      </w:pPr>
      <w:r>
        <w:rPr>
          <w:rFonts w:eastAsia="EUAlbertina-Regular-Identity-H"/>
          <w:bCs/>
          <w:iCs/>
          <w:lang w:val="en-GB" w:eastAsia="en-US"/>
        </w:rPr>
        <w:t xml:space="preserve">National/regional/local/ institutions acting in the field of health and social policies; </w:t>
      </w:r>
    </w:p>
    <w:p w:rsidR="00C7761C" w:rsidRDefault="00C7761C" w:rsidP="00C7761C">
      <w:pPr>
        <w:numPr>
          <w:ilvl w:val="0"/>
          <w:numId w:val="32"/>
        </w:numPr>
        <w:spacing w:before="60" w:after="60" w:line="288" w:lineRule="auto"/>
        <w:jc w:val="both"/>
        <w:rPr>
          <w:rFonts w:eastAsia="EUAlbertina-Regular-Identity-H"/>
          <w:bCs/>
          <w:iCs/>
          <w:lang w:val="en-GB" w:eastAsia="en-US"/>
        </w:rPr>
      </w:pPr>
      <w:r>
        <w:rPr>
          <w:rFonts w:eastAsia="EUAlbertina-Regular-Identity-H"/>
          <w:bCs/>
          <w:iCs/>
          <w:lang w:val="en-GB" w:eastAsia="en-US"/>
        </w:rPr>
        <w:t xml:space="preserve">NGOs, universities and research institutes;  </w:t>
      </w:r>
    </w:p>
    <w:p w:rsidR="00C7761C" w:rsidRDefault="00C7761C" w:rsidP="00C7761C">
      <w:pPr>
        <w:numPr>
          <w:ilvl w:val="0"/>
          <w:numId w:val="32"/>
        </w:numPr>
        <w:spacing w:before="60" w:after="60" w:line="288" w:lineRule="auto"/>
        <w:jc w:val="both"/>
        <w:rPr>
          <w:rFonts w:eastAsia="EUAlbertina-Regular-Identity-H"/>
          <w:bCs/>
          <w:iCs/>
          <w:lang w:val="en-GB" w:eastAsia="en-US"/>
        </w:rPr>
      </w:pPr>
      <w:r>
        <w:rPr>
          <w:rFonts w:eastAsia="EUAlbertina-Regular-Identity-H"/>
          <w:bCs/>
          <w:iCs/>
          <w:lang w:val="en-GB" w:eastAsia="en-US"/>
        </w:rPr>
        <w:t>Professional medical and other relevant associations.</w:t>
      </w:r>
    </w:p>
    <w:p w:rsidR="00C7761C" w:rsidRDefault="00C7761C" w:rsidP="00C7761C">
      <w:pPr>
        <w:spacing w:before="60" w:after="60" w:line="288" w:lineRule="auto"/>
        <w:ind w:left="720"/>
        <w:jc w:val="both"/>
        <w:rPr>
          <w:rFonts w:eastAsia="EUAlbertina-Regular-Identity-H"/>
          <w:bCs/>
          <w:lang w:val="en-GB" w:eastAsia="en-US"/>
        </w:rPr>
      </w:pPr>
    </w:p>
    <w:p w:rsidR="00C7761C" w:rsidRDefault="00C7761C" w:rsidP="00C7761C">
      <w:pPr>
        <w:spacing w:before="60" w:after="60" w:line="288" w:lineRule="auto"/>
        <w:jc w:val="both"/>
        <w:rPr>
          <w:rFonts w:eastAsia="EUAlbertina-Regular-Identity-H"/>
          <w:b/>
          <w:bCs/>
          <w:iCs/>
          <w:lang w:val="en-GB" w:eastAsia="en-US"/>
        </w:rPr>
      </w:pPr>
      <w:r>
        <w:rPr>
          <w:rFonts w:eastAsia="EUAlbertina-Regular-Identity-H"/>
          <w:b/>
          <w:bCs/>
          <w:iCs/>
          <w:lang w:val="en-GB" w:eastAsia="en-US"/>
        </w:rPr>
        <w:t>Priority 4.2 – Support to joint activities for the prevention of natural and man-made disasters as well as joint actions during emergency situations</w:t>
      </w:r>
    </w:p>
    <w:p w:rsidR="00C7761C" w:rsidRDefault="00C7761C" w:rsidP="00C7761C">
      <w:pPr>
        <w:spacing w:before="60" w:after="60" w:line="288" w:lineRule="auto"/>
        <w:jc w:val="both"/>
        <w:rPr>
          <w:rFonts w:eastAsia="EUAlbertina-Regular-Identity-H"/>
          <w:b/>
          <w:bCs/>
          <w:lang w:val="en-GB" w:eastAsia="en-US"/>
        </w:rPr>
      </w:pPr>
    </w:p>
    <w:p w:rsidR="00C7761C" w:rsidRDefault="00C7761C" w:rsidP="00C7761C">
      <w:pPr>
        <w:spacing w:before="60" w:after="60" w:line="288" w:lineRule="auto"/>
        <w:jc w:val="both"/>
        <w:rPr>
          <w:rFonts w:eastAsia="EUAlbertina-Regular-Identity-H"/>
          <w:b/>
          <w:bCs/>
          <w:i/>
          <w:lang w:val="en-GB" w:eastAsia="en-US"/>
        </w:rPr>
      </w:pPr>
      <w:r>
        <w:rPr>
          <w:rFonts w:eastAsia="EUAlbertina-Regular-Identity-H"/>
          <w:b/>
          <w:bCs/>
          <w:i/>
          <w:lang w:val="en-GB" w:eastAsia="en-US"/>
        </w:rPr>
        <w:t>Indicative activities:</w:t>
      </w:r>
    </w:p>
    <w:p w:rsidR="00C7761C" w:rsidRDefault="00C7761C" w:rsidP="00C7761C">
      <w:pPr>
        <w:numPr>
          <w:ilvl w:val="1"/>
          <w:numId w:val="33"/>
        </w:numPr>
        <w:spacing w:before="60" w:after="60" w:line="288" w:lineRule="auto"/>
        <w:ind w:left="720"/>
        <w:jc w:val="both"/>
        <w:rPr>
          <w:rFonts w:eastAsia="EUAlbertina-Regular-Identity-H"/>
          <w:bCs/>
          <w:lang w:val="en-GB" w:eastAsia="en-US"/>
        </w:rPr>
      </w:pPr>
      <w:r>
        <w:rPr>
          <w:rFonts w:eastAsia="EUAlbertina-Regular-Identity-H"/>
          <w:bCs/>
          <w:lang w:val="en-GB" w:eastAsia="en-US"/>
        </w:rPr>
        <w:t>Common measures for preventing land slide and flooding of the cross border areas;</w:t>
      </w:r>
    </w:p>
    <w:p w:rsidR="00C7761C" w:rsidRDefault="00C7761C" w:rsidP="00C7761C">
      <w:pPr>
        <w:numPr>
          <w:ilvl w:val="1"/>
          <w:numId w:val="33"/>
        </w:numPr>
        <w:spacing w:before="60" w:after="60" w:line="288" w:lineRule="auto"/>
        <w:ind w:left="720"/>
        <w:jc w:val="both"/>
        <w:rPr>
          <w:rFonts w:eastAsia="EUAlbertina-Regular-Identity-H"/>
          <w:bCs/>
          <w:lang w:val="en-GB" w:eastAsia="en-US"/>
        </w:rPr>
      </w:pPr>
      <w:r>
        <w:rPr>
          <w:rFonts w:eastAsia="EUAlbertina-Regular-Identity-H"/>
          <w:bCs/>
          <w:lang w:val="en-GB" w:eastAsia="en-US"/>
        </w:rPr>
        <w:t>Joint integrated systems for efficient monitoring and disaster prevention and for the mitigation of consequences;</w:t>
      </w:r>
    </w:p>
    <w:p w:rsidR="00C7761C" w:rsidRDefault="00C7761C" w:rsidP="00C7761C">
      <w:pPr>
        <w:numPr>
          <w:ilvl w:val="1"/>
          <w:numId w:val="33"/>
        </w:numPr>
        <w:spacing w:before="60" w:after="60" w:line="288" w:lineRule="auto"/>
        <w:ind w:left="720"/>
        <w:jc w:val="both"/>
        <w:rPr>
          <w:rFonts w:eastAsia="EUAlbertina-Regular-Identity-H"/>
          <w:bCs/>
          <w:lang w:val="en-GB" w:eastAsia="en-US"/>
        </w:rPr>
      </w:pPr>
      <w:r>
        <w:rPr>
          <w:rFonts w:eastAsia="EUAlbertina-Regular-Identity-H"/>
          <w:bCs/>
          <w:lang w:val="en-GB" w:eastAsia="en-US"/>
        </w:rPr>
        <w:t xml:space="preserve">Common strategies and tools for hazard management and risk prevention including joint action plans; </w:t>
      </w:r>
    </w:p>
    <w:p w:rsidR="00C7761C" w:rsidRDefault="00C7761C" w:rsidP="00C7761C">
      <w:pPr>
        <w:numPr>
          <w:ilvl w:val="1"/>
          <w:numId w:val="33"/>
        </w:numPr>
        <w:spacing w:before="60" w:after="60" w:line="288" w:lineRule="auto"/>
        <w:ind w:left="720"/>
        <w:jc w:val="both"/>
        <w:rPr>
          <w:rFonts w:eastAsia="EUAlbertina-Regular-Identity-H"/>
          <w:bCs/>
          <w:lang w:val="en-GB" w:eastAsia="en-US"/>
        </w:rPr>
      </w:pPr>
      <w:r>
        <w:rPr>
          <w:rFonts w:eastAsia="EUAlbertina-Regular-Identity-H"/>
          <w:bCs/>
          <w:lang w:val="en-GB" w:eastAsia="en-US"/>
        </w:rPr>
        <w:t>Elaborating of joint detailed maps and databases (indicating natural and technological risks, and land use for regional planning authorities, environmental agencies and emergency services;)</w:t>
      </w:r>
    </w:p>
    <w:p w:rsidR="00C7761C" w:rsidRDefault="00C7761C" w:rsidP="00C7761C">
      <w:pPr>
        <w:numPr>
          <w:ilvl w:val="1"/>
          <w:numId w:val="33"/>
        </w:numPr>
        <w:spacing w:before="60" w:after="60" w:line="288" w:lineRule="auto"/>
        <w:ind w:left="720"/>
        <w:jc w:val="both"/>
        <w:rPr>
          <w:rFonts w:eastAsia="EUAlbertina-Regular-Identity-H"/>
          <w:bCs/>
          <w:lang w:val="en-GB" w:eastAsia="en-US"/>
        </w:rPr>
      </w:pPr>
      <w:r>
        <w:rPr>
          <w:rFonts w:eastAsia="EUAlbertina-Regular-Identity-H"/>
          <w:bCs/>
          <w:lang w:val="en-GB" w:eastAsia="en-US"/>
        </w:rPr>
        <w:lastRenderedPageBreak/>
        <w:t>Exchanging experience and knowledge, including raising awareness in the field of efficient risk prevention and management in the cross-border area;</w:t>
      </w:r>
    </w:p>
    <w:p w:rsidR="00C7761C" w:rsidRDefault="00C7761C" w:rsidP="00C7761C">
      <w:pPr>
        <w:numPr>
          <w:ilvl w:val="1"/>
          <w:numId w:val="33"/>
        </w:numPr>
        <w:spacing w:before="60" w:after="60" w:line="288" w:lineRule="auto"/>
        <w:ind w:left="720"/>
        <w:jc w:val="both"/>
        <w:rPr>
          <w:rFonts w:eastAsia="EUAlbertina-Regular-Identity-H"/>
          <w:bCs/>
          <w:lang w:val="en-GB" w:eastAsia="en-US"/>
        </w:rPr>
      </w:pPr>
      <w:r>
        <w:rPr>
          <w:rFonts w:eastAsia="EUAlbertina-Regular-Identity-H"/>
          <w:bCs/>
          <w:lang w:val="en-GB" w:eastAsia="en-US"/>
        </w:rPr>
        <w:t>Development of integrated and common standards for the urban planning and risk management;</w:t>
      </w:r>
    </w:p>
    <w:p w:rsidR="00C7761C" w:rsidRDefault="00C7761C" w:rsidP="00C7761C">
      <w:pPr>
        <w:numPr>
          <w:ilvl w:val="1"/>
          <w:numId w:val="33"/>
        </w:numPr>
        <w:spacing w:before="60" w:after="60" w:line="288" w:lineRule="auto"/>
        <w:ind w:left="720"/>
        <w:jc w:val="both"/>
        <w:rPr>
          <w:rFonts w:eastAsia="EUAlbertina-Regular-Identity-H"/>
          <w:bCs/>
          <w:lang w:val="en-GB" w:eastAsia="en-US"/>
        </w:rPr>
      </w:pPr>
      <w:r>
        <w:rPr>
          <w:rFonts w:eastAsia="EUAlbertina-Regular-Identity-H"/>
          <w:bCs/>
          <w:lang w:val="en-GB" w:eastAsia="en-US"/>
        </w:rPr>
        <w:t xml:space="preserve">Investments and development of common, integrated, emergency management systems. </w:t>
      </w:r>
    </w:p>
    <w:p w:rsidR="00C7761C" w:rsidRDefault="00C7761C" w:rsidP="00C7761C">
      <w:pPr>
        <w:numPr>
          <w:ilvl w:val="1"/>
          <w:numId w:val="33"/>
        </w:numPr>
        <w:spacing w:before="60" w:after="60" w:line="288" w:lineRule="auto"/>
        <w:ind w:left="720"/>
        <w:jc w:val="both"/>
        <w:rPr>
          <w:rFonts w:eastAsia="EUAlbertina-Regular-Identity-H"/>
          <w:bCs/>
          <w:lang w:val="en-GB" w:eastAsia="en-US"/>
        </w:rPr>
      </w:pPr>
      <w:r>
        <w:rPr>
          <w:rFonts w:eastAsia="EUAlbertina-Regular-Identity-H"/>
          <w:bCs/>
          <w:lang w:val="en-GB" w:eastAsia="en-US"/>
        </w:rPr>
        <w:t>Planning co-ordinated actions of the authorities in emergency situations caused by natural and man-made disasters (flood, fire, heat waves, earthquakes, storms).</w:t>
      </w:r>
    </w:p>
    <w:p w:rsidR="00C7761C" w:rsidRDefault="00C7761C" w:rsidP="00C7761C">
      <w:pPr>
        <w:spacing w:before="60" w:after="60" w:line="288" w:lineRule="auto"/>
        <w:jc w:val="both"/>
        <w:rPr>
          <w:rFonts w:eastAsia="EUAlbertina-Regular-Identity-H"/>
          <w:bCs/>
          <w:lang w:val="en-GB" w:eastAsia="en-US"/>
        </w:rPr>
      </w:pPr>
    </w:p>
    <w:p w:rsidR="00C7761C" w:rsidRDefault="00C7761C" w:rsidP="00C7761C">
      <w:pPr>
        <w:spacing w:before="60" w:after="60" w:line="288" w:lineRule="auto"/>
        <w:jc w:val="both"/>
        <w:rPr>
          <w:rFonts w:eastAsia="EUAlbertina-Regular-Identity-H"/>
          <w:b/>
          <w:bCs/>
          <w:i/>
          <w:lang w:val="en-GB" w:eastAsia="en-US"/>
        </w:rPr>
      </w:pPr>
      <w:r>
        <w:rPr>
          <w:rFonts w:eastAsia="EUAlbertina-Regular-Identity-H"/>
          <w:b/>
          <w:bCs/>
          <w:i/>
          <w:lang w:val="en-GB" w:eastAsia="en-US"/>
        </w:rPr>
        <w:t>Indicative Beneficiaries:</w:t>
      </w:r>
    </w:p>
    <w:p w:rsidR="00C7761C" w:rsidRDefault="00C7761C" w:rsidP="00C7761C">
      <w:pPr>
        <w:numPr>
          <w:ilvl w:val="0"/>
          <w:numId w:val="34"/>
        </w:numPr>
        <w:spacing w:before="60" w:after="60" w:line="288" w:lineRule="auto"/>
        <w:jc w:val="both"/>
        <w:rPr>
          <w:rFonts w:eastAsia="EUAlbertina-Regular-Identity-H"/>
          <w:bCs/>
          <w:iCs/>
          <w:lang w:val="en-GB" w:eastAsia="en-US"/>
        </w:rPr>
      </w:pPr>
      <w:r>
        <w:rPr>
          <w:rFonts w:eastAsia="EUAlbertina-Regular-Identity-H"/>
          <w:bCs/>
          <w:iCs/>
          <w:lang w:val="en-GB" w:eastAsia="en-US"/>
        </w:rPr>
        <w:t>National/ regional/ county/ public administration and other public institutions acting in the area of mitigation of disaster risks and effects and emergency situations;</w:t>
      </w:r>
    </w:p>
    <w:p w:rsidR="00C7761C" w:rsidRDefault="00C7761C" w:rsidP="00C7761C">
      <w:pPr>
        <w:numPr>
          <w:ilvl w:val="0"/>
          <w:numId w:val="34"/>
        </w:numPr>
        <w:spacing w:before="60" w:after="60" w:line="288" w:lineRule="auto"/>
        <w:jc w:val="both"/>
        <w:rPr>
          <w:rFonts w:eastAsia="EUAlbertina-Regular-Identity-H"/>
          <w:bCs/>
          <w:iCs/>
          <w:lang w:val="en-GB" w:eastAsia="en-US"/>
        </w:rPr>
      </w:pPr>
      <w:r>
        <w:rPr>
          <w:rFonts w:eastAsia="EUAlbertina-Regular-Identity-H"/>
          <w:bCs/>
          <w:iCs/>
          <w:lang w:val="en-GB" w:eastAsia="en-US"/>
        </w:rPr>
        <w:t>Research institutes/organizations, universities, NGOs.</w:t>
      </w:r>
    </w:p>
    <w:p w:rsidR="00C7761C" w:rsidRDefault="00C7761C" w:rsidP="00C7761C">
      <w:pPr>
        <w:spacing w:before="60" w:after="60" w:line="288" w:lineRule="auto"/>
        <w:ind w:left="720"/>
        <w:jc w:val="both"/>
        <w:rPr>
          <w:rFonts w:eastAsia="EUAlbertina-Regular-Identity-H"/>
          <w:bCs/>
          <w:lang w:val="en-GB" w:eastAsia="en-US"/>
        </w:rPr>
      </w:pPr>
    </w:p>
    <w:p w:rsidR="00C7761C" w:rsidRDefault="00C7761C" w:rsidP="00C7761C">
      <w:pPr>
        <w:spacing w:before="60" w:after="60" w:line="288" w:lineRule="auto"/>
        <w:jc w:val="both"/>
        <w:rPr>
          <w:b/>
          <w:lang w:val="en-GB"/>
        </w:rPr>
      </w:pPr>
      <w:r>
        <w:rPr>
          <w:b/>
          <w:bCs/>
          <w:iCs/>
          <w:lang w:val="en-GB"/>
        </w:rPr>
        <w:t>Priority 4.3 Prevention and fight against organised crime and police cooperation</w:t>
      </w:r>
    </w:p>
    <w:p w:rsidR="00C7761C" w:rsidRDefault="00C7761C" w:rsidP="00C7761C">
      <w:pPr>
        <w:spacing w:before="60" w:after="60" w:line="288" w:lineRule="auto"/>
        <w:jc w:val="both"/>
        <w:rPr>
          <w:rFonts w:eastAsia="EUAlbertina-Regular-Identity-H"/>
          <w:bCs/>
          <w:lang w:val="en-GB" w:eastAsia="en-US"/>
        </w:rPr>
      </w:pPr>
      <w:r>
        <w:rPr>
          <w:rFonts w:eastAsia="EUAlbertina-Regular-Identity-H"/>
          <w:bCs/>
          <w:lang w:val="en-GB" w:eastAsia="en-US"/>
        </w:rPr>
        <w:t> </w:t>
      </w:r>
    </w:p>
    <w:p w:rsidR="00C7761C" w:rsidRDefault="00C7761C" w:rsidP="00C7761C">
      <w:pPr>
        <w:spacing w:before="60" w:after="60" w:line="288" w:lineRule="auto"/>
        <w:jc w:val="both"/>
        <w:rPr>
          <w:b/>
          <w:i/>
          <w:lang w:val="en-GB"/>
        </w:rPr>
      </w:pPr>
      <w:r>
        <w:rPr>
          <w:b/>
          <w:i/>
          <w:lang w:val="en-GB"/>
        </w:rPr>
        <w:t>Indicative activities:</w:t>
      </w:r>
    </w:p>
    <w:p w:rsidR="00C7761C" w:rsidRDefault="00C7761C" w:rsidP="00C7761C">
      <w:pPr>
        <w:numPr>
          <w:ilvl w:val="0"/>
          <w:numId w:val="60"/>
        </w:numPr>
        <w:spacing w:before="60" w:after="60" w:line="288" w:lineRule="auto"/>
        <w:jc w:val="both"/>
        <w:rPr>
          <w:bCs/>
          <w:lang w:val="en-GB"/>
        </w:rPr>
      </w:pPr>
      <w:r>
        <w:rPr>
          <w:bCs/>
          <w:lang w:val="en-GB"/>
        </w:rPr>
        <w:t>Common actions for increasing mobility and administrative capacity of police units (including border police);</w:t>
      </w:r>
    </w:p>
    <w:p w:rsidR="00C7761C" w:rsidRDefault="00C7761C" w:rsidP="00C7761C">
      <w:pPr>
        <w:numPr>
          <w:ilvl w:val="0"/>
          <w:numId w:val="60"/>
        </w:numPr>
        <w:spacing w:before="60" w:after="60" w:line="288" w:lineRule="auto"/>
        <w:jc w:val="both"/>
        <w:rPr>
          <w:bCs/>
          <w:lang w:val="en-GB"/>
        </w:rPr>
      </w:pPr>
      <w:r>
        <w:rPr>
          <w:bCs/>
          <w:lang w:val="en-GB"/>
        </w:rPr>
        <w:t>Creating collaborative working platforms in order to increase the efficiency of police, border police and custom structures in the exchange of data and information;</w:t>
      </w:r>
    </w:p>
    <w:p w:rsidR="00C7761C" w:rsidRDefault="00C7761C" w:rsidP="00C7761C">
      <w:pPr>
        <w:numPr>
          <w:ilvl w:val="0"/>
          <w:numId w:val="60"/>
        </w:numPr>
        <w:spacing w:before="60" w:after="60" w:line="288" w:lineRule="auto"/>
        <w:jc w:val="both"/>
        <w:rPr>
          <w:bCs/>
          <w:lang w:val="en-GB"/>
        </w:rPr>
      </w:pPr>
      <w:r>
        <w:rPr>
          <w:bCs/>
          <w:lang w:val="en-GB"/>
        </w:rPr>
        <w:t>Joint trainings of police, customs, border police, gendarmerie, exchange of best practices on specific areas of activity (analysis, criminal investigation, organized crime).</w:t>
      </w:r>
    </w:p>
    <w:p w:rsidR="00C7761C" w:rsidRDefault="00C7761C" w:rsidP="00C7761C">
      <w:pPr>
        <w:numPr>
          <w:ilvl w:val="0"/>
          <w:numId w:val="60"/>
        </w:numPr>
        <w:spacing w:before="60" w:after="60" w:line="288" w:lineRule="auto"/>
        <w:jc w:val="both"/>
        <w:rPr>
          <w:bCs/>
          <w:lang w:val="en-GB"/>
        </w:rPr>
      </w:pPr>
      <w:r>
        <w:rPr>
          <w:bCs/>
          <w:lang w:val="en-GB"/>
        </w:rPr>
        <w:t xml:space="preserve">Investment in construction, renovation or upgrading of police and border crossing infrastructure and related buildings; </w:t>
      </w:r>
    </w:p>
    <w:p w:rsidR="00C7761C" w:rsidRDefault="00C7761C" w:rsidP="00C7761C">
      <w:pPr>
        <w:numPr>
          <w:ilvl w:val="0"/>
          <w:numId w:val="60"/>
        </w:numPr>
        <w:spacing w:before="60" w:after="60" w:line="288" w:lineRule="auto"/>
        <w:jc w:val="both"/>
        <w:rPr>
          <w:bCs/>
          <w:lang w:val="en-GB"/>
        </w:rPr>
      </w:pPr>
      <w:r>
        <w:rPr>
          <w:bCs/>
          <w:lang w:val="en-GB"/>
        </w:rPr>
        <w:t>Investments in operating equipment and facilities specific for the activity of police/customs/border police/gendarmerie (e.g. laboratories,  equipment, detection tools,  hardware and software, means of transport);</w:t>
      </w:r>
    </w:p>
    <w:p w:rsidR="00C7761C" w:rsidRDefault="00C7761C" w:rsidP="00C7761C">
      <w:pPr>
        <w:numPr>
          <w:ilvl w:val="0"/>
          <w:numId w:val="60"/>
        </w:numPr>
        <w:spacing w:before="60" w:after="60" w:line="288" w:lineRule="auto"/>
        <w:jc w:val="both"/>
        <w:rPr>
          <w:bCs/>
          <w:lang w:val="en-GB"/>
        </w:rPr>
      </w:pPr>
      <w:r>
        <w:rPr>
          <w:bCs/>
          <w:lang w:val="en-GB"/>
        </w:rPr>
        <w:t>Developing common policies and strategies, experience exchange for fighting organised crime.</w:t>
      </w:r>
    </w:p>
    <w:p w:rsidR="00C7761C" w:rsidRDefault="00C7761C" w:rsidP="00C7761C">
      <w:pPr>
        <w:spacing w:before="60" w:after="60" w:line="288" w:lineRule="auto"/>
        <w:jc w:val="both"/>
        <w:rPr>
          <w:b/>
          <w:i/>
          <w:lang w:val="en-GB"/>
        </w:rPr>
      </w:pPr>
      <w:r>
        <w:rPr>
          <w:lang w:val="en-GB"/>
        </w:rPr>
        <w:br/>
      </w:r>
      <w:r>
        <w:rPr>
          <w:b/>
          <w:i/>
          <w:lang w:val="en-GB"/>
        </w:rPr>
        <w:t>Indicative Beneficiaries:</w:t>
      </w:r>
    </w:p>
    <w:p w:rsidR="00C7761C" w:rsidRDefault="00C7761C" w:rsidP="00C7761C">
      <w:pPr>
        <w:numPr>
          <w:ilvl w:val="0"/>
          <w:numId w:val="35"/>
        </w:numPr>
        <w:spacing w:before="60" w:after="60" w:line="288" w:lineRule="auto"/>
        <w:rPr>
          <w:lang w:val="en-GB"/>
        </w:rPr>
      </w:pPr>
      <w:r>
        <w:rPr>
          <w:lang w:val="en-GB"/>
        </w:rPr>
        <w:t>Custom services, border police, police, other national/regional/local public  institutions acting in the area of crime prevention and police, professional associations.</w:t>
      </w:r>
    </w:p>
    <w:p w:rsidR="00C7761C" w:rsidRDefault="00C7761C" w:rsidP="00C7761C">
      <w:pPr>
        <w:spacing w:before="60" w:after="60" w:line="288" w:lineRule="auto"/>
        <w:jc w:val="both"/>
        <w:rPr>
          <w:rFonts w:eastAsia="EUAlbertina-Regular-Identity-H"/>
          <w:lang w:val="en-GB" w:eastAsia="en-US"/>
        </w:rPr>
      </w:pPr>
    </w:p>
    <w:p w:rsidR="00C7761C" w:rsidRDefault="00C7761C" w:rsidP="00C7761C">
      <w:pPr>
        <w:spacing w:before="60" w:after="60" w:line="288" w:lineRule="auto"/>
        <w:ind w:left="284"/>
        <w:contextualSpacing/>
        <w:jc w:val="both"/>
        <w:rPr>
          <w:rFonts w:cs="Arial"/>
          <w:b/>
          <w:i/>
          <w:lang w:val="en-GB"/>
        </w:rPr>
      </w:pPr>
      <w:r>
        <w:rPr>
          <w:rFonts w:cs="Arial"/>
          <w:b/>
          <w:i/>
          <w:lang w:val="en-GB"/>
        </w:rPr>
        <w:t>LARGE INFRASTRUCTURE PROJECTS</w:t>
      </w:r>
    </w:p>
    <w:p w:rsidR="00C7761C" w:rsidRDefault="00C7761C" w:rsidP="00C7761C">
      <w:pPr>
        <w:spacing w:before="60" w:after="60" w:line="288" w:lineRule="auto"/>
        <w:jc w:val="both"/>
        <w:rPr>
          <w:rFonts w:eastAsia="EUAlbertina-Regular-Identity-H"/>
          <w:lang w:val="en-GB" w:eastAsia="en-US"/>
        </w:rPr>
      </w:pPr>
      <w:r>
        <w:rPr>
          <w:rFonts w:eastAsia="EUAlbertina-Regular-Identity-H"/>
          <w:lang w:val="en-GB" w:eastAsia="en-US"/>
        </w:rPr>
        <w:t>The Programme will finance Large Infrastructure Projects, as follows:</w:t>
      </w:r>
    </w:p>
    <w:p w:rsidR="00C7761C" w:rsidRDefault="00C7761C" w:rsidP="00C7761C">
      <w:pPr>
        <w:spacing w:before="60" w:after="60" w:line="288" w:lineRule="auto"/>
        <w:jc w:val="both"/>
        <w:rPr>
          <w:rFonts w:eastAsia="EUAlbertina-Regular-Identity-H"/>
          <w:lang w:val="en-GB" w:eastAsia="en-US"/>
        </w:rPr>
      </w:pPr>
    </w:p>
    <w:p w:rsidR="00C7761C" w:rsidRDefault="00C7761C" w:rsidP="00C7761C">
      <w:pPr>
        <w:pStyle w:val="ListParagraph"/>
        <w:numPr>
          <w:ilvl w:val="0"/>
          <w:numId w:val="114"/>
        </w:numPr>
        <w:spacing w:line="288" w:lineRule="auto"/>
        <w:rPr>
          <w:rFonts w:eastAsia="EUAlbertina-Regular-Identity-H"/>
          <w:b/>
          <w:lang w:val="en-GB" w:eastAsia="en-US"/>
        </w:rPr>
      </w:pPr>
      <w:r w:rsidRPr="00AD0E1E">
        <w:rPr>
          <w:rFonts w:eastAsia="EUAlbertina-Regular-Identity-H"/>
          <w:b/>
          <w:lang w:val="en-GB" w:eastAsia="en-US"/>
        </w:rPr>
        <w:t xml:space="preserve">«Clean river» </w:t>
      </w:r>
      <w:r>
        <w:rPr>
          <w:rFonts w:eastAsia="EUAlbertina-Regular-Identity-H"/>
          <w:b/>
          <w:lang w:val="en-GB" w:eastAsia="en-US"/>
        </w:rPr>
        <w:t xml:space="preserve">Danube </w:t>
      </w:r>
      <w:r>
        <w:rPr>
          <w:b/>
          <w:lang w:val="vi-VN"/>
        </w:rPr>
        <w:t>(OT8) 4.2</w:t>
      </w:r>
    </w:p>
    <w:p w:rsidR="00C7761C" w:rsidRDefault="00C7761C" w:rsidP="00C7761C">
      <w:pPr>
        <w:pStyle w:val="ListParagraph"/>
        <w:spacing w:line="288" w:lineRule="auto"/>
        <w:rPr>
          <w:rFonts w:eastAsia="EUAlbertina-Regular-Identity-H"/>
          <w:lang w:val="en-GB" w:eastAsia="en-US"/>
        </w:rPr>
      </w:pPr>
      <w:r>
        <w:rPr>
          <w:rFonts w:eastAsia="EUAlbertina-Regular-Identity-H"/>
          <w:lang w:val="en-GB" w:eastAsia="en-US"/>
        </w:rPr>
        <w:t>Activities</w:t>
      </w:r>
    </w:p>
    <w:p w:rsidR="00C7761C" w:rsidRDefault="00C7761C" w:rsidP="00C7761C">
      <w:pPr>
        <w:pStyle w:val="ListParagraph"/>
        <w:numPr>
          <w:ilvl w:val="0"/>
          <w:numId w:val="112"/>
        </w:numPr>
        <w:tabs>
          <w:tab w:val="clear" w:pos="851"/>
          <w:tab w:val="left" w:pos="1134"/>
        </w:tabs>
        <w:spacing w:line="288" w:lineRule="auto"/>
        <w:ind w:left="1134" w:hanging="283"/>
        <w:rPr>
          <w:rFonts w:eastAsia="EUAlbertina-Regular-Identity-H"/>
          <w:lang w:val="en-GB" w:eastAsia="en-US"/>
        </w:rPr>
      </w:pPr>
      <w:r>
        <w:rPr>
          <w:rFonts w:eastAsia="EUAlbertina-Regular-Identity-H"/>
          <w:lang w:val="en-GB" w:eastAsia="en-US"/>
        </w:rPr>
        <w:lastRenderedPageBreak/>
        <w:t xml:space="preserve">Reconstruction and modernization of sewage pumping (Ua) </w:t>
      </w:r>
    </w:p>
    <w:p w:rsidR="00C7761C" w:rsidRDefault="00C7761C" w:rsidP="00C7761C">
      <w:pPr>
        <w:pStyle w:val="ListParagraph"/>
        <w:numPr>
          <w:ilvl w:val="0"/>
          <w:numId w:val="112"/>
        </w:numPr>
        <w:tabs>
          <w:tab w:val="clear" w:pos="851"/>
          <w:tab w:val="left" w:pos="1134"/>
        </w:tabs>
        <w:spacing w:line="288" w:lineRule="auto"/>
        <w:ind w:left="1134" w:hanging="283"/>
        <w:rPr>
          <w:rFonts w:eastAsia="EUAlbertina-Regular-Identity-H"/>
          <w:lang w:val="en-GB" w:eastAsia="en-US"/>
        </w:rPr>
      </w:pPr>
      <w:r>
        <w:rPr>
          <w:rFonts w:eastAsia="EUAlbertina-Regular-Identity-H"/>
          <w:lang w:val="en-GB" w:eastAsia="en-US"/>
        </w:rPr>
        <w:t>Conducting of monitoring and control of Danube waters for localization of anthropogenic discharges</w:t>
      </w:r>
    </w:p>
    <w:p w:rsidR="00C7761C" w:rsidRDefault="00C7761C" w:rsidP="00C7761C">
      <w:pPr>
        <w:pStyle w:val="ListParagraph"/>
        <w:numPr>
          <w:ilvl w:val="0"/>
          <w:numId w:val="114"/>
        </w:numPr>
        <w:spacing w:line="288" w:lineRule="auto"/>
        <w:rPr>
          <w:rFonts w:eastAsia="EUAlbertina-Regular-Identity-H"/>
          <w:b/>
          <w:lang w:val="en-GB" w:eastAsia="en-US"/>
        </w:rPr>
      </w:pPr>
      <w:r w:rsidRPr="00AD0E1E">
        <w:rPr>
          <w:rFonts w:eastAsia="EUAlbertina-Regular-Identity-H"/>
          <w:b/>
          <w:lang w:val="en-GB" w:eastAsia="en-US"/>
        </w:rPr>
        <w:t>Improving the cross-border infrastructure – opening the gate to</w:t>
      </w:r>
      <w:r>
        <w:rPr>
          <w:rFonts w:eastAsia="EUAlbertina-Regular-Identity-H"/>
          <w:b/>
          <w:lang w:val="en-GB" w:eastAsia="en-US"/>
        </w:rPr>
        <w:t xml:space="preserve"> </w:t>
      </w:r>
      <w:r w:rsidRPr="00AD0E1E">
        <w:rPr>
          <w:rFonts w:eastAsia="EUAlbertina-Regular-Identity-H"/>
          <w:b/>
          <w:lang w:val="en-GB" w:eastAsia="en-US"/>
        </w:rPr>
        <w:t xml:space="preserve"> Europe</w:t>
      </w:r>
      <w:r>
        <w:rPr>
          <w:rFonts w:eastAsia="EUAlbertina-Regular-Identity-H"/>
          <w:b/>
          <w:lang w:val="en-GB" w:eastAsia="en-US"/>
        </w:rPr>
        <w:t xml:space="preserve"> (OT7) 3.1</w:t>
      </w:r>
    </w:p>
    <w:p w:rsidR="00C7761C" w:rsidRDefault="00C7761C" w:rsidP="00C7761C">
      <w:pPr>
        <w:pStyle w:val="ListParagraph"/>
        <w:spacing w:line="276" w:lineRule="auto"/>
      </w:pPr>
      <w:r>
        <w:t>Activități:</w:t>
      </w:r>
    </w:p>
    <w:p w:rsidR="00C7761C" w:rsidRDefault="00C7761C" w:rsidP="00C7761C">
      <w:pPr>
        <w:pStyle w:val="ListParagraph"/>
        <w:spacing w:line="288" w:lineRule="auto"/>
        <w:rPr>
          <w:rFonts w:eastAsia="EUAlbertina-Regular-Identity-H"/>
          <w:b/>
          <w:lang w:val="en-GB" w:eastAsia="en-US"/>
        </w:rPr>
      </w:pPr>
    </w:p>
    <w:p w:rsidR="00C7761C" w:rsidRDefault="00C7761C" w:rsidP="00C7761C">
      <w:pPr>
        <w:pStyle w:val="ListParagraph"/>
        <w:numPr>
          <w:ilvl w:val="0"/>
          <w:numId w:val="112"/>
        </w:numPr>
        <w:tabs>
          <w:tab w:val="clear" w:pos="851"/>
          <w:tab w:val="left" w:pos="1134"/>
        </w:tabs>
        <w:spacing w:line="288" w:lineRule="auto"/>
        <w:ind w:left="1134" w:hanging="283"/>
        <w:rPr>
          <w:rFonts w:eastAsia="EUAlbertina-Regular-Identity-H"/>
          <w:lang w:val="en-GB" w:eastAsia="en-US"/>
        </w:rPr>
      </w:pPr>
      <w:r>
        <w:rPr>
          <w:rFonts w:eastAsia="EUAlbertina-Regular-Identity-H"/>
          <w:lang w:val="en-GB" w:eastAsia="en-US"/>
        </w:rPr>
        <w:t>Road construction works on the section Krasnoilsk – checkpoint “Krasnoilsk – Vikovu-de-Sus”;</w:t>
      </w:r>
    </w:p>
    <w:p w:rsidR="00C7761C" w:rsidRDefault="00C7761C" w:rsidP="00C7761C">
      <w:pPr>
        <w:pStyle w:val="ListParagraph"/>
        <w:numPr>
          <w:ilvl w:val="0"/>
          <w:numId w:val="112"/>
        </w:numPr>
        <w:tabs>
          <w:tab w:val="clear" w:pos="851"/>
          <w:tab w:val="left" w:pos="1134"/>
        </w:tabs>
        <w:spacing w:line="288" w:lineRule="auto"/>
        <w:ind w:left="1134" w:hanging="283"/>
        <w:rPr>
          <w:rFonts w:eastAsia="EUAlbertina-Regular-Identity-H"/>
          <w:lang w:val="en-GB" w:eastAsia="en-US"/>
        </w:rPr>
      </w:pPr>
      <w:r>
        <w:rPr>
          <w:rFonts w:eastAsia="EUAlbertina-Regular-Identity-H"/>
          <w:lang w:val="en-GB" w:eastAsia="en-US"/>
        </w:rPr>
        <w:t>International conference in Suceava regarding transport and transit issues of the border area ;</w:t>
      </w:r>
    </w:p>
    <w:p w:rsidR="00C7761C" w:rsidRDefault="00C7761C" w:rsidP="00C7761C">
      <w:pPr>
        <w:pStyle w:val="ListParagraph"/>
        <w:numPr>
          <w:ilvl w:val="0"/>
          <w:numId w:val="114"/>
        </w:numPr>
        <w:spacing w:line="288" w:lineRule="auto"/>
        <w:rPr>
          <w:rFonts w:eastAsia="EUAlbertina-Regular-Identity-H"/>
          <w:b/>
          <w:lang w:val="en-GB" w:eastAsia="en-US"/>
        </w:rPr>
      </w:pPr>
      <w:r w:rsidRPr="00AD0E1E">
        <w:rPr>
          <w:rFonts w:eastAsia="EUAlbertina-Regular-Identity-H"/>
          <w:b/>
          <w:lang w:val="en-GB" w:eastAsia="en-US"/>
        </w:rPr>
        <w:t>Regional Cooperation for Prevention and Fighting of Cross-border Crime between Romania-Ukraine</w:t>
      </w:r>
      <w:r>
        <w:rPr>
          <w:rFonts w:eastAsia="EUAlbertina-Regular-Identity-H"/>
          <w:b/>
          <w:lang w:val="en-GB" w:eastAsia="en-US"/>
        </w:rPr>
        <w:t xml:space="preserve"> (OT 8) 4.3</w:t>
      </w:r>
    </w:p>
    <w:p w:rsidR="00C7761C" w:rsidRDefault="00C7761C" w:rsidP="00C7761C">
      <w:pPr>
        <w:pStyle w:val="ListParagraph"/>
        <w:spacing w:line="276" w:lineRule="auto"/>
      </w:pPr>
      <w:r>
        <w:t>Activități:</w:t>
      </w:r>
    </w:p>
    <w:p w:rsidR="00C7761C" w:rsidRDefault="00C7761C" w:rsidP="00C7761C">
      <w:pPr>
        <w:pStyle w:val="ListParagraph"/>
        <w:spacing w:line="288" w:lineRule="auto"/>
        <w:rPr>
          <w:rFonts w:eastAsia="EUAlbertina-Regular-Identity-H"/>
          <w:b/>
          <w:lang w:val="en-GB" w:eastAsia="en-US"/>
        </w:rPr>
      </w:pPr>
    </w:p>
    <w:p w:rsidR="00C7761C" w:rsidRDefault="00C7761C" w:rsidP="00C7761C">
      <w:pPr>
        <w:pStyle w:val="ListParagraph"/>
        <w:numPr>
          <w:ilvl w:val="0"/>
          <w:numId w:val="112"/>
        </w:numPr>
        <w:tabs>
          <w:tab w:val="clear" w:pos="851"/>
          <w:tab w:val="left" w:pos="1134"/>
        </w:tabs>
        <w:spacing w:line="288" w:lineRule="auto"/>
        <w:ind w:left="1134" w:hanging="283"/>
        <w:rPr>
          <w:rFonts w:eastAsia="EUAlbertina-Regular-Identity-H"/>
          <w:lang w:val="en-GB" w:eastAsia="en-US"/>
        </w:rPr>
      </w:pPr>
      <w:r>
        <w:rPr>
          <w:rFonts w:eastAsia="EUAlbertina-Regular-Identity-H"/>
          <w:lang w:val="en-GB" w:eastAsia="en-US"/>
        </w:rPr>
        <w:t>Consolidation/ refurbishment/ extension of space for territorial police structures;</w:t>
      </w:r>
    </w:p>
    <w:p w:rsidR="00C7761C" w:rsidRDefault="00C7761C" w:rsidP="00C7761C">
      <w:pPr>
        <w:pStyle w:val="ListParagraph"/>
        <w:numPr>
          <w:ilvl w:val="0"/>
          <w:numId w:val="112"/>
        </w:numPr>
        <w:tabs>
          <w:tab w:val="clear" w:pos="851"/>
          <w:tab w:val="left" w:pos="1134"/>
        </w:tabs>
        <w:spacing w:line="288" w:lineRule="auto"/>
        <w:ind w:left="1134" w:hanging="283"/>
        <w:rPr>
          <w:rFonts w:eastAsia="EUAlbertina-Regular-Identity-H"/>
          <w:lang w:val="en-GB" w:eastAsia="en-US"/>
        </w:rPr>
      </w:pPr>
      <w:r>
        <w:rPr>
          <w:rFonts w:eastAsia="EUAlbertina-Regular-Identity-H"/>
          <w:lang w:val="en-GB" w:eastAsia="en-US"/>
        </w:rPr>
        <w:t>Construction of police facilities</w:t>
      </w:r>
    </w:p>
    <w:p w:rsidR="00C7761C" w:rsidRDefault="00C7761C" w:rsidP="00C7761C">
      <w:pPr>
        <w:pStyle w:val="ListParagraph"/>
        <w:numPr>
          <w:ilvl w:val="0"/>
          <w:numId w:val="112"/>
        </w:numPr>
        <w:tabs>
          <w:tab w:val="clear" w:pos="851"/>
          <w:tab w:val="left" w:pos="1134"/>
        </w:tabs>
        <w:spacing w:line="288" w:lineRule="auto"/>
        <w:ind w:left="1134" w:hanging="283"/>
        <w:rPr>
          <w:rFonts w:eastAsia="EUAlbertina-Regular-Identity-H"/>
          <w:lang w:val="en-GB" w:eastAsia="en-US"/>
        </w:rPr>
      </w:pPr>
      <w:r>
        <w:rPr>
          <w:rFonts w:eastAsia="EUAlbertina-Regular-Identity-H"/>
          <w:lang w:val="en-GB" w:eastAsia="en-US"/>
        </w:rPr>
        <w:t>Acquisition and equipping border police infrastructure.</w:t>
      </w:r>
    </w:p>
    <w:p w:rsidR="00C7761C" w:rsidRPr="00F21337" w:rsidRDefault="00C7761C" w:rsidP="00C7761C">
      <w:pPr>
        <w:tabs>
          <w:tab w:val="left" w:pos="1134"/>
        </w:tabs>
        <w:spacing w:line="288" w:lineRule="auto"/>
        <w:ind w:left="851"/>
        <w:rPr>
          <w:rFonts w:eastAsia="EUAlbertina-Regular-Identity-H"/>
          <w:lang w:val="en-GB" w:eastAsia="en-US"/>
        </w:rPr>
      </w:pPr>
    </w:p>
    <w:p w:rsidR="00C7761C" w:rsidRPr="0088539B" w:rsidRDefault="00C7761C" w:rsidP="00C7761C">
      <w:pPr>
        <w:pStyle w:val="ListParagraph"/>
        <w:numPr>
          <w:ilvl w:val="0"/>
          <w:numId w:val="114"/>
        </w:numPr>
        <w:spacing w:line="288" w:lineRule="auto"/>
        <w:rPr>
          <w:rFonts w:eastAsia="EUAlbertina-Regular-Identity-H"/>
          <w:b/>
          <w:lang w:val="en-GB" w:eastAsia="en-US"/>
        </w:rPr>
      </w:pPr>
      <w:r w:rsidRPr="0088539B">
        <w:rPr>
          <w:rFonts w:eastAsia="EUAlbertina-Regular-Identity-H"/>
          <w:b/>
          <w:lang w:val="en-GB" w:eastAsia="en-US"/>
        </w:rPr>
        <w:t>Improvement of the population safety and security level in the cross-border area by enhancing the joint training and cooperation actions in emergency management</w:t>
      </w:r>
      <w:r>
        <w:rPr>
          <w:rFonts w:eastAsia="EUAlbertina-Regular-Identity-H"/>
          <w:b/>
          <w:lang w:val="en-GB" w:eastAsia="en-US"/>
        </w:rPr>
        <w:t xml:space="preserve"> (OT 8) 4.1</w:t>
      </w:r>
    </w:p>
    <w:p w:rsidR="00C7761C" w:rsidRDefault="00C7761C" w:rsidP="00C7761C">
      <w:pPr>
        <w:pStyle w:val="ListParagraph"/>
        <w:numPr>
          <w:ilvl w:val="0"/>
          <w:numId w:val="112"/>
        </w:numPr>
        <w:tabs>
          <w:tab w:val="clear" w:pos="851"/>
          <w:tab w:val="left" w:pos="1134"/>
        </w:tabs>
        <w:spacing w:line="288" w:lineRule="auto"/>
        <w:ind w:left="1134" w:hanging="283"/>
        <w:rPr>
          <w:rFonts w:eastAsia="EUAlbertina-Regular-Identity-H"/>
          <w:lang w:val="en-GB" w:eastAsia="en-US"/>
        </w:rPr>
      </w:pPr>
      <w:r>
        <w:rPr>
          <w:rFonts w:eastAsia="EUAlbertina-Regular-Identity-H"/>
          <w:lang w:val="en-GB" w:eastAsia="en-US"/>
        </w:rPr>
        <w:t>Drafting the joint cooperation plan for emergency situations (including those for mountainous-based intervention);</w:t>
      </w:r>
    </w:p>
    <w:p w:rsidR="00C7761C" w:rsidRDefault="00C7761C" w:rsidP="00C7761C">
      <w:pPr>
        <w:pStyle w:val="ListParagraph"/>
        <w:numPr>
          <w:ilvl w:val="0"/>
          <w:numId w:val="112"/>
        </w:numPr>
        <w:tabs>
          <w:tab w:val="clear" w:pos="851"/>
          <w:tab w:val="left" w:pos="1134"/>
        </w:tabs>
        <w:spacing w:line="288" w:lineRule="auto"/>
        <w:ind w:left="1134" w:hanging="283"/>
        <w:rPr>
          <w:rFonts w:eastAsia="EUAlbertina-Regular-Identity-H"/>
          <w:lang w:val="en-GB" w:eastAsia="en-US"/>
        </w:rPr>
      </w:pPr>
      <w:r>
        <w:rPr>
          <w:rFonts w:eastAsia="EUAlbertina-Regular-Identity-H"/>
          <w:lang w:val="en-GB" w:eastAsia="en-US"/>
        </w:rPr>
        <w:t>Building/ setting-up the training infrastructure;</w:t>
      </w:r>
    </w:p>
    <w:p w:rsidR="00C7761C" w:rsidRDefault="00C7761C" w:rsidP="00C7761C">
      <w:pPr>
        <w:pStyle w:val="ListParagraph"/>
        <w:numPr>
          <w:ilvl w:val="0"/>
          <w:numId w:val="112"/>
        </w:numPr>
        <w:tabs>
          <w:tab w:val="clear" w:pos="851"/>
          <w:tab w:val="left" w:pos="1134"/>
        </w:tabs>
        <w:spacing w:line="288" w:lineRule="auto"/>
        <w:ind w:left="1134" w:hanging="283"/>
        <w:rPr>
          <w:rFonts w:eastAsia="EUAlbertina-Regular-Identity-H"/>
          <w:lang w:val="en-GB" w:eastAsia="en-US"/>
        </w:rPr>
      </w:pPr>
      <w:r>
        <w:rPr>
          <w:rFonts w:eastAsia="EUAlbertina-Regular-Identity-H"/>
          <w:lang w:val="en-GB" w:eastAsia="en-US"/>
        </w:rPr>
        <w:t>Upgrading and modernization of the State Service Department of Emergency Situations control centres (Uk);</w:t>
      </w:r>
    </w:p>
    <w:p w:rsidR="00C7761C" w:rsidRDefault="00C7761C" w:rsidP="00C7761C">
      <w:pPr>
        <w:pStyle w:val="ListParagraph"/>
        <w:numPr>
          <w:ilvl w:val="0"/>
          <w:numId w:val="112"/>
        </w:numPr>
        <w:tabs>
          <w:tab w:val="clear" w:pos="851"/>
          <w:tab w:val="left" w:pos="1134"/>
        </w:tabs>
        <w:spacing w:line="288" w:lineRule="auto"/>
        <w:ind w:left="1134" w:hanging="283"/>
        <w:rPr>
          <w:rFonts w:eastAsia="EUAlbertina-Regular-Identity-H"/>
          <w:lang w:val="en-GB" w:eastAsia="en-US"/>
        </w:rPr>
      </w:pPr>
      <w:r>
        <w:rPr>
          <w:rFonts w:eastAsia="EUAlbertina-Regular-Identity-H"/>
          <w:lang w:val="en-GB" w:eastAsia="en-US"/>
        </w:rPr>
        <w:t xml:space="preserve">Building/setting up 2 heliports  for aerial medical interventions (Ro); </w:t>
      </w:r>
    </w:p>
    <w:p w:rsidR="00C7761C" w:rsidRDefault="00C7761C" w:rsidP="00C7761C">
      <w:pPr>
        <w:spacing w:before="60" w:after="60" w:line="288" w:lineRule="auto"/>
        <w:jc w:val="both"/>
        <w:rPr>
          <w:rFonts w:eastAsia="EUAlbertina-Regular-Identity-H"/>
          <w:lang w:val="en-GB" w:eastAsia="en-US"/>
        </w:rPr>
      </w:pPr>
    </w:p>
    <w:p w:rsidR="00252B38" w:rsidRDefault="00252B38" w:rsidP="002E01ED">
      <w:pPr>
        <w:spacing w:before="60" w:after="60" w:line="288" w:lineRule="auto"/>
        <w:jc w:val="both"/>
        <w:rPr>
          <w:rFonts w:eastAsia="EUAlbertina-Regular-Identity-H"/>
          <w:lang w:val="en-GB" w:eastAsia="en-US"/>
        </w:rPr>
        <w:sectPr w:rsidR="00252B38">
          <w:headerReference w:type="default" r:id="rId15"/>
          <w:footerReference w:type="default" r:id="rId16"/>
          <w:pgSz w:w="11909" w:h="16834" w:code="9"/>
          <w:pgMar w:top="562" w:right="659" w:bottom="562" w:left="1138" w:header="288" w:footer="0" w:gutter="0"/>
          <w:cols w:space="708"/>
          <w:docGrid w:linePitch="360"/>
        </w:sectPr>
      </w:pPr>
    </w:p>
    <w:p w:rsidR="00252B38" w:rsidRDefault="008C6885">
      <w:pPr>
        <w:pStyle w:val="Title"/>
        <w:numPr>
          <w:ilvl w:val="0"/>
          <w:numId w:val="6"/>
        </w:numPr>
        <w:jc w:val="left"/>
        <w:rPr>
          <w:rFonts w:ascii="Arial" w:hAnsi="Arial" w:cs="Arial"/>
          <w:sz w:val="24"/>
          <w:szCs w:val="24"/>
          <w:lang w:val="en-GB"/>
        </w:rPr>
      </w:pPr>
      <w:bookmarkStart w:id="7" w:name="_Toc419704921"/>
      <w:r>
        <w:rPr>
          <w:rFonts w:ascii="Arial" w:hAnsi="Arial" w:cs="Arial"/>
          <w:sz w:val="24"/>
          <w:szCs w:val="24"/>
          <w:lang w:val="en-GB"/>
        </w:rPr>
        <w:lastRenderedPageBreak/>
        <w:t>THE RELEVANT ASPECTS OF THE CURRENT STATE OF THE ENVIRONMENT AND THE LIKELY EVOLUTION THEREOF WITHOUT IMPLEMENTATION OF THE PROGRAMME</w:t>
      </w:r>
      <w:bookmarkEnd w:id="7"/>
    </w:p>
    <w:p w:rsidR="00252B38" w:rsidRDefault="00252B38">
      <w:pPr>
        <w:contextualSpacing/>
        <w:rPr>
          <w:rFonts w:eastAsia="EUAlbertina-Regular-Identity-H" w:cs="Arial"/>
          <w:lang w:val="en-GB" w:eastAsia="en-US"/>
        </w:rPr>
      </w:pPr>
    </w:p>
    <w:p w:rsidR="00252B38" w:rsidRDefault="008C6885">
      <w:pPr>
        <w:autoSpaceDE w:val="0"/>
        <w:autoSpaceDN w:val="0"/>
        <w:adjustRightInd w:val="0"/>
        <w:spacing w:before="60" w:after="60" w:line="288" w:lineRule="auto"/>
        <w:ind w:firstLine="720"/>
        <w:contextualSpacing/>
        <w:jc w:val="both"/>
        <w:rPr>
          <w:rFonts w:eastAsia="EUAlbertina-Regular-Identity-H" w:cs="Arial"/>
          <w:lang w:val="en-GB" w:eastAsia="en-US"/>
        </w:rPr>
      </w:pPr>
      <w:r>
        <w:rPr>
          <w:rFonts w:eastAsia="EUAlbertina-Regular-Identity-H" w:cs="Arial"/>
          <w:lang w:val="en-GB" w:eastAsia="en-US"/>
        </w:rPr>
        <w:t xml:space="preserve">The eligible area of the Programme has more ecological problems, as a result of the aggressive industrialised process before 1989, but in the limits of international pollution.  The major problems come from four main sources: </w:t>
      </w:r>
    </w:p>
    <w:p w:rsidR="00252B38" w:rsidRDefault="008C6885">
      <w:pPr>
        <w:numPr>
          <w:ilvl w:val="0"/>
          <w:numId w:val="82"/>
        </w:numPr>
        <w:tabs>
          <w:tab w:val="left" w:pos="993"/>
        </w:tabs>
        <w:autoSpaceDE w:val="0"/>
        <w:autoSpaceDN w:val="0"/>
        <w:adjustRightInd w:val="0"/>
        <w:spacing w:before="60" w:after="60" w:line="288" w:lineRule="auto"/>
        <w:ind w:left="993" w:hanging="284"/>
        <w:contextualSpacing/>
        <w:jc w:val="both"/>
        <w:rPr>
          <w:rFonts w:eastAsia="EUAlbertina-Regular-Identity-H" w:cs="Arial"/>
          <w:lang w:val="en-GB" w:eastAsia="en-US"/>
        </w:rPr>
      </w:pPr>
      <w:r>
        <w:rPr>
          <w:rFonts w:eastAsia="EUAlbertina-Regular-Identity-H" w:cs="Arial"/>
          <w:lang w:val="en-GB" w:eastAsia="en-US"/>
        </w:rPr>
        <w:t xml:space="preserve">The industrial emissions and the waste resulted from operating and closing the industrial platforms, that have a negative impact on air, soil and waters; </w:t>
      </w:r>
    </w:p>
    <w:p w:rsidR="00252B38" w:rsidRDefault="008C6885">
      <w:pPr>
        <w:numPr>
          <w:ilvl w:val="0"/>
          <w:numId w:val="82"/>
        </w:numPr>
        <w:tabs>
          <w:tab w:val="left" w:pos="993"/>
        </w:tabs>
        <w:autoSpaceDE w:val="0"/>
        <w:autoSpaceDN w:val="0"/>
        <w:adjustRightInd w:val="0"/>
        <w:spacing w:before="60" w:after="60" w:line="288" w:lineRule="auto"/>
        <w:ind w:left="993" w:hanging="284"/>
        <w:contextualSpacing/>
        <w:jc w:val="both"/>
        <w:rPr>
          <w:rFonts w:eastAsia="EUAlbertina-Regular-Identity-H" w:cs="Arial"/>
          <w:lang w:val="en-GB" w:eastAsia="en-US"/>
        </w:rPr>
      </w:pPr>
      <w:r>
        <w:rPr>
          <w:rFonts w:eastAsia="EUAlbertina-Regular-Identity-H" w:cs="Arial"/>
          <w:lang w:val="en-GB" w:eastAsia="en-US"/>
        </w:rPr>
        <w:t>Reduced management of waste, especial on the rural zones; this have a direct effect on environment, if we take into consideration that there are no adequate facilities for their treatment;</w:t>
      </w:r>
    </w:p>
    <w:p w:rsidR="00252B38" w:rsidRDefault="008C6885">
      <w:pPr>
        <w:numPr>
          <w:ilvl w:val="0"/>
          <w:numId w:val="82"/>
        </w:numPr>
        <w:tabs>
          <w:tab w:val="left" w:pos="993"/>
        </w:tabs>
        <w:autoSpaceDE w:val="0"/>
        <w:autoSpaceDN w:val="0"/>
        <w:adjustRightInd w:val="0"/>
        <w:spacing w:before="60" w:after="60" w:line="288" w:lineRule="auto"/>
        <w:ind w:left="993" w:hanging="284"/>
        <w:contextualSpacing/>
        <w:jc w:val="both"/>
        <w:rPr>
          <w:rFonts w:eastAsia="EUAlbertina-Regular-Identity-H" w:cs="Arial"/>
          <w:lang w:val="en-GB" w:eastAsia="en-US"/>
        </w:rPr>
      </w:pPr>
      <w:r>
        <w:rPr>
          <w:rFonts w:eastAsia="EUAlbertina-Regular-Identity-H" w:cs="Arial"/>
          <w:lang w:val="en-GB" w:eastAsia="en-US"/>
        </w:rPr>
        <w:t xml:space="preserve">The usage of the chemical fertilizers and improper disposal of agricultural waste, with direct impact on soil and on water quality; </w:t>
      </w:r>
    </w:p>
    <w:p w:rsidR="00252B38" w:rsidRDefault="008C6885">
      <w:pPr>
        <w:numPr>
          <w:ilvl w:val="0"/>
          <w:numId w:val="82"/>
        </w:numPr>
        <w:tabs>
          <w:tab w:val="left" w:pos="993"/>
        </w:tabs>
        <w:autoSpaceDE w:val="0"/>
        <w:autoSpaceDN w:val="0"/>
        <w:adjustRightInd w:val="0"/>
        <w:spacing w:before="60" w:after="60" w:line="288" w:lineRule="auto"/>
        <w:ind w:left="993" w:hanging="284"/>
        <w:contextualSpacing/>
        <w:jc w:val="both"/>
        <w:rPr>
          <w:rFonts w:eastAsia="EUAlbertina-Regular-Identity-H" w:cs="Arial"/>
          <w:lang w:val="en-GB" w:eastAsia="en-US"/>
        </w:rPr>
      </w:pPr>
      <w:r>
        <w:rPr>
          <w:rFonts w:eastAsia="EUAlbertina-Regular-Identity-H" w:cs="Arial"/>
          <w:lang w:val="en-GB" w:eastAsia="en-US"/>
        </w:rPr>
        <w:t>The urban centres are the main generator of greenhouses gas (CO</w:t>
      </w:r>
      <w:r>
        <w:rPr>
          <w:rFonts w:eastAsia="EUAlbertina-Regular-Identity-H" w:cs="Arial"/>
          <w:vertAlign w:val="subscript"/>
          <w:lang w:val="en-GB" w:eastAsia="en-US"/>
        </w:rPr>
        <w:t>2</w:t>
      </w:r>
      <w:r>
        <w:rPr>
          <w:rFonts w:eastAsia="EUAlbertina-Regular-Identity-H" w:cs="Arial"/>
          <w:lang w:val="en-GB" w:eastAsia="en-US"/>
        </w:rPr>
        <w:t>) and have an significant impact on air quality and generally on environment, too.</w:t>
      </w:r>
    </w:p>
    <w:p w:rsidR="00252B38" w:rsidRDefault="008C6885">
      <w:pPr>
        <w:autoSpaceDE w:val="0"/>
        <w:autoSpaceDN w:val="0"/>
        <w:adjustRightInd w:val="0"/>
        <w:spacing w:before="60" w:after="60" w:line="288" w:lineRule="auto"/>
        <w:ind w:firstLine="720"/>
        <w:contextualSpacing/>
        <w:jc w:val="both"/>
        <w:rPr>
          <w:rFonts w:eastAsia="EUAlbertina-Regular-Identity-H" w:cs="Arial"/>
          <w:lang w:val="en-GB" w:eastAsia="en-US"/>
        </w:rPr>
      </w:pPr>
      <w:r>
        <w:rPr>
          <w:rFonts w:eastAsia="EUAlbertina-Regular-Identity-H" w:cs="Arial"/>
          <w:lang w:val="en-GB" w:eastAsia="en-US"/>
        </w:rPr>
        <w:t>There are now in the Program area more than 1000 national and international protected areas and many historical sites.</w:t>
      </w:r>
    </w:p>
    <w:p w:rsidR="00252B38" w:rsidRDefault="008C6885">
      <w:pPr>
        <w:autoSpaceDE w:val="0"/>
        <w:autoSpaceDN w:val="0"/>
        <w:adjustRightInd w:val="0"/>
        <w:spacing w:before="60" w:after="60" w:line="288" w:lineRule="auto"/>
        <w:contextualSpacing/>
        <w:jc w:val="both"/>
        <w:rPr>
          <w:rFonts w:eastAsia="EUAlbertina-Regular-Identity-H" w:cs="Arial"/>
          <w:lang w:val="en-GB" w:eastAsia="en-US"/>
        </w:rPr>
      </w:pPr>
      <w:r>
        <w:rPr>
          <w:rFonts w:eastAsia="EUAlbertina-Regular-Identity-H" w:cs="Arial"/>
          <w:lang w:val="en-GB" w:eastAsia="en-US"/>
        </w:rPr>
        <w:tab/>
        <w:t xml:space="preserve">If there won’t be any </w:t>
      </w:r>
      <w:r w:rsidR="00C7761C">
        <w:rPr>
          <w:rFonts w:eastAsia="EUAlbertina-Regular-Identity-H" w:cs="Arial"/>
          <w:lang w:val="en-GB" w:eastAsia="en-US"/>
        </w:rPr>
        <w:t>p</w:t>
      </w:r>
      <w:r>
        <w:rPr>
          <w:rFonts w:eastAsia="EUAlbertina-Regular-Identity-H" w:cs="Arial"/>
          <w:lang w:val="en-GB" w:eastAsia="en-US"/>
        </w:rPr>
        <w:t>rojects financed from Programme Ro-Ua, the ecological status of the eligible areas both from Romania and Ukraine will not be directly influenced.</w:t>
      </w:r>
    </w:p>
    <w:p w:rsidR="00252B38" w:rsidRDefault="008C6885">
      <w:pPr>
        <w:autoSpaceDE w:val="0"/>
        <w:autoSpaceDN w:val="0"/>
        <w:adjustRightInd w:val="0"/>
        <w:spacing w:before="60" w:after="60" w:line="288" w:lineRule="auto"/>
        <w:contextualSpacing/>
        <w:jc w:val="both"/>
        <w:rPr>
          <w:rFonts w:eastAsia="EUAlbertina-Regular-Identity-H" w:cs="Arial"/>
          <w:lang w:val="en-GB" w:eastAsia="en-US"/>
        </w:rPr>
      </w:pPr>
      <w:r>
        <w:rPr>
          <w:rFonts w:eastAsia="EUAlbertina-Regular-Identity-H" w:cs="Arial"/>
          <w:lang w:val="en-GB" w:eastAsia="en-US"/>
        </w:rPr>
        <w:tab/>
        <w:t xml:space="preserve">The </w:t>
      </w:r>
      <w:r w:rsidR="00C7761C">
        <w:rPr>
          <w:rFonts w:eastAsia="EUAlbertina-Regular-Identity-H" w:cs="Arial"/>
          <w:lang w:val="en-GB" w:eastAsia="en-US"/>
        </w:rPr>
        <w:t>p</w:t>
      </w:r>
      <w:r>
        <w:rPr>
          <w:rFonts w:eastAsia="EUAlbertina-Regular-Identity-H" w:cs="Arial"/>
          <w:lang w:val="en-GB" w:eastAsia="en-US"/>
        </w:rPr>
        <w:t>rojects that can be financed under the thematic objectives TO2 and TO3 are generally soft projects focused more on concept and exchange of experience related to education, research &amp; development and innovation or rehabilitation and promotion of the historical heritage; th</w:t>
      </w:r>
      <w:r w:rsidR="00C7761C">
        <w:rPr>
          <w:rFonts w:eastAsia="EUAlbertina-Regular-Identity-H" w:cs="Arial"/>
          <w:lang w:val="en-GB" w:eastAsia="en-US"/>
        </w:rPr>
        <w:t>e</w:t>
      </w:r>
      <w:r>
        <w:rPr>
          <w:rFonts w:eastAsia="EUAlbertina-Regular-Identity-H" w:cs="Arial"/>
          <w:lang w:val="en-GB" w:eastAsia="en-US"/>
        </w:rPr>
        <w:t>s</w:t>
      </w:r>
      <w:r w:rsidR="00C7761C">
        <w:rPr>
          <w:rFonts w:eastAsia="EUAlbertina-Regular-Identity-H" w:cs="Arial"/>
          <w:lang w:val="en-GB" w:eastAsia="en-US"/>
        </w:rPr>
        <w:t>e</w:t>
      </w:r>
      <w:r>
        <w:rPr>
          <w:rFonts w:eastAsia="EUAlbertina-Regular-Identity-H" w:cs="Arial"/>
          <w:lang w:val="en-GB" w:eastAsia="en-US"/>
        </w:rPr>
        <w:t xml:space="preserve"> can have only an indirect impact on environment.</w:t>
      </w:r>
    </w:p>
    <w:p w:rsidR="00252B38" w:rsidRDefault="008C6885">
      <w:pPr>
        <w:autoSpaceDE w:val="0"/>
        <w:autoSpaceDN w:val="0"/>
        <w:adjustRightInd w:val="0"/>
        <w:spacing w:before="60" w:after="60" w:line="288" w:lineRule="auto"/>
        <w:contextualSpacing/>
        <w:jc w:val="both"/>
        <w:rPr>
          <w:rFonts w:eastAsia="EUAlbertina-Regular-Identity-H" w:cs="Arial"/>
          <w:lang w:val="en-GB" w:eastAsia="en-US"/>
        </w:rPr>
      </w:pPr>
      <w:r>
        <w:rPr>
          <w:rFonts w:eastAsia="EUAlbertina-Regular-Identity-H" w:cs="Arial"/>
          <w:lang w:val="en-GB" w:eastAsia="en-US"/>
        </w:rPr>
        <w:tab/>
      </w:r>
      <w:r w:rsidR="00A25AD1">
        <w:rPr>
          <w:rFonts w:eastAsia="EUAlbertina-Regular-Identity-H" w:cs="Arial"/>
          <w:lang w:val="en-GB" w:eastAsia="en-US"/>
        </w:rPr>
        <w:t>On the other hand</w:t>
      </w:r>
      <w:r>
        <w:rPr>
          <w:rFonts w:eastAsia="EUAlbertina-Regular-Identity-H" w:cs="Arial"/>
          <w:lang w:val="en-GB" w:eastAsia="en-US"/>
        </w:rPr>
        <w:t xml:space="preserve">, the </w:t>
      </w:r>
      <w:r w:rsidR="00A25AD1">
        <w:rPr>
          <w:rFonts w:eastAsia="EUAlbertina-Regular-Identity-H" w:cs="Arial"/>
          <w:lang w:val="en-GB" w:eastAsia="en-US"/>
        </w:rPr>
        <w:t>p</w:t>
      </w:r>
      <w:r>
        <w:rPr>
          <w:rFonts w:eastAsia="EUAlbertina-Regular-Identity-H" w:cs="Arial"/>
          <w:lang w:val="en-GB" w:eastAsia="en-US"/>
        </w:rPr>
        <w:t xml:space="preserve">rojects implemented under TO7 and TO8 would have beneficial effects on the environment through the development of an infrastructure </w:t>
      </w:r>
      <w:r w:rsidR="00A25AD1">
        <w:rPr>
          <w:rFonts w:eastAsia="EUAlbertina-Regular-Identity-H" w:cs="Arial"/>
          <w:lang w:val="en-GB" w:eastAsia="en-US"/>
        </w:rPr>
        <w:t xml:space="preserve">development </w:t>
      </w:r>
      <w:r>
        <w:rPr>
          <w:rFonts w:eastAsia="EUAlbertina-Regular-Identity-H" w:cs="Arial"/>
          <w:lang w:val="en-GB" w:eastAsia="en-US"/>
        </w:rPr>
        <w:t xml:space="preserve">at the border with a significant positive impact compared </w:t>
      </w:r>
      <w:r w:rsidR="00A25AD1">
        <w:rPr>
          <w:rFonts w:eastAsia="EUAlbertina-Regular-Identity-H" w:cs="Arial"/>
          <w:lang w:val="en-GB" w:eastAsia="en-US"/>
        </w:rPr>
        <w:t>to</w:t>
      </w:r>
      <w:r>
        <w:rPr>
          <w:rFonts w:eastAsia="EUAlbertina-Regular-Identity-H" w:cs="Arial"/>
          <w:lang w:val="en-GB" w:eastAsia="en-US"/>
        </w:rPr>
        <w:t xml:space="preserve"> the actual situation and through prevention of the landslides and flooding with a positive impact, too.</w:t>
      </w:r>
    </w:p>
    <w:p w:rsidR="00252B38" w:rsidRDefault="008C6885">
      <w:pPr>
        <w:autoSpaceDE w:val="0"/>
        <w:autoSpaceDN w:val="0"/>
        <w:adjustRightInd w:val="0"/>
        <w:spacing w:before="60" w:after="60" w:line="288" w:lineRule="auto"/>
        <w:contextualSpacing/>
        <w:jc w:val="both"/>
        <w:rPr>
          <w:rFonts w:eastAsia="EUAlbertina-Regular-Identity-H" w:cs="Arial"/>
          <w:lang w:val="en-GB" w:eastAsia="en-US"/>
        </w:rPr>
      </w:pPr>
      <w:r>
        <w:rPr>
          <w:rFonts w:eastAsia="EUAlbertina-Regular-Identity-H" w:cs="Arial"/>
          <w:lang w:val="en-GB" w:eastAsia="en-US"/>
        </w:rPr>
        <w:tab/>
        <w:t>If the Programme Ro-Ua will not be implemented , the current status of the environment in the eligible area will stay unchanged and in time will be damaged, affecting almost all the environment factors: air, water, soil, biodiversity, waste management, archaeological an  architectural and landscape.</w:t>
      </w:r>
    </w:p>
    <w:p w:rsidR="00252B38" w:rsidRDefault="008C6885">
      <w:pPr>
        <w:autoSpaceDE w:val="0"/>
        <w:autoSpaceDN w:val="0"/>
        <w:adjustRightInd w:val="0"/>
        <w:spacing w:before="60" w:after="60" w:line="288" w:lineRule="auto"/>
        <w:contextualSpacing/>
        <w:jc w:val="both"/>
        <w:rPr>
          <w:rFonts w:eastAsia="EUAlbertina-Regular-Identity-H" w:cs="Arial"/>
          <w:lang w:val="en-GB" w:eastAsia="en-US"/>
        </w:rPr>
      </w:pPr>
      <w:r>
        <w:rPr>
          <w:rFonts w:eastAsia="EUAlbertina-Regular-Identity-H" w:cs="Arial"/>
          <w:lang w:val="en-GB" w:eastAsia="en-US"/>
        </w:rPr>
        <w:t>In case of certain indicative action of the Programme when they are not performed, the effect can be beneficial to the environmental aspect - biodiversity, particularly in protected areas because it does not intervene in the existing situation with various projects that would lead to a negative impact.</w:t>
      </w:r>
    </w:p>
    <w:p w:rsidR="00252B38" w:rsidRDefault="00252B38">
      <w:pPr>
        <w:autoSpaceDE w:val="0"/>
        <w:autoSpaceDN w:val="0"/>
        <w:adjustRightInd w:val="0"/>
        <w:spacing w:before="60" w:after="60" w:line="288" w:lineRule="auto"/>
        <w:contextualSpacing/>
        <w:jc w:val="both"/>
        <w:rPr>
          <w:rFonts w:eastAsia="EUAlbertina-Regular-Identity-H" w:cs="Arial"/>
          <w:lang w:val="en-GB" w:eastAsia="en-US"/>
        </w:rPr>
      </w:pPr>
    </w:p>
    <w:p w:rsidR="00252B38" w:rsidRDefault="00252B38">
      <w:pPr>
        <w:autoSpaceDE w:val="0"/>
        <w:autoSpaceDN w:val="0"/>
        <w:adjustRightInd w:val="0"/>
        <w:spacing w:before="60" w:after="60" w:line="288" w:lineRule="auto"/>
        <w:contextualSpacing/>
        <w:jc w:val="both"/>
        <w:rPr>
          <w:rFonts w:eastAsia="EUAlbertina-Regular-Identity-H" w:cs="Arial"/>
          <w:lang w:val="en-GB" w:eastAsia="en-US"/>
        </w:rPr>
      </w:pPr>
    </w:p>
    <w:p w:rsidR="00252B38" w:rsidRDefault="00252B38">
      <w:pPr>
        <w:autoSpaceDE w:val="0"/>
        <w:autoSpaceDN w:val="0"/>
        <w:adjustRightInd w:val="0"/>
        <w:spacing w:before="60" w:after="60" w:line="288" w:lineRule="auto"/>
        <w:contextualSpacing/>
        <w:jc w:val="both"/>
        <w:rPr>
          <w:rFonts w:eastAsia="EUAlbertina-Regular-Identity-H" w:cs="Arial"/>
          <w:lang w:val="en-GB" w:eastAsia="en-US"/>
        </w:rPr>
      </w:pPr>
    </w:p>
    <w:p w:rsidR="00252B38" w:rsidRDefault="00252B38">
      <w:pPr>
        <w:autoSpaceDE w:val="0"/>
        <w:autoSpaceDN w:val="0"/>
        <w:adjustRightInd w:val="0"/>
        <w:spacing w:before="60" w:after="60" w:line="288" w:lineRule="auto"/>
        <w:contextualSpacing/>
        <w:jc w:val="both"/>
        <w:rPr>
          <w:rFonts w:eastAsia="EUAlbertina-Regular-Identity-H" w:cs="Arial"/>
          <w:lang w:val="en-GB" w:eastAsia="en-US"/>
        </w:rPr>
      </w:pPr>
    </w:p>
    <w:p w:rsidR="00252B38" w:rsidRDefault="00252B38">
      <w:pPr>
        <w:autoSpaceDE w:val="0"/>
        <w:autoSpaceDN w:val="0"/>
        <w:adjustRightInd w:val="0"/>
        <w:spacing w:before="60" w:after="60" w:line="288" w:lineRule="auto"/>
        <w:contextualSpacing/>
        <w:jc w:val="both"/>
        <w:rPr>
          <w:rFonts w:eastAsia="EUAlbertina-Regular-Identity-H" w:cs="Arial"/>
          <w:lang w:val="en-GB" w:eastAsia="en-US"/>
        </w:rPr>
      </w:pPr>
    </w:p>
    <w:p w:rsidR="00252B38" w:rsidRDefault="00252B38">
      <w:pPr>
        <w:autoSpaceDE w:val="0"/>
        <w:autoSpaceDN w:val="0"/>
        <w:adjustRightInd w:val="0"/>
        <w:spacing w:before="60" w:after="60" w:line="288" w:lineRule="auto"/>
        <w:contextualSpacing/>
        <w:jc w:val="both"/>
        <w:rPr>
          <w:rFonts w:eastAsia="EUAlbertina-Regular-Identity-H" w:cs="Arial"/>
          <w:lang w:val="en-GB" w:eastAsia="en-US"/>
        </w:rPr>
      </w:pPr>
    </w:p>
    <w:p w:rsidR="00252B38" w:rsidRDefault="00252B38">
      <w:pPr>
        <w:autoSpaceDE w:val="0"/>
        <w:autoSpaceDN w:val="0"/>
        <w:adjustRightInd w:val="0"/>
        <w:spacing w:before="60" w:after="60" w:line="288" w:lineRule="auto"/>
        <w:contextualSpacing/>
        <w:jc w:val="both"/>
        <w:rPr>
          <w:rFonts w:eastAsia="EUAlbertina-Regular-Identity-H" w:cs="Arial"/>
          <w:lang w:val="en-GB" w:eastAsia="en-US"/>
        </w:rPr>
      </w:pPr>
    </w:p>
    <w:p w:rsidR="00252B38" w:rsidRDefault="00252B38">
      <w:pPr>
        <w:autoSpaceDE w:val="0"/>
        <w:autoSpaceDN w:val="0"/>
        <w:adjustRightInd w:val="0"/>
        <w:spacing w:before="60" w:after="60" w:line="288" w:lineRule="auto"/>
        <w:contextualSpacing/>
        <w:jc w:val="both"/>
        <w:rPr>
          <w:rFonts w:eastAsia="EUAlbertina-Regular-Identity-H" w:cs="Arial"/>
          <w:lang w:val="en-GB" w:eastAsia="en-US"/>
        </w:rPr>
      </w:pPr>
    </w:p>
    <w:p w:rsidR="00252B38" w:rsidRDefault="00252B38">
      <w:pPr>
        <w:autoSpaceDE w:val="0"/>
        <w:autoSpaceDN w:val="0"/>
        <w:adjustRightInd w:val="0"/>
        <w:spacing w:before="60" w:after="60" w:line="288" w:lineRule="auto"/>
        <w:contextualSpacing/>
        <w:jc w:val="both"/>
        <w:rPr>
          <w:rFonts w:eastAsia="EUAlbertina-Regular-Identity-H" w:cs="Arial"/>
          <w:lang w:val="en-GB" w:eastAsia="en-US"/>
        </w:rPr>
      </w:pPr>
    </w:p>
    <w:p w:rsidR="00252B38" w:rsidRDefault="008C6885">
      <w:pPr>
        <w:pStyle w:val="Title"/>
        <w:numPr>
          <w:ilvl w:val="0"/>
          <w:numId w:val="6"/>
        </w:numPr>
        <w:jc w:val="left"/>
        <w:rPr>
          <w:rFonts w:ascii="Arial" w:hAnsi="Arial" w:cs="Arial"/>
          <w:sz w:val="24"/>
          <w:szCs w:val="24"/>
          <w:lang w:val="en-GB"/>
        </w:rPr>
      </w:pPr>
      <w:bookmarkStart w:id="8" w:name="_Toc419704922"/>
      <w:r>
        <w:rPr>
          <w:rFonts w:ascii="Arial" w:hAnsi="Arial" w:cs="Arial"/>
          <w:sz w:val="24"/>
          <w:szCs w:val="24"/>
          <w:lang w:val="en-GB"/>
        </w:rPr>
        <w:t>THE ENVIRONMENTAL CHARACTERISTICS OF AREAS LIKELY TO BE SIGNIFICANTLY AFFECTED</w:t>
      </w:r>
      <w:bookmarkEnd w:id="8"/>
    </w:p>
    <w:p w:rsidR="00252B38" w:rsidRDefault="008C6885">
      <w:pPr>
        <w:pStyle w:val="Heading1"/>
        <w:rPr>
          <w:rFonts w:ascii="Arial" w:hAnsi="Arial" w:cs="Arial"/>
          <w:sz w:val="24"/>
          <w:szCs w:val="24"/>
          <w:lang w:val="en-GB" w:eastAsia="ro-RO"/>
        </w:rPr>
      </w:pPr>
      <w:bookmarkStart w:id="9" w:name="_Toc413244736"/>
      <w:bookmarkStart w:id="10" w:name="_Toc413833656"/>
      <w:bookmarkStart w:id="11" w:name="_Toc419704923"/>
      <w:r>
        <w:rPr>
          <w:rFonts w:ascii="Arial" w:hAnsi="Arial" w:cs="Arial"/>
          <w:sz w:val="24"/>
          <w:szCs w:val="24"/>
          <w:lang w:val="en-GB" w:eastAsia="ro-RO"/>
        </w:rPr>
        <w:t>I. ROMANIA</w:t>
      </w:r>
      <w:bookmarkEnd w:id="9"/>
      <w:bookmarkEnd w:id="10"/>
      <w:bookmarkEnd w:id="11"/>
    </w:p>
    <w:p w:rsidR="006378A3" w:rsidRDefault="006378A3" w:rsidP="006378A3">
      <w:pPr>
        <w:jc w:val="both"/>
        <w:rPr>
          <w:rFonts w:cs="Arial"/>
        </w:rPr>
      </w:pPr>
      <w:r>
        <w:rPr>
          <w:rFonts w:cs="Arial"/>
        </w:rPr>
        <w:t>Characterization of the situation on air and soil quality in the four counties of Romania that are in the eligible Programmer area was based on the environment reports made ​​by Local Environmental Protection Agencies.</w:t>
      </w:r>
    </w:p>
    <w:p w:rsidR="006378A3" w:rsidRDefault="006378A3" w:rsidP="006378A3">
      <w:pPr>
        <w:jc w:val="both"/>
        <w:rPr>
          <w:rFonts w:cs="Arial"/>
        </w:rPr>
      </w:pPr>
      <w:r>
        <w:rPr>
          <w:rFonts w:cs="Arial"/>
        </w:rPr>
        <w:t xml:space="preserve">Information and data on water resources and their description were taken from the following projects: Somes - Tisa River Area Management Plan –;Prut - Barlad River Area Management Plan Siret River Basin Management Plan  and draft Danube River Delta Danube River Area Dobrogea and coastal waters Management Plan. These plans were published on the websites Romanian Waters National Administration and Somes – Tisa, Pruit – Bârlad, </w:t>
      </w:r>
      <w:r>
        <w:rPr>
          <w:rFonts w:cs="Arial"/>
          <w:lang w:val="en-US"/>
        </w:rPr>
        <w:t>Siret, and Dobrogea Costal Water Branch</w:t>
      </w:r>
      <w:r>
        <w:rPr>
          <w:rFonts w:cs="Arial"/>
        </w:rPr>
        <w:t>.</w:t>
      </w:r>
    </w:p>
    <w:p w:rsidR="006378A3" w:rsidRDefault="006378A3" w:rsidP="006378A3">
      <w:pPr>
        <w:jc w:val="both"/>
        <w:rPr>
          <w:rFonts w:cs="Arial"/>
          <w:b/>
          <w:i/>
        </w:rPr>
      </w:pPr>
    </w:p>
    <w:p w:rsidR="006378A3" w:rsidRDefault="006378A3" w:rsidP="006378A3">
      <w:pPr>
        <w:jc w:val="both"/>
        <w:rPr>
          <w:rFonts w:cs="Arial"/>
        </w:rPr>
      </w:pPr>
      <w:r>
        <w:rPr>
          <w:rFonts w:cs="Arial"/>
          <w:b/>
          <w:i/>
        </w:rPr>
        <w:t xml:space="preserve">Somes -Tisa river basin </w:t>
      </w:r>
      <w:r>
        <w:rPr>
          <w:rFonts w:cs="Arial"/>
        </w:rPr>
        <w:t>is located in the north and northwest of the country, bordered to the north by the natural boundary - the river Tisa with Ukraine over a length of 61 km, at west the border with Republic of Hungary and the country with Siret basin to east, south Mures basin and Crisuri basin to southwest (fig. 4.1).</w:t>
      </w:r>
    </w:p>
    <w:p w:rsidR="006378A3" w:rsidRDefault="006378A3" w:rsidP="006378A3">
      <w:pPr>
        <w:jc w:val="both"/>
        <w:rPr>
          <w:rFonts w:cs="Arial"/>
        </w:rPr>
      </w:pPr>
    </w:p>
    <w:p w:rsidR="006378A3" w:rsidRDefault="006378A3" w:rsidP="006378A3">
      <w:pPr>
        <w:jc w:val="both"/>
        <w:rPr>
          <w:rFonts w:cs="Arial"/>
        </w:rPr>
      </w:pPr>
      <w:r w:rsidRPr="002E01ED">
        <w:rPr>
          <w:rFonts w:eastAsia="Calibri" w:cs="Arial"/>
          <w:noProof/>
          <w:lang w:val="en-US" w:eastAsia="en-US"/>
        </w:rPr>
        <w:drawing>
          <wp:inline distT="0" distB="0" distL="0" distR="0" wp14:anchorId="06E72852" wp14:editId="6D027634">
            <wp:extent cx="6421120" cy="4548216"/>
            <wp:effectExtent l="0" t="0" r="0" b="5080"/>
            <wp:docPr id="23" name="Imagine 23" descr="Somes T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mes Tis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21120" cy="4548216"/>
                    </a:xfrm>
                    <a:prstGeom prst="rect">
                      <a:avLst/>
                    </a:prstGeom>
                    <a:noFill/>
                    <a:ln>
                      <a:noFill/>
                    </a:ln>
                  </pic:spPr>
                </pic:pic>
              </a:graphicData>
            </a:graphic>
          </wp:inline>
        </w:drawing>
      </w:r>
    </w:p>
    <w:p w:rsidR="006378A3" w:rsidRDefault="006378A3" w:rsidP="006378A3">
      <w:pPr>
        <w:jc w:val="center"/>
        <w:rPr>
          <w:rFonts w:cs="Arial"/>
        </w:rPr>
      </w:pPr>
      <w:r>
        <w:rPr>
          <w:rFonts w:cs="Arial"/>
        </w:rPr>
        <w:t>Figure 4.1. – Somes –Tisa river basin</w:t>
      </w:r>
    </w:p>
    <w:p w:rsidR="006378A3" w:rsidRDefault="006378A3" w:rsidP="006378A3">
      <w:pPr>
        <w:jc w:val="both"/>
        <w:rPr>
          <w:rFonts w:cs="Arial"/>
          <w:b/>
        </w:rPr>
      </w:pPr>
    </w:p>
    <w:p w:rsidR="006378A3" w:rsidRDefault="006378A3" w:rsidP="006378A3">
      <w:pPr>
        <w:jc w:val="both"/>
        <w:rPr>
          <w:rFonts w:cs="Arial"/>
        </w:rPr>
      </w:pPr>
      <w:r>
        <w:rPr>
          <w:rFonts w:cs="Arial"/>
        </w:rPr>
        <w:t>From the administrative point of view, area river Somes - Tisa includes the territory of 7 counties: Cluj, Salaj, Bistrita - Nasaud, Maramures, Satu Mare, Alba and Bihor. The weight of the last two is not significant.</w:t>
      </w:r>
    </w:p>
    <w:p w:rsidR="006378A3" w:rsidRDefault="006378A3" w:rsidP="006378A3">
      <w:pPr>
        <w:jc w:val="both"/>
        <w:rPr>
          <w:rFonts w:cs="Arial"/>
        </w:rPr>
      </w:pPr>
    </w:p>
    <w:p w:rsidR="006378A3" w:rsidRDefault="006378A3" w:rsidP="006378A3">
      <w:pPr>
        <w:jc w:val="both"/>
        <w:rPr>
          <w:rFonts w:cs="Arial"/>
          <w:b/>
          <w:u w:val="single"/>
        </w:rPr>
      </w:pPr>
      <w:r>
        <w:rPr>
          <w:rFonts w:cs="Arial"/>
          <w:b/>
          <w:u w:val="single"/>
        </w:rPr>
        <w:lastRenderedPageBreak/>
        <w:t xml:space="preserve">Hydrography </w:t>
      </w:r>
    </w:p>
    <w:p w:rsidR="006378A3" w:rsidRDefault="006378A3" w:rsidP="006378A3">
      <w:pPr>
        <w:jc w:val="both"/>
        <w:rPr>
          <w:rFonts w:cs="Arial"/>
        </w:rPr>
      </w:pPr>
      <w:r>
        <w:rPr>
          <w:rFonts w:cs="Arial"/>
        </w:rPr>
        <w:t>The total area of ​​Somes -Tisa hydrographic area is 22 380 km</w:t>
      </w:r>
      <w:r>
        <w:rPr>
          <w:rFonts w:cs="Arial"/>
          <w:vertAlign w:val="superscript"/>
        </w:rPr>
        <w:t>2</w:t>
      </w:r>
      <w:r>
        <w:rPr>
          <w:rFonts w:cs="Arial"/>
        </w:rPr>
        <w:t>, representing a share of 9.4 % of the country. The hydrographic network comprises a number of 580 coded streams with a total length of 7828 km and an average density of 0.35 km / km</w:t>
      </w:r>
      <w:r>
        <w:rPr>
          <w:rFonts w:cs="Arial"/>
          <w:vertAlign w:val="superscript"/>
        </w:rPr>
        <w:t>2</w:t>
      </w:r>
      <w:r>
        <w:rPr>
          <w:rFonts w:cs="Arial"/>
        </w:rPr>
        <w:t>.</w:t>
      </w:r>
    </w:p>
    <w:p w:rsidR="006378A3" w:rsidRDefault="006378A3" w:rsidP="006378A3">
      <w:pPr>
        <w:jc w:val="both"/>
        <w:rPr>
          <w:rFonts w:cs="Arial"/>
        </w:rPr>
      </w:pPr>
      <w:r>
        <w:rPr>
          <w:rFonts w:cs="Arial"/>
        </w:rPr>
        <w:t>In Romania, the area Somes – Tisa include sub-basin Tisa with a total of 123 encoded streams (surface 4540 km</w:t>
      </w:r>
      <w:r>
        <w:rPr>
          <w:rFonts w:cs="Arial"/>
          <w:vertAlign w:val="superscript"/>
        </w:rPr>
        <w:t>2</w:t>
      </w:r>
      <w:r>
        <w:rPr>
          <w:rFonts w:cs="Arial"/>
        </w:rPr>
        <w:t xml:space="preserve"> and network density 0.35 km / km</w:t>
      </w:r>
      <w:r>
        <w:rPr>
          <w:rFonts w:cs="Arial"/>
          <w:vertAlign w:val="superscript"/>
        </w:rPr>
        <w:t>2</w:t>
      </w:r>
      <w:r>
        <w:rPr>
          <w:rFonts w:cs="Arial"/>
        </w:rPr>
        <w:t>) , Somes with 403 encoded rivers ( 15740 km</w:t>
      </w:r>
      <w:r>
        <w:rPr>
          <w:rFonts w:cs="Arial"/>
          <w:vertAlign w:val="superscript"/>
        </w:rPr>
        <w:t>2</w:t>
      </w:r>
      <w:r>
        <w:rPr>
          <w:rFonts w:cs="Arial"/>
        </w:rPr>
        <w:t xml:space="preserve"> area network density 0.35 km / km</w:t>
      </w:r>
      <w:r>
        <w:rPr>
          <w:rFonts w:cs="Arial"/>
          <w:vertAlign w:val="superscript"/>
        </w:rPr>
        <w:t>2</w:t>
      </w:r>
      <w:r>
        <w:rPr>
          <w:rFonts w:cs="Arial"/>
        </w:rPr>
        <w:t>) and Crasna with 54 encoded streams (area 2100 km</w:t>
      </w:r>
      <w:r>
        <w:rPr>
          <w:rFonts w:cs="Arial"/>
          <w:vertAlign w:val="superscript"/>
        </w:rPr>
        <w:t>2</w:t>
      </w:r>
      <w:r>
        <w:rPr>
          <w:rFonts w:cs="Arial"/>
        </w:rPr>
        <w:t xml:space="preserve"> and network density 0.34 km / km</w:t>
      </w:r>
      <w:r>
        <w:rPr>
          <w:rFonts w:cs="Arial"/>
          <w:vertAlign w:val="superscript"/>
        </w:rPr>
        <w:t>2</w:t>
      </w:r>
      <w:r>
        <w:rPr>
          <w:rFonts w:cs="Arial"/>
        </w:rPr>
        <w:t>) .</w:t>
      </w:r>
    </w:p>
    <w:p w:rsidR="006378A3" w:rsidRDefault="006378A3" w:rsidP="006378A3">
      <w:pPr>
        <w:jc w:val="both"/>
        <w:rPr>
          <w:rFonts w:cs="Arial"/>
        </w:rPr>
      </w:pPr>
    </w:p>
    <w:p w:rsidR="006378A3" w:rsidRDefault="006378A3" w:rsidP="006378A3">
      <w:pPr>
        <w:jc w:val="both"/>
        <w:rPr>
          <w:rFonts w:cs="Arial"/>
          <w:b/>
          <w:u w:val="single"/>
        </w:rPr>
      </w:pPr>
      <w:r>
        <w:rPr>
          <w:rFonts w:cs="Arial"/>
          <w:b/>
          <w:u w:val="single"/>
        </w:rPr>
        <w:t>LAND USE</w:t>
      </w:r>
    </w:p>
    <w:p w:rsidR="006378A3" w:rsidRDefault="006378A3" w:rsidP="006378A3">
      <w:pPr>
        <w:jc w:val="both"/>
        <w:rPr>
          <w:rFonts w:cs="Arial"/>
        </w:rPr>
      </w:pPr>
      <w:r>
        <w:rPr>
          <w:rFonts w:cs="Arial"/>
        </w:rPr>
        <w:t>Regarding land use throughout the AREA Somes- Tisa, there is an uneven distribution of forests, grasslands, farmland, urban and industrial land, depending on the type of relief of those areas.</w:t>
      </w:r>
    </w:p>
    <w:p w:rsidR="006378A3" w:rsidRDefault="006378A3" w:rsidP="006378A3">
      <w:pPr>
        <w:jc w:val="both"/>
        <w:rPr>
          <w:rFonts w:cs="Arial"/>
        </w:rPr>
      </w:pPr>
      <w:r>
        <w:rPr>
          <w:rFonts w:cs="Arial"/>
        </w:rPr>
        <w:t>Agricultural lands are prevalent in all three sub-basins: Tisa (51.9 %), Somes (64.3 %) and Crasna (72.1 %). Forests cover a grand surface in sub- basin Tisa (42.8) in other sub-basins the share is below 30% (28.3 % Somes and Crasna 18.2 %). Other forms of land use, occupy smaller areas of all habitat. Urban areas with lakes account for about 7 % of the total area.</w:t>
      </w:r>
    </w:p>
    <w:p w:rsidR="006378A3" w:rsidRDefault="006378A3" w:rsidP="006378A3">
      <w:pPr>
        <w:jc w:val="both"/>
        <w:rPr>
          <w:rFonts w:cs="Arial"/>
        </w:rPr>
      </w:pPr>
    </w:p>
    <w:p w:rsidR="006378A3" w:rsidRDefault="006378A3" w:rsidP="006378A3">
      <w:pPr>
        <w:jc w:val="both"/>
        <w:rPr>
          <w:rFonts w:cs="Arial"/>
          <w:b/>
          <w:u w:val="single"/>
        </w:rPr>
      </w:pPr>
      <w:r>
        <w:rPr>
          <w:rFonts w:cs="Arial"/>
          <w:b/>
          <w:u w:val="single"/>
        </w:rPr>
        <w:t>WATER RESOURCES</w:t>
      </w:r>
    </w:p>
    <w:p w:rsidR="006378A3" w:rsidRDefault="006378A3" w:rsidP="006378A3">
      <w:pPr>
        <w:jc w:val="both"/>
        <w:rPr>
          <w:rFonts w:cs="Arial"/>
        </w:rPr>
      </w:pPr>
      <w:r>
        <w:rPr>
          <w:rFonts w:cs="Arial"/>
        </w:rPr>
        <w:t>Water resources stationed in Somes -Tisa river basin could be considered relatively modest (but still insufficient) and unevenly distributed in space and time.</w:t>
      </w:r>
    </w:p>
    <w:p w:rsidR="006378A3" w:rsidRDefault="006378A3" w:rsidP="006378A3">
      <w:pPr>
        <w:jc w:val="both"/>
        <w:rPr>
          <w:rFonts w:cs="Arial"/>
        </w:rPr>
      </w:pPr>
      <w:r>
        <w:rPr>
          <w:rFonts w:cs="Arial"/>
        </w:rPr>
        <w:t>Theoretical total resource totaling an annual average stock of 6593 million m</w:t>
      </w:r>
      <w:r>
        <w:rPr>
          <w:rFonts w:cs="Arial"/>
          <w:vertAlign w:val="superscript"/>
        </w:rPr>
        <w:t>3</w:t>
      </w:r>
      <w:r>
        <w:rPr>
          <w:rFonts w:cs="Arial"/>
        </w:rPr>
        <w:t>, which is usable technical resource, is 1316 million m</w:t>
      </w:r>
      <w:r>
        <w:rPr>
          <w:rFonts w:cs="Arial"/>
          <w:vertAlign w:val="superscript"/>
        </w:rPr>
        <w:t>3</w:t>
      </w:r>
      <w:r>
        <w:rPr>
          <w:rFonts w:cs="Arial"/>
        </w:rPr>
        <w:t>, i.e. 20 %. The main component of water resources is composed of the surface water of the river system which ensures an average hydrological year mil.m3 leak a volume of 6110 (theoretical resource), of which 16 % is usable technical resource (approximately 971 million m</w:t>
      </w:r>
      <w:r>
        <w:rPr>
          <w:rFonts w:cs="Arial"/>
          <w:vertAlign w:val="superscript"/>
        </w:rPr>
        <w:t>3</w:t>
      </w:r>
      <w:r>
        <w:rPr>
          <w:rFonts w:cs="Arial"/>
        </w:rPr>
        <w:t>). Of this, 70 % is provided in a natural regime (650 million m</w:t>
      </w:r>
      <w:r>
        <w:rPr>
          <w:rFonts w:cs="Arial"/>
          <w:vertAlign w:val="superscript"/>
        </w:rPr>
        <w:t>3</w:t>
      </w:r>
      <w:r>
        <w:rPr>
          <w:rFonts w:cs="Arial"/>
        </w:rPr>
        <w:t>) with Tisa, Somes, Vişeu, Someşul Mic, Lăpus, Iza and Şireu and their tributors as the main courses and the rest by accumulations.</w:t>
      </w:r>
    </w:p>
    <w:p w:rsidR="006378A3" w:rsidRDefault="006378A3" w:rsidP="006378A3">
      <w:pPr>
        <w:jc w:val="both"/>
        <w:rPr>
          <w:rFonts w:cs="Arial"/>
        </w:rPr>
      </w:pPr>
      <w:r>
        <w:rPr>
          <w:rFonts w:cs="Arial"/>
        </w:rPr>
        <w:t>Reported to the basin population, specific usable resource is 504 m</w:t>
      </w:r>
      <w:r w:rsidRPr="0088539B">
        <w:rPr>
          <w:rFonts w:cs="Arial"/>
          <w:vertAlign w:val="superscript"/>
        </w:rPr>
        <w:t>3</w:t>
      </w:r>
      <w:r>
        <w:rPr>
          <w:rFonts w:cs="Arial"/>
        </w:rPr>
        <w:t>/person/year and the specific resource relative to the theoretically available stock (annual average) amounts to 3504 m</w:t>
      </w:r>
      <w:r w:rsidRPr="0088539B">
        <w:rPr>
          <w:rFonts w:cs="Arial"/>
          <w:vertAlign w:val="superscript"/>
        </w:rPr>
        <w:t>3</w:t>
      </w:r>
      <w:r>
        <w:rPr>
          <w:rFonts w:cs="Arial"/>
        </w:rPr>
        <w:t>/person/year. Water resources stationed in the Somes-Tisa basin area are sufficient, with a reserve potential.</w:t>
      </w:r>
    </w:p>
    <w:p w:rsidR="006378A3" w:rsidRDefault="006378A3" w:rsidP="006378A3">
      <w:pPr>
        <w:jc w:val="both"/>
        <w:rPr>
          <w:rFonts w:cs="Arial"/>
        </w:rPr>
      </w:pPr>
      <w:r>
        <w:rPr>
          <w:rFonts w:cs="Arial"/>
        </w:rPr>
        <w:t>Annual average flow of the river Somes record hydrometric station Satu Mare, near the exit from the country, a value of 125 m</w:t>
      </w:r>
      <w:r>
        <w:rPr>
          <w:rFonts w:cs="Arial"/>
          <w:vertAlign w:val="superscript"/>
        </w:rPr>
        <w:t>3</w:t>
      </w:r>
      <w:r>
        <w:rPr>
          <w:rFonts w:cs="Arial"/>
        </w:rPr>
        <w:t xml:space="preserve"> / s, for a surface of ​​15,600 km</w:t>
      </w:r>
      <w:r>
        <w:rPr>
          <w:rFonts w:cs="Arial"/>
          <w:vertAlign w:val="superscript"/>
        </w:rPr>
        <w:t>2</w:t>
      </w:r>
      <w:r>
        <w:rPr>
          <w:rFonts w:cs="Arial"/>
        </w:rPr>
        <w:t xml:space="preserve"> ( specific rate = 8.01 l / s / km</w:t>
      </w:r>
      <w:r>
        <w:rPr>
          <w:rFonts w:cs="Arial"/>
          <w:vertAlign w:val="superscript"/>
        </w:rPr>
        <w:t>2</w:t>
      </w:r>
      <w:r>
        <w:rPr>
          <w:rFonts w:cs="Arial"/>
        </w:rPr>
        <w:t>) , with significant hydrological contribution rivers : Sieu ( 15.1 m</w:t>
      </w:r>
      <w:r>
        <w:rPr>
          <w:rFonts w:cs="Arial"/>
          <w:vertAlign w:val="superscript"/>
        </w:rPr>
        <w:t>3</w:t>
      </w:r>
      <w:r>
        <w:rPr>
          <w:rFonts w:cs="Arial"/>
        </w:rPr>
        <w:t xml:space="preserve"> / s), Somes Mic ( 21.2 m</w:t>
      </w:r>
      <w:r>
        <w:rPr>
          <w:rFonts w:cs="Arial"/>
          <w:vertAlign w:val="superscript"/>
        </w:rPr>
        <w:t>3</w:t>
      </w:r>
      <w:r>
        <w:rPr>
          <w:rFonts w:cs="Arial"/>
        </w:rPr>
        <w:t xml:space="preserve"> / s), Lapus ( 19.3 m</w:t>
      </w:r>
      <w:r>
        <w:rPr>
          <w:rFonts w:cs="Arial"/>
          <w:vertAlign w:val="superscript"/>
        </w:rPr>
        <w:t>3</w:t>
      </w:r>
      <w:r>
        <w:rPr>
          <w:rFonts w:cs="Arial"/>
        </w:rPr>
        <w:t xml:space="preserve"> / s). For the Tisa River leaving the country has been calculated an annual average flow of aprox.130 m</w:t>
      </w:r>
      <w:r>
        <w:rPr>
          <w:rFonts w:cs="Arial"/>
          <w:vertAlign w:val="superscript"/>
        </w:rPr>
        <w:t>3</w:t>
      </w:r>
      <w:r>
        <w:rPr>
          <w:rFonts w:cs="Arial"/>
        </w:rPr>
        <w:t xml:space="preserve"> / s, for a total area of the river (including Ukraine) of 6423 km</w:t>
      </w:r>
      <w:r>
        <w:rPr>
          <w:rFonts w:cs="Arial"/>
          <w:vertAlign w:val="superscript"/>
        </w:rPr>
        <w:t>2</w:t>
      </w:r>
      <w:r>
        <w:rPr>
          <w:rFonts w:cs="Arial"/>
        </w:rPr>
        <w:t xml:space="preserve"> (specific rate = 20.2 l / s / km</w:t>
      </w:r>
      <w:r>
        <w:rPr>
          <w:rFonts w:cs="Arial"/>
          <w:vertAlign w:val="superscript"/>
        </w:rPr>
        <w:t>2</w:t>
      </w:r>
      <w:r>
        <w:rPr>
          <w:rFonts w:cs="Arial"/>
        </w:rPr>
        <w:t>), with important hydrological contribution Romanian territory rivers Viseu (33.9 m</w:t>
      </w:r>
      <w:r>
        <w:rPr>
          <w:rFonts w:cs="Arial"/>
          <w:vertAlign w:val="superscript"/>
        </w:rPr>
        <w:t>3</w:t>
      </w:r>
      <w:r>
        <w:rPr>
          <w:rFonts w:cs="Arial"/>
        </w:rPr>
        <w:t xml:space="preserve"> / s) and Iza (16.6 m</w:t>
      </w:r>
      <w:r>
        <w:rPr>
          <w:rFonts w:cs="Arial"/>
          <w:vertAlign w:val="superscript"/>
        </w:rPr>
        <w:t>3</w:t>
      </w:r>
      <w:r>
        <w:rPr>
          <w:rFonts w:cs="Arial"/>
        </w:rPr>
        <w:t xml:space="preserve"> / s).</w:t>
      </w:r>
    </w:p>
    <w:p w:rsidR="006378A3" w:rsidRDefault="006378A3" w:rsidP="006378A3">
      <w:pPr>
        <w:jc w:val="both"/>
        <w:rPr>
          <w:rFonts w:cs="Arial"/>
        </w:rPr>
      </w:pPr>
      <w:r>
        <w:rPr>
          <w:rFonts w:cs="Arial"/>
        </w:rPr>
        <w:t>It is noted that the Tisa River has a specific flow three times then river Somes, although surface of Tisa basin are half that of the basin Somes, result of heavy rainfalls which are registered in the catchment of the Tisa. The area with low water resources is Crasna River basin , which is characterized by low leakage due to climatic morphological factors ( low-altitude , low rainfall and high temperatures). Domăneşti hydrometric station, near the border with Hungary, recorded an average flow of 3.5 specific l / s / km</w:t>
      </w:r>
      <w:r>
        <w:rPr>
          <w:rFonts w:cs="Arial"/>
          <w:vertAlign w:val="superscript"/>
        </w:rPr>
        <w:t>2</w:t>
      </w:r>
      <w:r>
        <w:rPr>
          <w:rFonts w:cs="Arial"/>
        </w:rPr>
        <w:t>.</w:t>
      </w:r>
    </w:p>
    <w:p w:rsidR="006378A3" w:rsidRDefault="006378A3" w:rsidP="006378A3">
      <w:pPr>
        <w:jc w:val="both"/>
        <w:rPr>
          <w:rFonts w:cs="Arial"/>
        </w:rPr>
      </w:pPr>
      <w:r>
        <w:rPr>
          <w:rFonts w:cs="Arial"/>
        </w:rPr>
        <w:t>Resources of groundwater inventory at the basin level are: theoretically groundwater 483 million m</w:t>
      </w:r>
      <w:r>
        <w:rPr>
          <w:rFonts w:cs="Arial"/>
          <w:vertAlign w:val="superscript"/>
        </w:rPr>
        <w:t>3</w:t>
      </w:r>
      <w:r>
        <w:rPr>
          <w:rFonts w:cs="Arial"/>
        </w:rPr>
        <w:t xml:space="preserve"> and usable 316 million m</w:t>
      </w:r>
      <w:r>
        <w:rPr>
          <w:rFonts w:cs="Arial"/>
          <w:vertAlign w:val="superscript"/>
        </w:rPr>
        <w:t>3</w:t>
      </w:r>
      <w:r>
        <w:rPr>
          <w:rFonts w:cs="Arial"/>
        </w:rPr>
        <w:t xml:space="preserve">, being constituted in proportion of 62.3 % from groundwater aquifers and  41% depth. </w:t>
      </w:r>
    </w:p>
    <w:p w:rsidR="006378A3" w:rsidRDefault="006378A3" w:rsidP="006378A3">
      <w:pPr>
        <w:jc w:val="both"/>
        <w:rPr>
          <w:rFonts w:cs="Arial"/>
        </w:rPr>
      </w:pPr>
    </w:p>
    <w:p w:rsidR="006378A3" w:rsidRDefault="006378A3" w:rsidP="006378A3">
      <w:pPr>
        <w:jc w:val="both"/>
        <w:rPr>
          <w:rFonts w:cs="Arial"/>
          <w:b/>
          <w:u w:val="single"/>
        </w:rPr>
      </w:pPr>
      <w:r>
        <w:rPr>
          <w:rFonts w:cs="Arial"/>
          <w:b/>
          <w:u w:val="single"/>
        </w:rPr>
        <w:t>WATER SURFACE CATEGORY</w:t>
      </w:r>
    </w:p>
    <w:p w:rsidR="006378A3" w:rsidRDefault="006378A3" w:rsidP="006378A3">
      <w:pPr>
        <w:jc w:val="both"/>
        <w:rPr>
          <w:rFonts w:cs="Arial"/>
        </w:rPr>
      </w:pPr>
      <w:r>
        <w:rPr>
          <w:rFonts w:cs="Arial"/>
        </w:rPr>
        <w:t>In the Somes- Tisa hydrographic river space there are the following surface water categories: 521 rivers with surfaces greater than 10 km</w:t>
      </w:r>
      <w:r>
        <w:rPr>
          <w:rFonts w:cs="Arial"/>
          <w:vertAlign w:val="superscript"/>
        </w:rPr>
        <w:t>2</w:t>
      </w:r>
      <w:r>
        <w:rPr>
          <w:rFonts w:cs="Arial"/>
        </w:rPr>
        <w:t xml:space="preserve"> and 13 lakes with surfaces greater than 50 ha. They also are selected three natural lakes with surface less than 50 ha.</w:t>
      </w:r>
    </w:p>
    <w:p w:rsidR="006378A3" w:rsidRDefault="006378A3" w:rsidP="006378A3">
      <w:pPr>
        <w:jc w:val="both"/>
        <w:rPr>
          <w:rFonts w:cs="Arial"/>
          <w:b/>
          <w:u w:val="single"/>
        </w:rPr>
      </w:pPr>
      <w:r>
        <w:rPr>
          <w:rFonts w:cs="Arial"/>
          <w:b/>
          <w:u w:val="single"/>
        </w:rPr>
        <w:lastRenderedPageBreak/>
        <w:t>Rivers</w:t>
      </w:r>
    </w:p>
    <w:p w:rsidR="006378A3" w:rsidRDefault="006378A3" w:rsidP="006378A3">
      <w:pPr>
        <w:jc w:val="both"/>
        <w:rPr>
          <w:rFonts w:cs="Arial"/>
        </w:rPr>
      </w:pPr>
      <w:r>
        <w:rPr>
          <w:rFonts w:cs="Arial"/>
          <w:b/>
          <w:i/>
        </w:rPr>
        <w:t>Tisa River</w:t>
      </w:r>
      <w:r>
        <w:rPr>
          <w:rFonts w:cs="Arial"/>
        </w:rPr>
        <w:t xml:space="preserve"> – came from Woody Carpathians western territory of Ukraine, forms the natural border between Romania and Ukraine over a length of 61 km between the towns of Viseu and Piatra and flows into the Danube in Hungary.</w:t>
      </w:r>
    </w:p>
    <w:p w:rsidR="006378A3" w:rsidRDefault="006378A3" w:rsidP="006378A3">
      <w:pPr>
        <w:jc w:val="both"/>
        <w:rPr>
          <w:rFonts w:cs="Arial"/>
        </w:rPr>
      </w:pPr>
      <w:r>
        <w:rPr>
          <w:rFonts w:cs="Arial"/>
        </w:rPr>
        <w:t>On the Romanian territory, Tisa basin covers an area of ​​4540 km</w:t>
      </w:r>
      <w:r>
        <w:rPr>
          <w:rFonts w:cs="Arial"/>
          <w:vertAlign w:val="superscript"/>
        </w:rPr>
        <w:t>2</w:t>
      </w:r>
      <w:r>
        <w:rPr>
          <w:rFonts w:cs="Arial"/>
        </w:rPr>
        <w:t>, the average slope 2 ‰, collecting water for 115 watercourses with areas greater than 10 km</w:t>
      </w:r>
      <w:r>
        <w:rPr>
          <w:rFonts w:cs="Arial"/>
          <w:vertAlign w:val="superscript"/>
        </w:rPr>
        <w:t>2</w:t>
      </w:r>
      <w:r>
        <w:rPr>
          <w:rFonts w:cs="Arial"/>
        </w:rPr>
        <w:t>, with a total length of 1557 km.</w:t>
      </w:r>
    </w:p>
    <w:p w:rsidR="006378A3" w:rsidRDefault="006378A3" w:rsidP="006378A3">
      <w:pPr>
        <w:jc w:val="both"/>
        <w:rPr>
          <w:rFonts w:cs="Arial"/>
        </w:rPr>
      </w:pPr>
      <w:r>
        <w:rPr>
          <w:rFonts w:cs="Arial"/>
          <w:b/>
          <w:i/>
        </w:rPr>
        <w:t>Viseu River</w:t>
      </w:r>
      <w:r>
        <w:rPr>
          <w:rFonts w:cs="Arial"/>
        </w:rPr>
        <w:t xml:space="preserve"> - with the surface of ​​1581 km</w:t>
      </w:r>
      <w:r>
        <w:rPr>
          <w:rFonts w:cs="Arial"/>
          <w:vertAlign w:val="superscript"/>
        </w:rPr>
        <w:t>2</w:t>
      </w:r>
      <w:r>
        <w:rPr>
          <w:rFonts w:cs="Arial"/>
        </w:rPr>
        <w:t xml:space="preserve"> and a total length of 82 km, flows from Maramures Mountains in the Prislop at an altitude of 1535m, drains southwest slopes of these mountains and through Rodnei Mountains of the northern tributaries of the right Cisla, Vaser, Ruscova and Frumuseaua.</w:t>
      </w:r>
    </w:p>
    <w:p w:rsidR="006378A3" w:rsidRDefault="006378A3" w:rsidP="006378A3">
      <w:pPr>
        <w:jc w:val="both"/>
        <w:rPr>
          <w:rFonts w:cs="Arial"/>
        </w:rPr>
      </w:pPr>
      <w:r>
        <w:rPr>
          <w:rFonts w:cs="Arial"/>
          <w:b/>
          <w:i/>
        </w:rPr>
        <w:t>Iza River</w:t>
      </w:r>
      <w:r>
        <w:rPr>
          <w:rFonts w:cs="Arial"/>
        </w:rPr>
        <w:t xml:space="preserve"> – with the surface of ​​1293 km</w:t>
      </w:r>
      <w:r>
        <w:rPr>
          <w:rFonts w:cs="Arial"/>
          <w:vertAlign w:val="superscript"/>
        </w:rPr>
        <w:t>2</w:t>
      </w:r>
      <w:r>
        <w:rPr>
          <w:rFonts w:cs="Arial"/>
        </w:rPr>
        <w:t xml:space="preserve"> with a total length of 80 km, has its source in Rodnei Mountains at an altitude of 1275 m, collecting waters left by Gutaiul Mountains. The main tributaries of Iza are Boicu, Ieud, Botiza, Mara Cosău and Rona (right tributary).</w:t>
      </w:r>
    </w:p>
    <w:p w:rsidR="006378A3" w:rsidRDefault="006378A3" w:rsidP="006378A3">
      <w:pPr>
        <w:jc w:val="both"/>
        <w:rPr>
          <w:rFonts w:cs="Arial"/>
        </w:rPr>
      </w:pPr>
      <w:r>
        <w:rPr>
          <w:rFonts w:cs="Arial"/>
          <w:b/>
          <w:i/>
        </w:rPr>
        <w:t>Somes River</w:t>
      </w:r>
      <w:r>
        <w:rPr>
          <w:rFonts w:cs="Arial"/>
        </w:rPr>
        <w:t xml:space="preserve"> drains a catchment of 15740 km</w:t>
      </w:r>
      <w:r>
        <w:rPr>
          <w:rFonts w:cs="Arial"/>
          <w:vertAlign w:val="superscript"/>
        </w:rPr>
        <w:t>2</w:t>
      </w:r>
      <w:r>
        <w:rPr>
          <w:rFonts w:cs="Arial"/>
        </w:rPr>
        <w:t>, including 362 watercourses with areas greater than 10 km</w:t>
      </w:r>
      <w:r>
        <w:rPr>
          <w:rFonts w:cs="Arial"/>
          <w:vertAlign w:val="superscript"/>
        </w:rPr>
        <w:t>2</w:t>
      </w:r>
      <w:r>
        <w:rPr>
          <w:rFonts w:cs="Arial"/>
        </w:rPr>
        <w:t xml:space="preserve"> with a total length of 5263 km.</w:t>
      </w:r>
    </w:p>
    <w:p w:rsidR="006378A3" w:rsidRDefault="006378A3" w:rsidP="006378A3">
      <w:pPr>
        <w:jc w:val="both"/>
        <w:rPr>
          <w:rFonts w:cs="Arial"/>
        </w:rPr>
      </w:pPr>
      <w:r>
        <w:rPr>
          <w:rFonts w:cs="Arial"/>
          <w:b/>
          <w:i/>
        </w:rPr>
        <w:t>Little Somes River</w:t>
      </w:r>
      <w:r>
        <w:rPr>
          <w:rFonts w:cs="Arial"/>
        </w:rPr>
        <w:t xml:space="preserve"> with the surface of ​​3773 km</w:t>
      </w:r>
      <w:r>
        <w:rPr>
          <w:rFonts w:cs="Arial"/>
          <w:vertAlign w:val="superscript"/>
        </w:rPr>
        <w:t>2</w:t>
      </w:r>
      <w:r>
        <w:rPr>
          <w:rFonts w:cs="Arial"/>
        </w:rPr>
        <w:t xml:space="preserve"> and total length of 178 km is the most important tributary of Somes. It is formed by the union of Somes Cold and Somes Warm, rivers with springs in Vladeasa and Gilau Mountains.</w:t>
      </w:r>
    </w:p>
    <w:p w:rsidR="006378A3" w:rsidRDefault="006378A3" w:rsidP="006378A3">
      <w:pPr>
        <w:jc w:val="both"/>
        <w:rPr>
          <w:rFonts w:cs="Arial"/>
        </w:rPr>
      </w:pPr>
      <w:r>
        <w:rPr>
          <w:rFonts w:cs="Arial"/>
          <w:b/>
          <w:i/>
        </w:rPr>
        <w:t>Lapus River</w:t>
      </w:r>
      <w:r>
        <w:rPr>
          <w:rFonts w:cs="Arial"/>
        </w:rPr>
        <w:t xml:space="preserve"> is almost unique collector’s southern slopes of the volcanic mountains of Gutai Mountains Lapus - Tibles and with a strong right asymmetry. Basin covers an area of ​​1875 km</w:t>
      </w:r>
      <w:r>
        <w:rPr>
          <w:rFonts w:cs="Arial"/>
          <w:vertAlign w:val="superscript"/>
        </w:rPr>
        <w:t>2</w:t>
      </w:r>
      <w:r>
        <w:rPr>
          <w:rFonts w:cs="Arial"/>
        </w:rPr>
        <w:t xml:space="preserve"> and a total length of 119 km.</w:t>
      </w:r>
    </w:p>
    <w:p w:rsidR="006378A3" w:rsidRDefault="006378A3" w:rsidP="006378A3">
      <w:pPr>
        <w:jc w:val="both"/>
        <w:rPr>
          <w:rFonts w:cs="Arial"/>
          <w:b/>
          <w:u w:val="single"/>
        </w:rPr>
      </w:pPr>
      <w:r>
        <w:rPr>
          <w:rFonts w:cs="Arial"/>
          <w:b/>
          <w:u w:val="single"/>
        </w:rPr>
        <w:t>Natural lakes</w:t>
      </w:r>
    </w:p>
    <w:p w:rsidR="006378A3" w:rsidRDefault="006378A3" w:rsidP="006378A3">
      <w:pPr>
        <w:jc w:val="both"/>
        <w:rPr>
          <w:rFonts w:cs="Arial"/>
        </w:rPr>
      </w:pPr>
      <w:r>
        <w:rPr>
          <w:rFonts w:cs="Arial"/>
        </w:rPr>
        <w:t>In the space Somes -Tisa River hadn’t been accounted lakes with areas exceeding 0.5 km</w:t>
      </w:r>
      <w:r>
        <w:rPr>
          <w:rFonts w:cs="Arial"/>
          <w:vertAlign w:val="superscript"/>
        </w:rPr>
        <w:t>2</w:t>
      </w:r>
      <w:r>
        <w:rPr>
          <w:rFonts w:cs="Arial"/>
        </w:rPr>
        <w:t>.</w:t>
      </w:r>
    </w:p>
    <w:p w:rsidR="006378A3" w:rsidRDefault="006378A3" w:rsidP="006378A3">
      <w:pPr>
        <w:jc w:val="both"/>
        <w:rPr>
          <w:rFonts w:cs="Arial"/>
          <w:b/>
          <w:i/>
        </w:rPr>
      </w:pPr>
      <w:r>
        <w:rPr>
          <w:rFonts w:cs="Arial"/>
          <w:b/>
          <w:i/>
        </w:rPr>
        <w:t>Prut – Bârlad River Bazine</w:t>
      </w:r>
    </w:p>
    <w:p w:rsidR="006378A3" w:rsidRDefault="006378A3" w:rsidP="006378A3">
      <w:pPr>
        <w:jc w:val="both"/>
        <w:rPr>
          <w:rFonts w:cs="Arial"/>
          <w:b/>
          <w:i/>
        </w:rPr>
      </w:pPr>
    </w:p>
    <w:p w:rsidR="006378A3" w:rsidRDefault="006378A3" w:rsidP="006378A3">
      <w:pPr>
        <w:spacing w:line="276" w:lineRule="auto"/>
        <w:jc w:val="both"/>
        <w:rPr>
          <w:rFonts w:eastAsia="Calibri" w:cs="Arial"/>
          <w:b/>
          <w:lang w:val="en-US"/>
        </w:rPr>
      </w:pPr>
      <w:r>
        <w:rPr>
          <w:rFonts w:eastAsia="Calibri" w:cs="Arial"/>
          <w:b/>
          <w:lang w:val="en-US"/>
        </w:rPr>
        <w:t>Characterization of the ecological and chemical state of the waters in the Somes – TISA basin</w:t>
      </w:r>
    </w:p>
    <w:p w:rsidR="006378A3" w:rsidRDefault="006378A3" w:rsidP="006378A3">
      <w:pPr>
        <w:spacing w:line="276" w:lineRule="auto"/>
        <w:jc w:val="both"/>
        <w:rPr>
          <w:rFonts w:eastAsia="Calibri" w:cs="Arial"/>
        </w:rPr>
      </w:pPr>
      <w:r>
        <w:rPr>
          <w:rFonts w:eastAsia="Calibri" w:cs="Arial"/>
        </w:rPr>
        <w:t>In the Someş – Tisa hydrographic area were analized and descripted from the ecological state/ potential point of view 278 water bodies (246 naturals and 32 heavily modified natural / artificial) out of which:</w:t>
      </w:r>
    </w:p>
    <w:p w:rsidR="006378A3" w:rsidRDefault="006378A3" w:rsidP="006378A3">
      <w:pPr>
        <w:pStyle w:val="ListParagraph"/>
        <w:numPr>
          <w:ilvl w:val="1"/>
          <w:numId w:val="119"/>
        </w:numPr>
        <w:spacing w:line="276" w:lineRule="auto"/>
        <w:rPr>
          <w:rFonts w:eastAsia="Calibri" w:cs="Arial"/>
        </w:rPr>
      </w:pPr>
      <w:r>
        <w:rPr>
          <w:rFonts w:eastAsia="Calibri" w:cs="Arial"/>
        </w:rPr>
        <w:t>130 water bodies (representing 52.84% of the natural water bodies and 46.76% of the total of 278 water bodies) are in good ecological status and 11 water bodies (representing 34.37% of water bodies heavily modified / artificial and 3.95% of the total of 278 water bodies) are good potential; the remaining 137 water bodies have a less good ecological status or less good ecological potential;</w:t>
      </w:r>
    </w:p>
    <w:p w:rsidR="006378A3" w:rsidRDefault="006378A3" w:rsidP="006378A3">
      <w:pPr>
        <w:pStyle w:val="ListParagraph"/>
        <w:numPr>
          <w:ilvl w:val="1"/>
          <w:numId w:val="119"/>
        </w:numPr>
        <w:spacing w:line="276" w:lineRule="auto"/>
        <w:rPr>
          <w:rFonts w:eastAsia="Calibri" w:cs="Arial"/>
        </w:rPr>
      </w:pPr>
      <w:r>
        <w:rPr>
          <w:rFonts w:eastAsia="Calibri" w:cs="Arial"/>
        </w:rPr>
        <w:t>230 water bodies (representing 93.50% of the natural water bodies and 82.73% of the total of 278 water bodies) are in good chemical status and 30 water bodies (representing 93.75% of water bodies heavily modified / artificial and 10.79% of the total of 278 water bodies) are in good chemical status; the remaining 18 water bodies are in bad chemical status.</w:t>
      </w:r>
    </w:p>
    <w:p w:rsidR="006378A3" w:rsidRDefault="006378A3" w:rsidP="006378A3">
      <w:pPr>
        <w:spacing w:line="276" w:lineRule="auto"/>
        <w:ind w:left="1080"/>
        <w:rPr>
          <w:rFonts w:eastAsia="Calibri" w:cs="Arial"/>
        </w:rPr>
      </w:pPr>
    </w:p>
    <w:p w:rsidR="006378A3" w:rsidRPr="0088539B" w:rsidRDefault="006378A3" w:rsidP="006378A3">
      <w:pPr>
        <w:jc w:val="both"/>
        <w:rPr>
          <w:rFonts w:cs="Arial"/>
        </w:rPr>
      </w:pPr>
      <w:r>
        <w:rPr>
          <w:rFonts w:cs="Arial"/>
          <w:b/>
          <w:i/>
        </w:rPr>
        <w:t>Prut - Barlad</w:t>
      </w:r>
      <w:r>
        <w:rPr>
          <w:rFonts w:cs="Arial"/>
        </w:rPr>
        <w:t xml:space="preserve"> </w:t>
      </w:r>
      <w:r>
        <w:rPr>
          <w:rFonts w:cs="Arial"/>
          <w:b/>
          <w:i/>
        </w:rPr>
        <w:t xml:space="preserve">river area </w:t>
      </w:r>
      <w:r w:rsidRPr="0088539B">
        <w:rPr>
          <w:rFonts w:cs="Arial"/>
        </w:rPr>
        <w:t xml:space="preserve">consists of middle and lower basin of </w:t>
      </w:r>
      <w:r>
        <w:rPr>
          <w:rFonts w:cs="Arial"/>
        </w:rPr>
        <w:t xml:space="preserve">Prut </w:t>
      </w:r>
      <w:r w:rsidRPr="0088539B">
        <w:rPr>
          <w:rFonts w:cs="Arial"/>
        </w:rPr>
        <w:t xml:space="preserve">river, Barlad river basin and </w:t>
      </w:r>
      <w:r>
        <w:rPr>
          <w:rFonts w:cs="Arial"/>
        </w:rPr>
        <w:t xml:space="preserve">left </w:t>
      </w:r>
      <w:r w:rsidRPr="0088539B">
        <w:rPr>
          <w:rFonts w:cs="Arial"/>
        </w:rPr>
        <w:t xml:space="preserve">tributaries of the </w:t>
      </w:r>
      <w:r>
        <w:rPr>
          <w:rFonts w:cs="Arial"/>
        </w:rPr>
        <w:t xml:space="preserve">Siret </w:t>
      </w:r>
      <w:r w:rsidRPr="0088539B">
        <w:rPr>
          <w:rFonts w:cs="Arial"/>
        </w:rPr>
        <w:t xml:space="preserve">river in Botosani and Galati </w:t>
      </w:r>
      <w:r>
        <w:rPr>
          <w:rFonts w:cs="Arial"/>
        </w:rPr>
        <w:t>county (f</w:t>
      </w:r>
      <w:r w:rsidRPr="0088539B">
        <w:rPr>
          <w:rFonts w:cs="Arial"/>
        </w:rPr>
        <w:t>ig. 4.2).</w:t>
      </w:r>
    </w:p>
    <w:p w:rsidR="006378A3" w:rsidRPr="0088539B" w:rsidRDefault="006378A3" w:rsidP="006378A3">
      <w:pPr>
        <w:jc w:val="both"/>
        <w:rPr>
          <w:rFonts w:cs="Arial"/>
        </w:rPr>
      </w:pPr>
    </w:p>
    <w:p w:rsidR="006378A3" w:rsidRDefault="006378A3" w:rsidP="006378A3">
      <w:pPr>
        <w:jc w:val="both"/>
        <w:rPr>
          <w:rFonts w:cs="Arial"/>
        </w:rPr>
      </w:pPr>
      <w:r>
        <w:rPr>
          <w:rFonts w:cs="Arial"/>
          <w:b/>
          <w:i/>
        </w:rPr>
        <w:t>Prut River Basin</w:t>
      </w:r>
      <w:r>
        <w:rPr>
          <w:rFonts w:cs="Arial"/>
        </w:rPr>
        <w:t xml:space="preserve"> is located in the north- east of the Danube basin, bordering northwest Tisa River Siret River to the west and north and east.</w:t>
      </w:r>
    </w:p>
    <w:p w:rsidR="006378A3" w:rsidRDefault="006378A3" w:rsidP="006378A3">
      <w:pPr>
        <w:jc w:val="both"/>
        <w:rPr>
          <w:rFonts w:cs="Arial"/>
        </w:rPr>
      </w:pPr>
      <w:r>
        <w:rPr>
          <w:rFonts w:cs="Arial"/>
        </w:rPr>
        <w:t>The total area of 27,500 km</w:t>
      </w:r>
      <w:r>
        <w:rPr>
          <w:rFonts w:cs="Arial"/>
          <w:vertAlign w:val="superscript"/>
        </w:rPr>
        <w:t>2</w:t>
      </w:r>
      <w:r>
        <w:rPr>
          <w:rFonts w:cs="Arial"/>
        </w:rPr>
        <w:t xml:space="preserve"> basin is carried out on the territory of three countries: Ukraine, Romania and Moldova. The second longest tributary of the Danube, Prut River (952.9 km) </w:t>
      </w:r>
      <w:r>
        <w:rPr>
          <w:rFonts w:cs="Arial"/>
        </w:rPr>
        <w:lastRenderedPageBreak/>
        <w:t>forms the border between Romania and Ukraine, 31 km and between Romania and Moldova on 711 km.</w:t>
      </w:r>
    </w:p>
    <w:p w:rsidR="006378A3" w:rsidRDefault="006378A3" w:rsidP="006378A3">
      <w:pPr>
        <w:jc w:val="both"/>
        <w:rPr>
          <w:rFonts w:cs="Arial"/>
        </w:rPr>
      </w:pPr>
      <w:r>
        <w:rPr>
          <w:rFonts w:cs="Arial"/>
        </w:rPr>
        <w:t>Barlad river basin, left tributary of the Siret River, is bounded in the north and east of the Prut river basin.</w:t>
      </w:r>
    </w:p>
    <w:p w:rsidR="006378A3" w:rsidRDefault="006378A3" w:rsidP="006378A3">
      <w:pPr>
        <w:jc w:val="center"/>
        <w:rPr>
          <w:rFonts w:cs="Arial"/>
        </w:rPr>
      </w:pPr>
      <w:r w:rsidRPr="002E01ED">
        <w:rPr>
          <w:rFonts w:ascii="Calibri" w:eastAsia="Calibri" w:hAnsi="Calibri"/>
          <w:noProof/>
          <w:lang w:val="en-US" w:eastAsia="en-US"/>
        </w:rPr>
        <w:drawing>
          <wp:inline distT="0" distB="0" distL="0" distR="0" wp14:anchorId="0F1B0048" wp14:editId="19E67D43">
            <wp:extent cx="5533901" cy="7554936"/>
            <wp:effectExtent l="0" t="0" r="0" b="8255"/>
            <wp:docPr id="24" name="Imagine 24" descr="Pr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u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30947" cy="7550902"/>
                    </a:xfrm>
                    <a:prstGeom prst="rect">
                      <a:avLst/>
                    </a:prstGeom>
                    <a:noFill/>
                    <a:ln>
                      <a:noFill/>
                    </a:ln>
                  </pic:spPr>
                </pic:pic>
              </a:graphicData>
            </a:graphic>
          </wp:inline>
        </w:drawing>
      </w:r>
    </w:p>
    <w:p w:rsidR="006378A3" w:rsidRDefault="006378A3" w:rsidP="006378A3">
      <w:pPr>
        <w:jc w:val="center"/>
        <w:rPr>
          <w:rFonts w:cs="Arial"/>
          <w:b/>
          <w:i/>
        </w:rPr>
      </w:pPr>
      <w:r>
        <w:rPr>
          <w:rFonts w:cs="Arial"/>
        </w:rPr>
        <w:t>Figure 4.2 - Prut – Bârlad River Bazine</w:t>
      </w:r>
    </w:p>
    <w:p w:rsidR="006378A3" w:rsidRDefault="006378A3" w:rsidP="006378A3">
      <w:pPr>
        <w:jc w:val="center"/>
        <w:rPr>
          <w:rFonts w:cs="Arial"/>
        </w:rPr>
      </w:pPr>
    </w:p>
    <w:p w:rsidR="006378A3" w:rsidRDefault="006378A3" w:rsidP="006378A3">
      <w:pPr>
        <w:jc w:val="both"/>
        <w:rPr>
          <w:rFonts w:cs="Arial"/>
        </w:rPr>
      </w:pPr>
      <w:r>
        <w:rPr>
          <w:rFonts w:cs="Arial"/>
        </w:rPr>
        <w:t>From the administrative point of view, space river Prut - Barlad occupy almost all the counties of Botosani, Iasi, Vaslui and Galati and partly counties of Neamt, Bacau and Vrancea.</w:t>
      </w:r>
    </w:p>
    <w:p w:rsidR="006378A3" w:rsidRDefault="006378A3" w:rsidP="006378A3">
      <w:pPr>
        <w:jc w:val="both"/>
        <w:rPr>
          <w:rFonts w:cs="Arial"/>
        </w:rPr>
      </w:pPr>
      <w:r>
        <w:rPr>
          <w:rFonts w:cs="Arial"/>
        </w:rPr>
        <w:t>Prut River Basin in Romania has an area of ​​10 967 km</w:t>
      </w:r>
      <w:r>
        <w:rPr>
          <w:rFonts w:cs="Arial"/>
          <w:vertAlign w:val="superscript"/>
        </w:rPr>
        <w:t>2</w:t>
      </w:r>
      <w:r>
        <w:rPr>
          <w:rFonts w:cs="Arial"/>
        </w:rPr>
        <w:t xml:space="preserve"> (approx. 4.6 % of the country). Barlad River, the largest tributary of the Siret left, has a catchment area of ​​7220 km</w:t>
      </w:r>
      <w:r>
        <w:rPr>
          <w:rFonts w:cs="Arial"/>
          <w:vertAlign w:val="superscript"/>
        </w:rPr>
        <w:t>2.</w:t>
      </w:r>
      <w:r>
        <w:rPr>
          <w:rFonts w:cs="Arial"/>
        </w:rPr>
        <w:t xml:space="preserve"> </w:t>
      </w:r>
    </w:p>
    <w:p w:rsidR="006378A3" w:rsidRDefault="006378A3" w:rsidP="006378A3">
      <w:pPr>
        <w:jc w:val="both"/>
        <w:rPr>
          <w:rFonts w:cs="Arial"/>
        </w:rPr>
      </w:pPr>
      <w:r>
        <w:rPr>
          <w:rFonts w:cs="Arial"/>
        </w:rPr>
        <w:lastRenderedPageBreak/>
        <w:t>As a feature of space river Prut - Barlad, 80 % of the river is made up of non-permanent training courses of which 60% are temporary ( phenomenon occurring in the upper drying up due to periods without rainfall ) and 18 % are semi-permanent courses.</w:t>
      </w:r>
    </w:p>
    <w:p w:rsidR="006378A3" w:rsidRDefault="006378A3" w:rsidP="006378A3">
      <w:pPr>
        <w:jc w:val="both"/>
        <w:rPr>
          <w:rFonts w:cs="Arial"/>
          <w:b/>
          <w:u w:val="single"/>
        </w:rPr>
      </w:pPr>
    </w:p>
    <w:p w:rsidR="006378A3" w:rsidRDefault="006378A3" w:rsidP="006378A3">
      <w:pPr>
        <w:jc w:val="both"/>
        <w:rPr>
          <w:rFonts w:cs="Arial"/>
          <w:b/>
          <w:u w:val="single"/>
        </w:rPr>
      </w:pPr>
      <w:r>
        <w:rPr>
          <w:rFonts w:cs="Arial"/>
          <w:b/>
          <w:u w:val="single"/>
        </w:rPr>
        <w:t>Hydrography</w:t>
      </w:r>
    </w:p>
    <w:p w:rsidR="006378A3" w:rsidRDefault="006378A3" w:rsidP="006378A3">
      <w:pPr>
        <w:jc w:val="both"/>
        <w:rPr>
          <w:rFonts w:cs="Arial"/>
        </w:rPr>
      </w:pPr>
      <w:r>
        <w:rPr>
          <w:rFonts w:cs="Arial"/>
        </w:rPr>
        <w:t>Total surface of the Prut - Barlad river area is 20,267 km</w:t>
      </w:r>
      <w:r w:rsidRPr="0088539B">
        <w:rPr>
          <w:rFonts w:cs="Arial"/>
          <w:vertAlign w:val="superscript"/>
        </w:rPr>
        <w:t>2</w:t>
      </w:r>
      <w:r>
        <w:rPr>
          <w:rFonts w:cs="Arial"/>
        </w:rPr>
        <w:t xml:space="preserve"> representing a share of approx. 8.7% of the country surface. The hydrographical network comprises of 392 watercourses surveyors, with a total length of 7,679 km and an average density of 0.38 km / km</w:t>
      </w:r>
      <w:r w:rsidRPr="0088539B">
        <w:rPr>
          <w:rFonts w:cs="Arial"/>
          <w:vertAlign w:val="superscript"/>
        </w:rPr>
        <w:t>2</w:t>
      </w:r>
      <w:r>
        <w:rPr>
          <w:rFonts w:cs="Arial"/>
        </w:rPr>
        <w:t>. In Romania, the Prut- Barlad river area includes the following sub-basins: the middle and lower basin of the Prut river, Barlad river basin and left tributaries of the Siret river in Botosani and Galati county with a total of 392 watercourses.</w:t>
      </w:r>
    </w:p>
    <w:p w:rsidR="006378A3" w:rsidRDefault="006378A3" w:rsidP="006378A3">
      <w:pPr>
        <w:jc w:val="both"/>
        <w:rPr>
          <w:rFonts w:cs="Arial"/>
        </w:rPr>
      </w:pPr>
    </w:p>
    <w:p w:rsidR="006378A3" w:rsidRDefault="006378A3" w:rsidP="006378A3">
      <w:pPr>
        <w:jc w:val="both"/>
        <w:rPr>
          <w:rFonts w:cs="Arial"/>
          <w:b/>
          <w:u w:val="single"/>
        </w:rPr>
      </w:pPr>
      <w:r>
        <w:rPr>
          <w:rFonts w:cs="Arial"/>
          <w:b/>
          <w:u w:val="single"/>
        </w:rPr>
        <w:t>Land Use</w:t>
      </w:r>
    </w:p>
    <w:p w:rsidR="006378A3" w:rsidRDefault="006378A3" w:rsidP="006378A3">
      <w:pPr>
        <w:jc w:val="both"/>
        <w:rPr>
          <w:rFonts w:cs="Arial"/>
        </w:rPr>
      </w:pPr>
      <w:r>
        <w:rPr>
          <w:rFonts w:cs="Arial"/>
        </w:rPr>
        <w:t>Use of the land within the catchment area Prut - Barlad is influenced by physical and geographical conditions and anthropogenic factors.</w:t>
      </w:r>
    </w:p>
    <w:p w:rsidR="006378A3" w:rsidRDefault="006378A3" w:rsidP="006378A3">
      <w:pPr>
        <w:jc w:val="both"/>
        <w:rPr>
          <w:rFonts w:cs="Arial"/>
        </w:rPr>
      </w:pPr>
      <w:r>
        <w:rPr>
          <w:rFonts w:cs="Arial"/>
        </w:rPr>
        <w:t>Arable land predominates both in the river Prut (54.7 %) and in the river Barlad (46%). Forests, occupying 21.4% in the river Prut and in the Barlad river basin 27 %, are developed especially in areas of contact with high plateau relief.</w:t>
      </w:r>
    </w:p>
    <w:p w:rsidR="006378A3" w:rsidRDefault="006378A3" w:rsidP="006378A3">
      <w:pPr>
        <w:jc w:val="both"/>
        <w:rPr>
          <w:rFonts w:cs="Arial"/>
        </w:rPr>
      </w:pPr>
      <w:r>
        <w:rPr>
          <w:rFonts w:cs="Arial"/>
        </w:rPr>
        <w:t>Perennial crops have a relatively uniform development occupying 13.3% in the river Prut and 16.1 % in the river Barlad. Other areas occupy much smaller areas. The lakes occupy a share of 1.19 % in the river Prut and 0.26 in the river Barlad.</w:t>
      </w:r>
    </w:p>
    <w:p w:rsidR="006378A3" w:rsidRDefault="006378A3" w:rsidP="006378A3">
      <w:pPr>
        <w:jc w:val="both"/>
        <w:rPr>
          <w:rFonts w:cs="Arial"/>
        </w:rPr>
      </w:pPr>
    </w:p>
    <w:p w:rsidR="006378A3" w:rsidRDefault="006378A3" w:rsidP="006378A3">
      <w:pPr>
        <w:jc w:val="both"/>
        <w:rPr>
          <w:rFonts w:cs="Arial"/>
          <w:b/>
          <w:u w:val="single"/>
        </w:rPr>
      </w:pPr>
      <w:r>
        <w:rPr>
          <w:rFonts w:cs="Arial"/>
          <w:b/>
          <w:u w:val="single"/>
        </w:rPr>
        <w:t>Water resources</w:t>
      </w:r>
    </w:p>
    <w:p w:rsidR="006378A3" w:rsidRDefault="006378A3" w:rsidP="006378A3">
      <w:pPr>
        <w:jc w:val="both"/>
        <w:rPr>
          <w:rFonts w:cs="Arial"/>
        </w:rPr>
      </w:pPr>
      <w:r>
        <w:rPr>
          <w:rFonts w:cs="Arial"/>
        </w:rPr>
        <w:t>Total surface water resources of the basin Prut - Barlad totaling about 3661 million m</w:t>
      </w:r>
      <w:r>
        <w:rPr>
          <w:rFonts w:cs="Arial"/>
          <w:vertAlign w:val="superscript"/>
        </w:rPr>
        <w:t>3</w:t>
      </w:r>
      <w:r>
        <w:rPr>
          <w:rFonts w:cs="Arial"/>
        </w:rPr>
        <w:t xml:space="preserve"> / year, of which about 960 million are usable m</w:t>
      </w:r>
      <w:r>
        <w:rPr>
          <w:rFonts w:cs="Arial"/>
          <w:vertAlign w:val="superscript"/>
        </w:rPr>
        <w:t>3</w:t>
      </w:r>
      <w:r>
        <w:rPr>
          <w:rFonts w:cs="Arial"/>
        </w:rPr>
        <w:t xml:space="preserve"> / year.</w:t>
      </w:r>
      <w:r>
        <w:t xml:space="preserve"> </w:t>
      </w:r>
      <w:r>
        <w:rPr>
          <w:rFonts w:cs="Arial"/>
        </w:rPr>
        <w:t>The stock of 3.661 billion cubic meters / year , representing about 94 % of total resources and consists mainly of rivers Prut , Barlad and their tributaries.</w:t>
      </w:r>
    </w:p>
    <w:p w:rsidR="006378A3" w:rsidRDefault="006378A3" w:rsidP="006378A3">
      <w:pPr>
        <w:jc w:val="both"/>
        <w:rPr>
          <w:rFonts w:cs="Arial"/>
        </w:rPr>
      </w:pPr>
      <w:r>
        <w:rPr>
          <w:rFonts w:cs="Arial"/>
        </w:rPr>
        <w:t>In the Prut - Barlad river area, are 72 main reservoirs (greater than 0.5km</w:t>
      </w:r>
      <w:r w:rsidRPr="0088539B">
        <w:rPr>
          <w:rFonts w:cs="Arial"/>
          <w:vertAlign w:val="superscript"/>
        </w:rPr>
        <w:t>2</w:t>
      </w:r>
      <w:r>
        <w:rPr>
          <w:rFonts w:cs="Arial"/>
        </w:rPr>
        <w:t>) in which 49 use complex totaling a volume of 614.85 mil. m</w:t>
      </w:r>
      <w:r>
        <w:rPr>
          <w:rFonts w:cs="Arial"/>
          <w:vertAlign w:val="superscript"/>
        </w:rPr>
        <w:t>3</w:t>
      </w:r>
      <w:r>
        <w:rPr>
          <w:rFonts w:cs="Arial"/>
        </w:rPr>
        <w:t xml:space="preserve">. </w:t>
      </w:r>
    </w:p>
    <w:p w:rsidR="006378A3" w:rsidRDefault="006378A3" w:rsidP="006378A3">
      <w:pPr>
        <w:jc w:val="both"/>
        <w:rPr>
          <w:rFonts w:cs="Arial"/>
        </w:rPr>
      </w:pPr>
      <w:r>
        <w:rPr>
          <w:rFonts w:cs="Arial"/>
        </w:rPr>
        <w:t>Relative to the basin population, specific usable resource is 437.16 m</w:t>
      </w:r>
      <w:r w:rsidRPr="0088539B">
        <w:rPr>
          <w:rFonts w:cs="Arial"/>
          <w:vertAlign w:val="superscript"/>
        </w:rPr>
        <w:t>3</w:t>
      </w:r>
      <w:r>
        <w:rPr>
          <w:rFonts w:cs="Arial"/>
        </w:rPr>
        <w:t xml:space="preserve"> / person/ year and the specific resource determined as available theoretically stock (annual average) amounts 1667.12 m</w:t>
      </w:r>
      <w:r w:rsidRPr="0088539B">
        <w:rPr>
          <w:rFonts w:cs="Arial"/>
          <w:vertAlign w:val="superscript"/>
        </w:rPr>
        <w:t>3</w:t>
      </w:r>
      <w:r>
        <w:rPr>
          <w:rFonts w:cs="Arial"/>
        </w:rPr>
        <w:t xml:space="preserve"> / person / year. Water resources stationed in the Prut - Barlad river area might be considered low and unevenly distributed in space and time.</w:t>
      </w:r>
    </w:p>
    <w:p w:rsidR="006378A3" w:rsidRDefault="006378A3" w:rsidP="006378A3">
      <w:pPr>
        <w:jc w:val="both"/>
        <w:rPr>
          <w:rFonts w:cs="Arial"/>
        </w:rPr>
      </w:pPr>
      <w:r>
        <w:rPr>
          <w:rFonts w:cs="Arial"/>
        </w:rPr>
        <w:t>The average multi-annual flow rates for major rivers in the hydrographical river area are: r. Prut 105 m / s (3.314 mil. m</w:t>
      </w:r>
      <w:r w:rsidRPr="0088539B">
        <w:rPr>
          <w:rFonts w:cs="Arial"/>
          <w:vertAlign w:val="superscript"/>
        </w:rPr>
        <w:t>3</w:t>
      </w:r>
      <w:r>
        <w:rPr>
          <w:rFonts w:cs="Arial"/>
        </w:rPr>
        <w:t xml:space="preserve"> / year) to Danube confluence; r. Jijia is 10 m / s (316 mil. m</w:t>
      </w:r>
      <w:r>
        <w:rPr>
          <w:rFonts w:cs="Arial"/>
          <w:vertAlign w:val="superscript"/>
        </w:rPr>
        <w:t>3</w:t>
      </w:r>
      <w:r>
        <w:rPr>
          <w:rFonts w:cs="Arial"/>
        </w:rPr>
        <w:t xml:space="preserve"> / year); r . Barlad to 11 m / s (347 mil. m</w:t>
      </w:r>
      <w:r>
        <w:rPr>
          <w:rFonts w:cs="Arial"/>
          <w:vertAlign w:val="superscript"/>
        </w:rPr>
        <w:t>3</w:t>
      </w:r>
      <w:r>
        <w:rPr>
          <w:rFonts w:cs="Arial"/>
        </w:rPr>
        <w:t xml:space="preserve"> / year to Siret confluence, r. Vaslui 1 m / s (31.56 mil. m</w:t>
      </w:r>
      <w:r>
        <w:rPr>
          <w:rFonts w:cs="Arial"/>
          <w:vertAlign w:val="superscript"/>
        </w:rPr>
        <w:t>3</w:t>
      </w:r>
      <w:r>
        <w:rPr>
          <w:rFonts w:cs="Arial"/>
        </w:rPr>
        <w:t xml:space="preserve"> / year) r. Tutova 1 m / s (31.56 mil. m</w:t>
      </w:r>
      <w:r>
        <w:rPr>
          <w:rFonts w:cs="Arial"/>
          <w:vertAlign w:val="superscript"/>
        </w:rPr>
        <w:t>3</w:t>
      </w:r>
      <w:r>
        <w:rPr>
          <w:rFonts w:cs="Arial"/>
        </w:rPr>
        <w:t xml:space="preserve"> / year).</w:t>
      </w:r>
    </w:p>
    <w:p w:rsidR="006378A3" w:rsidRDefault="006378A3" w:rsidP="006378A3">
      <w:pPr>
        <w:jc w:val="both"/>
        <w:rPr>
          <w:rFonts w:cs="Arial"/>
        </w:rPr>
      </w:pPr>
      <w:r>
        <w:rPr>
          <w:rFonts w:cs="Arial"/>
        </w:rPr>
        <w:t xml:space="preserve">Of the total length of watercourses in the hydrographic Prut - Barlad river area, temporary  watercourses account about 80%. </w:t>
      </w:r>
    </w:p>
    <w:p w:rsidR="006378A3" w:rsidRDefault="006378A3" w:rsidP="006378A3">
      <w:pPr>
        <w:jc w:val="both"/>
        <w:rPr>
          <w:rFonts w:cs="Arial"/>
        </w:rPr>
      </w:pPr>
      <w:r>
        <w:rPr>
          <w:rFonts w:cs="Arial"/>
        </w:rPr>
        <w:t>In the Prut - Barlad river hydrographic area the usable groundwater resources are estimated at 251.4 mil. m</w:t>
      </w:r>
      <w:r>
        <w:rPr>
          <w:rFonts w:cs="Arial"/>
          <w:vertAlign w:val="superscript"/>
        </w:rPr>
        <w:t>3</w:t>
      </w:r>
      <w:r>
        <w:rPr>
          <w:rFonts w:cs="Arial"/>
        </w:rPr>
        <w:t xml:space="preserve"> (7.97 m/s) aut of which 34.7 mil. m</w:t>
      </w:r>
      <w:r>
        <w:rPr>
          <w:rFonts w:cs="Arial"/>
          <w:vertAlign w:val="superscript"/>
        </w:rPr>
        <w:t>3</w:t>
      </w:r>
      <w:r>
        <w:rPr>
          <w:rFonts w:cs="Arial"/>
        </w:rPr>
        <w:t xml:space="preserve"> (1.1 m/s) mil. are groundwater sources and 216.7 mil. m</w:t>
      </w:r>
      <w:r>
        <w:rPr>
          <w:rFonts w:cs="Arial"/>
          <w:vertAlign w:val="superscript"/>
        </w:rPr>
        <w:t>3</w:t>
      </w:r>
      <w:r>
        <w:rPr>
          <w:rFonts w:cs="Arial"/>
        </w:rPr>
        <w:t xml:space="preserve"> (6.87 m/s) are underground water.</w:t>
      </w:r>
    </w:p>
    <w:p w:rsidR="006378A3" w:rsidRDefault="006378A3" w:rsidP="006378A3">
      <w:pPr>
        <w:jc w:val="both"/>
        <w:rPr>
          <w:rFonts w:cs="Arial"/>
        </w:rPr>
      </w:pPr>
    </w:p>
    <w:p w:rsidR="006378A3" w:rsidRDefault="006378A3" w:rsidP="006378A3">
      <w:pPr>
        <w:jc w:val="both"/>
        <w:rPr>
          <w:rFonts w:cs="Arial"/>
          <w:b/>
          <w:u w:val="single"/>
        </w:rPr>
      </w:pPr>
      <w:r>
        <w:rPr>
          <w:rFonts w:cs="Arial"/>
          <w:b/>
          <w:u w:val="single"/>
        </w:rPr>
        <w:t>Categories of surface water</w:t>
      </w:r>
    </w:p>
    <w:p w:rsidR="006378A3" w:rsidRDefault="006378A3" w:rsidP="006378A3">
      <w:pPr>
        <w:jc w:val="both"/>
        <w:rPr>
          <w:rFonts w:cs="Arial"/>
        </w:rPr>
      </w:pPr>
      <w:r>
        <w:rPr>
          <w:rFonts w:cs="Arial"/>
        </w:rPr>
        <w:t>In the Prut - Barlad river area – were identified 417 rivers with surfaces greater than 10 km</w:t>
      </w:r>
      <w:r>
        <w:rPr>
          <w:rFonts w:cs="Arial"/>
          <w:vertAlign w:val="superscript"/>
        </w:rPr>
        <w:t>2</w:t>
      </w:r>
      <w:r>
        <w:rPr>
          <w:rFonts w:cs="Arial"/>
        </w:rPr>
        <w:t>, 7 natural lakes with surface greater than 0.5 km</w:t>
      </w:r>
      <w:r w:rsidRPr="0088539B">
        <w:rPr>
          <w:rFonts w:cs="Arial"/>
          <w:vertAlign w:val="superscript"/>
        </w:rPr>
        <w:t>2</w:t>
      </w:r>
      <w:r>
        <w:rPr>
          <w:rFonts w:cs="Arial"/>
        </w:rPr>
        <w:t>, one natural lake substantially modified ,72 lakes (reservoirs and a natural lake) with areas greater than 50 ha and 262 pools.</w:t>
      </w:r>
    </w:p>
    <w:p w:rsidR="006378A3" w:rsidRDefault="006378A3" w:rsidP="006378A3">
      <w:pPr>
        <w:jc w:val="both"/>
        <w:rPr>
          <w:rFonts w:cs="Arial"/>
          <w:b/>
          <w:i/>
        </w:rPr>
      </w:pPr>
    </w:p>
    <w:p w:rsidR="006378A3" w:rsidRDefault="006378A3" w:rsidP="006378A3">
      <w:pPr>
        <w:spacing w:line="276" w:lineRule="auto"/>
        <w:jc w:val="both"/>
        <w:rPr>
          <w:rFonts w:eastAsia="Calibri" w:cs="Arial"/>
          <w:b/>
          <w:lang w:val="en-US"/>
        </w:rPr>
      </w:pPr>
      <w:r>
        <w:rPr>
          <w:rFonts w:eastAsia="Calibri" w:cs="Arial"/>
          <w:b/>
          <w:lang w:val="en-US"/>
        </w:rPr>
        <w:t xml:space="preserve">Characterization of the ecological and chemical state of the waters in the </w:t>
      </w:r>
      <w:r>
        <w:rPr>
          <w:rFonts w:eastAsia="Calibri" w:cs="Arial"/>
          <w:b/>
        </w:rPr>
        <w:t>PRUT – BÂRLAD</w:t>
      </w:r>
      <w:r>
        <w:rPr>
          <w:rFonts w:eastAsia="Calibri" w:cs="Arial"/>
          <w:b/>
          <w:lang w:val="en-US"/>
        </w:rPr>
        <w:t xml:space="preserve"> basin</w:t>
      </w:r>
    </w:p>
    <w:p w:rsidR="006378A3" w:rsidRPr="0088539B" w:rsidRDefault="006378A3" w:rsidP="006378A3">
      <w:pPr>
        <w:tabs>
          <w:tab w:val="left" w:pos="0"/>
        </w:tabs>
        <w:spacing w:line="276" w:lineRule="auto"/>
        <w:jc w:val="both"/>
        <w:rPr>
          <w:rFonts w:eastAsia="Calibri" w:cs="Arial"/>
          <w:b/>
          <w:lang w:val="en-US"/>
        </w:rPr>
      </w:pPr>
      <w:r>
        <w:rPr>
          <w:rFonts w:eastAsia="Calibri" w:cs="Arial"/>
        </w:rPr>
        <w:t xml:space="preserve">In the Prut – Bârlad hydrographical area were analized and descripted from the ecological state/ potential point of view 322 water bodies (228 naturals and 94 heavily modified natural / artificial) out of which: 75 (32.89 %) water bodies are in good ecological status, 16 (17.02 %) </w:t>
      </w:r>
      <w:r>
        <w:rPr>
          <w:rFonts w:eastAsia="Calibri" w:cs="Arial"/>
        </w:rPr>
        <w:lastRenderedPageBreak/>
        <w:t>water bodies have a good ecological potential; the remaining 231 (71.73%) water bodies have a moderate ecological status or moderate ecological potential.</w:t>
      </w:r>
    </w:p>
    <w:p w:rsidR="006378A3" w:rsidRDefault="006378A3" w:rsidP="006378A3">
      <w:pPr>
        <w:spacing w:line="276" w:lineRule="auto"/>
        <w:jc w:val="both"/>
        <w:rPr>
          <w:rFonts w:eastAsia="Calibri" w:cs="Arial"/>
          <w:b/>
          <w:u w:val="single"/>
        </w:rPr>
      </w:pPr>
      <w:r>
        <w:rPr>
          <w:rFonts w:eastAsia="Calibri" w:cs="Arial"/>
          <w:lang w:val="en-US"/>
        </w:rPr>
        <w:t xml:space="preserve">Ecological state and potential of water bodies (rivers) relative to water bodies cathegory is presented below: </w:t>
      </w:r>
    </w:p>
    <w:p w:rsidR="006378A3" w:rsidRDefault="006378A3" w:rsidP="006378A3">
      <w:pPr>
        <w:numPr>
          <w:ilvl w:val="1"/>
          <w:numId w:val="109"/>
        </w:numPr>
        <w:spacing w:line="276" w:lineRule="auto"/>
        <w:jc w:val="both"/>
        <w:rPr>
          <w:rFonts w:eastAsia="Calibri" w:cs="Arial"/>
        </w:rPr>
      </w:pPr>
      <w:r>
        <w:rPr>
          <w:rFonts w:eastAsia="Calibri" w:cs="Arial"/>
        </w:rPr>
        <w:t>228 natural water bodies out of which 75 (32.89%) have a good ecological status and 153 (67,1%) have a moderate ecological status;</w:t>
      </w:r>
    </w:p>
    <w:p w:rsidR="006378A3" w:rsidRDefault="006378A3" w:rsidP="006378A3">
      <w:pPr>
        <w:numPr>
          <w:ilvl w:val="1"/>
          <w:numId w:val="109"/>
        </w:numPr>
        <w:spacing w:line="276" w:lineRule="auto"/>
        <w:jc w:val="both"/>
        <w:rPr>
          <w:rFonts w:eastAsia="Calibri" w:cs="Arial"/>
        </w:rPr>
      </w:pPr>
      <w:r>
        <w:rPr>
          <w:rFonts w:eastAsia="Calibri" w:cs="Arial"/>
        </w:rPr>
        <w:t>91 substantially modified water bodies out of which 17 (18.68%) have a good ecological potential, 51 (56,04%) have a moderate ecological potential and the evaluation for 23 (25.27%) substantially modified water bodies is unrelevant;</w:t>
      </w:r>
    </w:p>
    <w:p w:rsidR="006378A3" w:rsidRDefault="006378A3" w:rsidP="006378A3">
      <w:pPr>
        <w:numPr>
          <w:ilvl w:val="1"/>
          <w:numId w:val="109"/>
        </w:numPr>
        <w:spacing w:line="276" w:lineRule="auto"/>
        <w:jc w:val="both"/>
        <w:rPr>
          <w:rFonts w:eastAsia="Calibri" w:cs="Arial"/>
        </w:rPr>
      </w:pPr>
      <w:r>
        <w:rPr>
          <w:rFonts w:eastAsia="Calibri" w:cs="Arial"/>
        </w:rPr>
        <w:t>3 (100%) artificial water bodies have a moderate ecological potential</w:t>
      </w:r>
    </w:p>
    <w:p w:rsidR="006378A3" w:rsidRDefault="006378A3" w:rsidP="006378A3">
      <w:pPr>
        <w:spacing w:line="276" w:lineRule="auto"/>
        <w:ind w:left="1080"/>
        <w:rPr>
          <w:rFonts w:eastAsia="Calibri" w:cs="Arial"/>
        </w:rPr>
      </w:pPr>
    </w:p>
    <w:p w:rsidR="006378A3" w:rsidRPr="0088539B" w:rsidRDefault="006378A3" w:rsidP="006378A3">
      <w:pPr>
        <w:jc w:val="both"/>
        <w:rPr>
          <w:rFonts w:eastAsia="Calibri" w:cs="Arial"/>
        </w:rPr>
      </w:pPr>
      <w:r>
        <w:rPr>
          <w:rFonts w:cs="Arial"/>
          <w:b/>
          <w:i/>
        </w:rPr>
        <w:t>Siret hydrographical</w:t>
      </w:r>
      <w:r>
        <w:rPr>
          <w:rFonts w:cs="Arial"/>
        </w:rPr>
        <w:t xml:space="preserve"> </w:t>
      </w:r>
      <w:r>
        <w:rPr>
          <w:rFonts w:cs="Arial"/>
          <w:b/>
          <w:i/>
        </w:rPr>
        <w:t xml:space="preserve">river area </w:t>
      </w:r>
      <w:r>
        <w:rPr>
          <w:rFonts w:cs="Arial"/>
        </w:rPr>
        <w:t xml:space="preserve">is </w:t>
      </w:r>
      <w:r w:rsidRPr="0088539B">
        <w:rPr>
          <w:rFonts w:eastAsia="Calibri" w:cs="Arial"/>
        </w:rPr>
        <w:t xml:space="preserve">the east, north east of the country, bordered by the </w:t>
      </w:r>
      <w:r>
        <w:rPr>
          <w:rFonts w:eastAsia="Calibri" w:cs="Arial"/>
        </w:rPr>
        <w:t xml:space="preserve">Siret </w:t>
      </w:r>
      <w:r w:rsidRPr="0088539B">
        <w:rPr>
          <w:rFonts w:eastAsia="Calibri" w:cs="Arial"/>
        </w:rPr>
        <w:t xml:space="preserve">River, </w:t>
      </w:r>
      <w:r>
        <w:rPr>
          <w:rFonts w:eastAsia="Calibri" w:cs="Arial"/>
        </w:rPr>
        <w:t>adjointed</w:t>
      </w:r>
      <w:r w:rsidRPr="0088539B">
        <w:rPr>
          <w:rFonts w:eastAsia="Calibri" w:cs="Arial"/>
        </w:rPr>
        <w:t xml:space="preserve"> </w:t>
      </w:r>
      <w:r>
        <w:rPr>
          <w:rFonts w:eastAsia="Calibri" w:cs="Arial"/>
        </w:rPr>
        <w:t xml:space="preserve">by Somes - Tisa, Mures River river basins to west, by Ialomita - Buzau rivers to </w:t>
      </w:r>
      <w:r w:rsidRPr="0088539B">
        <w:rPr>
          <w:rFonts w:eastAsia="Calibri" w:cs="Arial"/>
        </w:rPr>
        <w:t xml:space="preserve">south and </w:t>
      </w:r>
      <w:r>
        <w:rPr>
          <w:rFonts w:eastAsia="Calibri" w:cs="Arial"/>
        </w:rPr>
        <w:t xml:space="preserve">by </w:t>
      </w:r>
      <w:r w:rsidRPr="0088539B">
        <w:rPr>
          <w:rFonts w:eastAsia="Calibri" w:cs="Arial"/>
        </w:rPr>
        <w:t>Prut basin to east ( Fig. 4.3).</w:t>
      </w:r>
    </w:p>
    <w:p w:rsidR="006378A3" w:rsidRDefault="006378A3" w:rsidP="006378A3">
      <w:pPr>
        <w:spacing w:line="276" w:lineRule="auto"/>
        <w:jc w:val="both"/>
        <w:rPr>
          <w:rFonts w:eastAsia="Calibri" w:cs="Arial"/>
          <w:b/>
          <w:u w:val="single"/>
        </w:rPr>
      </w:pPr>
    </w:p>
    <w:p w:rsidR="006378A3" w:rsidRDefault="006378A3" w:rsidP="006378A3">
      <w:pPr>
        <w:jc w:val="both"/>
        <w:rPr>
          <w:rFonts w:cs="Arial"/>
          <w:b/>
          <w:i/>
        </w:rPr>
      </w:pPr>
    </w:p>
    <w:p w:rsidR="006378A3" w:rsidRDefault="006378A3" w:rsidP="006378A3">
      <w:pPr>
        <w:jc w:val="both"/>
        <w:rPr>
          <w:rFonts w:cs="Arial"/>
        </w:rPr>
      </w:pPr>
      <w:r>
        <w:rPr>
          <w:rFonts w:cs="Arial"/>
          <w:b/>
          <w:i/>
        </w:rPr>
        <w:t>Siret River Basin</w:t>
      </w:r>
      <w:r>
        <w:rPr>
          <w:rFonts w:cs="Arial"/>
        </w:rPr>
        <w:t xml:space="preserve"> is located in the east - north - east of the country is the largest river basin in Romania Siret River with an annual average flow, spill, approx. 250 m / s and represent the largest river basin in Romania.</w:t>
      </w:r>
    </w:p>
    <w:p w:rsidR="006378A3" w:rsidRDefault="006378A3" w:rsidP="006378A3">
      <w:pPr>
        <w:jc w:val="both"/>
        <w:rPr>
          <w:rFonts w:cs="Arial"/>
        </w:rPr>
      </w:pPr>
      <w:r>
        <w:rPr>
          <w:rFonts w:cs="Arial"/>
        </w:rPr>
        <w:t>Siret River Basin has an area of ​​</w:t>
      </w:r>
      <w:r>
        <w:rPr>
          <w:rFonts w:eastAsia="Calibri" w:cs="Arial"/>
        </w:rPr>
        <w:t>44.811 km</w:t>
      </w:r>
      <w:r>
        <w:rPr>
          <w:rFonts w:eastAsia="Calibri" w:cs="Arial"/>
          <w:vertAlign w:val="superscript"/>
        </w:rPr>
        <w:t>2</w:t>
      </w:r>
      <w:r>
        <w:rPr>
          <w:rFonts w:eastAsia="Calibri" w:cs="Arial"/>
        </w:rPr>
        <w:t xml:space="preserve"> out of which 42.890 km</w:t>
      </w:r>
      <w:r>
        <w:rPr>
          <w:rFonts w:eastAsia="Calibri" w:cs="Arial"/>
          <w:vertAlign w:val="superscript"/>
        </w:rPr>
        <w:t>2</w:t>
      </w:r>
      <w:r>
        <w:rPr>
          <w:rFonts w:eastAsia="Calibri" w:cs="Arial"/>
        </w:rPr>
        <w:t xml:space="preserve"> in Romania</w:t>
      </w:r>
      <w:r>
        <w:rPr>
          <w:rFonts w:cs="Arial"/>
        </w:rPr>
        <w:t>.</w:t>
      </w:r>
    </w:p>
    <w:p w:rsidR="006378A3" w:rsidRDefault="006378A3" w:rsidP="006378A3">
      <w:pPr>
        <w:jc w:val="both"/>
        <w:rPr>
          <w:rFonts w:cs="Arial"/>
        </w:rPr>
      </w:pPr>
      <w:r>
        <w:rPr>
          <w:rFonts w:cs="Arial"/>
        </w:rPr>
        <w:t>From the administrative point of view , fully occupies the space Suceava river Siret , almost entirely Neamt, Bacau and Vrancea counties and part of Botosani, Iasi , Galati , Buzau, Covasna , Harghita, Bistrita Nasaud, Maramures .</w:t>
      </w:r>
    </w:p>
    <w:p w:rsidR="006378A3" w:rsidRDefault="006378A3" w:rsidP="006378A3">
      <w:pPr>
        <w:jc w:val="both"/>
        <w:rPr>
          <w:rFonts w:cs="Arial"/>
        </w:rPr>
      </w:pPr>
    </w:p>
    <w:p w:rsidR="006378A3" w:rsidRDefault="006378A3" w:rsidP="006378A3">
      <w:pPr>
        <w:jc w:val="both"/>
        <w:rPr>
          <w:rFonts w:cs="Arial"/>
          <w:b/>
          <w:u w:val="single"/>
        </w:rPr>
      </w:pPr>
      <w:r>
        <w:rPr>
          <w:rFonts w:cs="Arial"/>
          <w:b/>
          <w:u w:val="single"/>
        </w:rPr>
        <w:t>Hydrography</w:t>
      </w:r>
    </w:p>
    <w:p w:rsidR="006378A3" w:rsidRPr="0088539B" w:rsidRDefault="006378A3" w:rsidP="006378A3">
      <w:pPr>
        <w:jc w:val="both"/>
        <w:rPr>
          <w:rFonts w:cs="Arial"/>
        </w:rPr>
      </w:pPr>
      <w:r>
        <w:rPr>
          <w:rFonts w:cs="Arial"/>
        </w:rPr>
        <w:t>In Romania the t</w:t>
      </w:r>
      <w:r w:rsidRPr="0088539B">
        <w:rPr>
          <w:rFonts w:cs="Arial"/>
        </w:rPr>
        <w:t xml:space="preserve">otal surface of the </w:t>
      </w:r>
      <w:r>
        <w:rPr>
          <w:rFonts w:cs="Arial"/>
        </w:rPr>
        <w:t xml:space="preserve">Siret </w:t>
      </w:r>
      <w:r w:rsidRPr="0088539B">
        <w:rPr>
          <w:rFonts w:cs="Arial"/>
        </w:rPr>
        <w:t>river</w:t>
      </w:r>
      <w:r>
        <w:rPr>
          <w:rFonts w:cs="Arial"/>
        </w:rPr>
        <w:t xml:space="preserve"> hydrographical area</w:t>
      </w:r>
      <w:r w:rsidRPr="0088539B">
        <w:rPr>
          <w:rFonts w:cs="Arial"/>
        </w:rPr>
        <w:t xml:space="preserve"> is 28 116 km</w:t>
      </w:r>
      <w:r w:rsidRPr="0088539B">
        <w:rPr>
          <w:rFonts w:cs="Arial"/>
          <w:vertAlign w:val="superscript"/>
        </w:rPr>
        <w:t>2</w:t>
      </w:r>
      <w:r w:rsidRPr="0088539B">
        <w:rPr>
          <w:rFonts w:cs="Arial"/>
        </w:rPr>
        <w:t xml:space="preserve"> representing a share of 11.8% of the country</w:t>
      </w:r>
      <w:r>
        <w:rPr>
          <w:rFonts w:cs="Arial"/>
        </w:rPr>
        <w:t xml:space="preserve"> surface</w:t>
      </w:r>
      <w:r w:rsidRPr="0088539B">
        <w:rPr>
          <w:rFonts w:cs="Arial"/>
        </w:rPr>
        <w:t>. The hydrographical network comprises of 735 watercourses surveyors, with a total length of 10,280 km and an average density of 0.36 km / km</w:t>
      </w:r>
      <w:r w:rsidRPr="0088539B">
        <w:rPr>
          <w:rFonts w:cs="Arial"/>
          <w:vertAlign w:val="superscript"/>
        </w:rPr>
        <w:t>2</w:t>
      </w:r>
      <w:r w:rsidRPr="0088539B">
        <w:rPr>
          <w:rFonts w:cs="Arial"/>
        </w:rPr>
        <w:t xml:space="preserve">. In Romania, Siret river area includes part of the </w:t>
      </w:r>
      <w:r>
        <w:rPr>
          <w:rFonts w:cs="Arial"/>
        </w:rPr>
        <w:t xml:space="preserve">Siret </w:t>
      </w:r>
      <w:r w:rsidRPr="0088539B">
        <w:rPr>
          <w:rFonts w:cs="Arial"/>
        </w:rPr>
        <w:t>basin with a total of 735 rivers.</w:t>
      </w:r>
    </w:p>
    <w:p w:rsidR="006378A3" w:rsidRDefault="006378A3" w:rsidP="006378A3">
      <w:pPr>
        <w:jc w:val="center"/>
        <w:rPr>
          <w:rFonts w:cs="Arial"/>
        </w:rPr>
      </w:pPr>
      <w:r w:rsidRPr="002E01ED">
        <w:rPr>
          <w:rFonts w:eastAsia="Calibri" w:cs="Arial"/>
          <w:noProof/>
          <w:lang w:val="en-US" w:eastAsia="en-US"/>
        </w:rPr>
        <w:lastRenderedPageBreak/>
        <w:drawing>
          <wp:inline distT="0" distB="0" distL="0" distR="0" wp14:anchorId="4E9D0602" wp14:editId="78FC51B7">
            <wp:extent cx="4653886" cy="6250198"/>
            <wp:effectExtent l="0" t="0" r="0" b="0"/>
            <wp:docPr id="26" name="Imagine 26" descr="Si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re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52643" cy="6248528"/>
                    </a:xfrm>
                    <a:prstGeom prst="rect">
                      <a:avLst/>
                    </a:prstGeom>
                    <a:noFill/>
                    <a:ln>
                      <a:noFill/>
                    </a:ln>
                  </pic:spPr>
                </pic:pic>
              </a:graphicData>
            </a:graphic>
          </wp:inline>
        </w:drawing>
      </w:r>
    </w:p>
    <w:p w:rsidR="006378A3" w:rsidRDefault="006378A3" w:rsidP="006378A3">
      <w:pPr>
        <w:jc w:val="both"/>
        <w:rPr>
          <w:rFonts w:cs="Arial"/>
        </w:rPr>
      </w:pPr>
      <w:r>
        <w:rPr>
          <w:rFonts w:cs="Arial"/>
        </w:rPr>
        <w:t>Figure 4.3. - Siret River Bazine</w:t>
      </w:r>
    </w:p>
    <w:p w:rsidR="006378A3" w:rsidRDefault="006378A3" w:rsidP="006378A3">
      <w:pPr>
        <w:jc w:val="both"/>
        <w:rPr>
          <w:rFonts w:cs="Arial"/>
        </w:rPr>
      </w:pPr>
    </w:p>
    <w:p w:rsidR="006378A3" w:rsidRDefault="006378A3" w:rsidP="006378A3">
      <w:pPr>
        <w:spacing w:line="276" w:lineRule="auto"/>
        <w:jc w:val="both"/>
        <w:rPr>
          <w:rFonts w:eastAsia="Calibri" w:cs="Arial"/>
          <w:b/>
          <w:lang w:val="en-US"/>
        </w:rPr>
      </w:pPr>
      <w:r>
        <w:rPr>
          <w:rFonts w:eastAsia="Calibri" w:cs="Arial"/>
          <w:b/>
          <w:lang w:val="en-US"/>
        </w:rPr>
        <w:t xml:space="preserve">Characterization of the ecological and chemical state of the waters in the </w:t>
      </w:r>
      <w:r>
        <w:rPr>
          <w:rFonts w:eastAsia="Calibri" w:cs="Arial"/>
          <w:b/>
        </w:rPr>
        <w:t>SIRET</w:t>
      </w:r>
      <w:r>
        <w:rPr>
          <w:rFonts w:eastAsia="Calibri" w:cs="Arial"/>
          <w:b/>
          <w:lang w:val="en-US"/>
        </w:rPr>
        <w:t xml:space="preserve"> basin</w:t>
      </w:r>
    </w:p>
    <w:p w:rsidR="006378A3" w:rsidRDefault="006378A3" w:rsidP="006378A3">
      <w:pPr>
        <w:spacing w:line="276" w:lineRule="auto"/>
        <w:jc w:val="both"/>
        <w:rPr>
          <w:rFonts w:eastAsia="Calibri" w:cs="Arial"/>
          <w:b/>
          <w:u w:val="single"/>
        </w:rPr>
      </w:pPr>
      <w:r>
        <w:rPr>
          <w:rFonts w:eastAsia="Calibri" w:cs="Arial"/>
          <w:b/>
          <w:u w:val="single"/>
        </w:rPr>
        <w:t>Rivers</w:t>
      </w:r>
    </w:p>
    <w:p w:rsidR="006378A3" w:rsidRDefault="006378A3" w:rsidP="006378A3">
      <w:pPr>
        <w:tabs>
          <w:tab w:val="left" w:pos="0"/>
        </w:tabs>
        <w:spacing w:line="276" w:lineRule="auto"/>
        <w:jc w:val="both"/>
        <w:rPr>
          <w:rFonts w:eastAsia="Calibri" w:cs="Arial"/>
        </w:rPr>
      </w:pPr>
      <w:r>
        <w:rPr>
          <w:rFonts w:eastAsia="Calibri" w:cs="Arial"/>
        </w:rPr>
        <w:t xml:space="preserve">In the Siret hydrographical area were analized and descripted from the ecological state/ potential point of view 362 water bodies (333 naturals and 29 heavily modified natural / artificial) out of which: </w:t>
      </w:r>
    </w:p>
    <w:p w:rsidR="006378A3" w:rsidRDefault="006378A3" w:rsidP="006378A3">
      <w:pPr>
        <w:pStyle w:val="ListParagraph"/>
        <w:numPr>
          <w:ilvl w:val="0"/>
          <w:numId w:val="113"/>
        </w:numPr>
        <w:tabs>
          <w:tab w:val="left" w:pos="0"/>
        </w:tabs>
        <w:spacing w:line="276" w:lineRule="auto"/>
        <w:rPr>
          <w:rFonts w:eastAsia="Calibri" w:cs="Arial"/>
          <w:b/>
          <w:lang w:val="en-US"/>
        </w:rPr>
      </w:pPr>
      <w:r>
        <w:rPr>
          <w:rFonts w:eastAsia="Calibri" w:cs="Arial"/>
        </w:rPr>
        <w:t>230 water bodies (representing 69,06 % of natural water bodies and 63.5% of 362 water bodies) are in verry good and good ecological status and 17 water bodies (representing 58.62 % of heavily modified/ artificial water bodies and 4.7% of 362 water bodies) have a maximum and good ecological potential; the remaining 115 water bodies have a less than good ecological status/ potential.</w:t>
      </w:r>
    </w:p>
    <w:p w:rsidR="006378A3" w:rsidRDefault="006378A3" w:rsidP="006378A3">
      <w:pPr>
        <w:jc w:val="both"/>
        <w:rPr>
          <w:rFonts w:cs="Arial"/>
          <w:b/>
          <w:u w:val="single"/>
        </w:rPr>
      </w:pPr>
    </w:p>
    <w:p w:rsidR="006378A3" w:rsidRDefault="006378A3" w:rsidP="006378A3">
      <w:pPr>
        <w:jc w:val="both"/>
        <w:rPr>
          <w:rFonts w:cs="Arial"/>
          <w:b/>
          <w:u w:val="single"/>
        </w:rPr>
      </w:pPr>
    </w:p>
    <w:p w:rsidR="006378A3" w:rsidRDefault="006378A3" w:rsidP="006378A3">
      <w:pPr>
        <w:jc w:val="both"/>
        <w:rPr>
          <w:rFonts w:cs="Arial"/>
          <w:b/>
          <w:u w:val="single"/>
        </w:rPr>
      </w:pPr>
    </w:p>
    <w:p w:rsidR="006378A3" w:rsidRDefault="006378A3" w:rsidP="006378A3">
      <w:pPr>
        <w:jc w:val="both"/>
        <w:rPr>
          <w:rFonts w:cs="Arial"/>
          <w:b/>
          <w:u w:val="single"/>
        </w:rPr>
      </w:pPr>
    </w:p>
    <w:p w:rsidR="006378A3" w:rsidRDefault="006378A3" w:rsidP="006378A3">
      <w:pPr>
        <w:jc w:val="both"/>
        <w:rPr>
          <w:rFonts w:cs="Arial"/>
          <w:b/>
          <w:u w:val="single"/>
        </w:rPr>
      </w:pPr>
      <w:r>
        <w:rPr>
          <w:rFonts w:cs="Arial"/>
          <w:b/>
          <w:u w:val="single"/>
        </w:rPr>
        <w:lastRenderedPageBreak/>
        <w:t>Land use</w:t>
      </w:r>
    </w:p>
    <w:p w:rsidR="006378A3" w:rsidRDefault="006378A3" w:rsidP="006378A3">
      <w:pPr>
        <w:jc w:val="both"/>
        <w:rPr>
          <w:rFonts w:cs="Arial"/>
        </w:rPr>
      </w:pPr>
      <w:r>
        <w:rPr>
          <w:rFonts w:cs="Arial"/>
        </w:rPr>
        <w:t>Use of the land in the Siret River Basin is influenced by physical and geographical conditions existing as well as the main economic activities developed in this area and have the following distribution: 58,29% forests, 12.17% grasslands, 22,7 agriculture land, 0.59% water surface</w:t>
      </w:r>
    </w:p>
    <w:p w:rsidR="006378A3" w:rsidRDefault="006378A3" w:rsidP="006378A3">
      <w:pPr>
        <w:jc w:val="both"/>
        <w:rPr>
          <w:rFonts w:cs="Arial"/>
        </w:rPr>
      </w:pPr>
      <w:r>
        <w:rPr>
          <w:rFonts w:cs="Arial"/>
        </w:rPr>
        <w:t>The areas of forests and shrubs are predominant (58.29 %); compact areas are developed and expanded in areas with high relief. Miscellaneous perennial crops and agricultural areas (12.17 %) have a relatively uniform development throughout the basin area. The areas of arable land lie on the east side of the basin in the plateau and along the Siret river meadow at the rate of 22.7 %.</w:t>
      </w:r>
    </w:p>
    <w:p w:rsidR="006378A3" w:rsidRDefault="006378A3" w:rsidP="006378A3">
      <w:pPr>
        <w:jc w:val="both"/>
        <w:rPr>
          <w:rFonts w:cs="Arial"/>
        </w:rPr>
      </w:pPr>
    </w:p>
    <w:p w:rsidR="006378A3" w:rsidRDefault="006378A3" w:rsidP="006378A3">
      <w:pPr>
        <w:jc w:val="both"/>
        <w:rPr>
          <w:rFonts w:cs="Arial"/>
          <w:b/>
          <w:u w:val="single"/>
        </w:rPr>
      </w:pPr>
      <w:r>
        <w:rPr>
          <w:rFonts w:cs="Arial"/>
          <w:b/>
          <w:u w:val="single"/>
        </w:rPr>
        <w:t>Water resources</w:t>
      </w:r>
    </w:p>
    <w:p w:rsidR="006378A3" w:rsidRDefault="006378A3" w:rsidP="006378A3">
      <w:pPr>
        <w:jc w:val="both"/>
        <w:rPr>
          <w:rFonts w:cs="Arial"/>
        </w:rPr>
      </w:pPr>
      <w:r>
        <w:rPr>
          <w:rFonts w:cs="Arial"/>
        </w:rPr>
        <w:t>Total surface water resources of the Siret river area accounts approx. 6868 mil.m</w:t>
      </w:r>
      <w:r w:rsidRPr="0088539B">
        <w:rPr>
          <w:rFonts w:cs="Arial"/>
          <w:vertAlign w:val="superscript"/>
        </w:rPr>
        <w:t>3</w:t>
      </w:r>
      <w:r>
        <w:rPr>
          <w:rFonts w:cs="Arial"/>
        </w:rPr>
        <w:t>/year out of which usable resources are about 2655 mil.m</w:t>
      </w:r>
      <w:r w:rsidRPr="0088539B">
        <w:rPr>
          <w:rFonts w:cs="Arial"/>
          <w:vertAlign w:val="superscript"/>
        </w:rPr>
        <w:t>3</w:t>
      </w:r>
      <w:r>
        <w:rPr>
          <w:rFonts w:cs="Arial"/>
        </w:rPr>
        <w:t>/year. These are approx. 38.6% of total resources and are mainly formed by the rivers Siret, Moldova, Bistrita, Trotuş and their tributaries.</w:t>
      </w:r>
    </w:p>
    <w:p w:rsidR="006378A3" w:rsidRDefault="006378A3" w:rsidP="006378A3">
      <w:pPr>
        <w:jc w:val="both"/>
        <w:rPr>
          <w:rFonts w:cs="Arial"/>
        </w:rPr>
      </w:pPr>
      <w:r>
        <w:rPr>
          <w:rFonts w:cs="Arial"/>
        </w:rPr>
        <w:t>The Siret river area comprises 21 major reservoirs (with area less than 0.5 km</w:t>
      </w:r>
      <w:r w:rsidRPr="0088539B">
        <w:rPr>
          <w:rFonts w:cs="Arial"/>
          <w:vertAlign w:val="superscript"/>
        </w:rPr>
        <w:t>2</w:t>
      </w:r>
      <w:r>
        <w:rPr>
          <w:rFonts w:cs="Arial"/>
        </w:rPr>
        <w:t>), with complex usage and accounting a volume of 1206.121 mil.m</w:t>
      </w:r>
      <w:r w:rsidRPr="0088539B">
        <w:rPr>
          <w:rFonts w:cs="Arial"/>
          <w:vertAlign w:val="superscript"/>
        </w:rPr>
        <w:t>3</w:t>
      </w:r>
      <w:r>
        <w:rPr>
          <w:rFonts w:cs="Arial"/>
        </w:rPr>
        <w:t>.</w:t>
      </w:r>
    </w:p>
    <w:p w:rsidR="006378A3" w:rsidRDefault="006378A3" w:rsidP="006378A3">
      <w:pPr>
        <w:jc w:val="both"/>
        <w:rPr>
          <w:rFonts w:cs="Arial"/>
        </w:rPr>
      </w:pPr>
    </w:p>
    <w:p w:rsidR="006378A3" w:rsidRDefault="006378A3" w:rsidP="006378A3">
      <w:pPr>
        <w:jc w:val="both"/>
        <w:rPr>
          <w:rFonts w:cs="Arial"/>
        </w:rPr>
      </w:pPr>
      <w:r>
        <w:rPr>
          <w:rFonts w:cs="Arial"/>
        </w:rPr>
        <w:t>Relative to the basin population, specific usable resource is 1,025 m</w:t>
      </w:r>
      <w:r>
        <w:rPr>
          <w:rFonts w:cs="Arial"/>
          <w:vertAlign w:val="superscript"/>
        </w:rPr>
        <w:t>3</w:t>
      </w:r>
      <w:r>
        <w:rPr>
          <w:rFonts w:cs="Arial"/>
        </w:rPr>
        <w:t xml:space="preserve"> / person/ year and the specific resource determined as available theoretically stock (annual average) amounts 2.651 m</w:t>
      </w:r>
      <w:r>
        <w:rPr>
          <w:rFonts w:cs="Arial"/>
          <w:vertAlign w:val="superscript"/>
        </w:rPr>
        <w:t>3</w:t>
      </w:r>
      <w:r>
        <w:rPr>
          <w:rFonts w:cs="Arial"/>
        </w:rPr>
        <w:t xml:space="preserve"> / person / year. Water resources stationed in the Siret river area might be considered quantitative moderate and unevenly distributed in space and time.</w:t>
      </w:r>
    </w:p>
    <w:p w:rsidR="006378A3" w:rsidRDefault="006378A3" w:rsidP="006378A3">
      <w:pPr>
        <w:jc w:val="both"/>
        <w:rPr>
          <w:rFonts w:cs="Arial"/>
        </w:rPr>
      </w:pPr>
      <w:r>
        <w:rPr>
          <w:rFonts w:cs="Arial"/>
        </w:rPr>
        <w:t xml:space="preserve">The average multi-annual flow rates for major rivers in the hydrographical river area are: </w:t>
      </w:r>
    </w:p>
    <w:p w:rsidR="006378A3" w:rsidRDefault="006378A3" w:rsidP="006378A3">
      <w:pPr>
        <w:pStyle w:val="ListParagraph"/>
        <w:numPr>
          <w:ilvl w:val="0"/>
          <w:numId w:val="120"/>
        </w:numPr>
        <w:rPr>
          <w:rFonts w:cs="Arial"/>
        </w:rPr>
      </w:pPr>
      <w:r>
        <w:rPr>
          <w:rFonts w:cs="Arial"/>
        </w:rPr>
        <w:t>Siret River, at the country entering in Section Siret has an annual average flow of 13.0 m</w:t>
      </w:r>
      <w:r w:rsidRPr="0088539B">
        <w:rPr>
          <w:rFonts w:cs="Arial"/>
          <w:vertAlign w:val="superscript"/>
        </w:rPr>
        <w:t>3</w:t>
      </w:r>
      <w:r>
        <w:rPr>
          <w:rFonts w:cs="Arial"/>
        </w:rPr>
        <w:t>/s. Flows are increasing to downstream especially after major confluences. Thus, Lespezi (downstream of the Suceava confluence) is 36.5 m</w:t>
      </w:r>
      <w:r w:rsidRPr="0088539B">
        <w:rPr>
          <w:rFonts w:cs="Arial"/>
          <w:vertAlign w:val="superscript"/>
        </w:rPr>
        <w:t>3</w:t>
      </w:r>
      <w:r>
        <w:rPr>
          <w:rFonts w:cs="Arial"/>
        </w:rPr>
        <w:t>/s, Drăgeşti (downstream of the Moldova confluence) is 75.1 m</w:t>
      </w:r>
      <w:r w:rsidRPr="0088539B">
        <w:rPr>
          <w:rFonts w:cs="Arial"/>
          <w:vertAlign w:val="superscript"/>
        </w:rPr>
        <w:t>3</w:t>
      </w:r>
      <w:r>
        <w:rPr>
          <w:rFonts w:cs="Arial"/>
        </w:rPr>
        <w:t xml:space="preserve"> / s, Răcătău (downstream of Bistrita confuence) is 140 m</w:t>
      </w:r>
      <w:r w:rsidRPr="0088539B">
        <w:rPr>
          <w:rFonts w:cs="Arial"/>
          <w:vertAlign w:val="superscript"/>
        </w:rPr>
        <w:t>3</w:t>
      </w:r>
      <w:r>
        <w:rPr>
          <w:rFonts w:cs="Arial"/>
        </w:rPr>
        <w:t>/s and Lungoci (downstream of the confluence with Trotuş and Putna) - 210 m</w:t>
      </w:r>
      <w:r w:rsidRPr="0088539B">
        <w:rPr>
          <w:rFonts w:cs="Arial"/>
          <w:vertAlign w:val="superscript"/>
        </w:rPr>
        <w:t>3</w:t>
      </w:r>
      <w:r>
        <w:rPr>
          <w:rFonts w:cs="Arial"/>
        </w:rPr>
        <w:t>/s.</w:t>
      </w:r>
    </w:p>
    <w:p w:rsidR="006378A3" w:rsidRDefault="006378A3" w:rsidP="006378A3">
      <w:pPr>
        <w:pStyle w:val="ListParagraph"/>
        <w:numPr>
          <w:ilvl w:val="0"/>
          <w:numId w:val="120"/>
        </w:numPr>
        <w:rPr>
          <w:rFonts w:cs="Arial"/>
        </w:rPr>
      </w:pPr>
      <w:r>
        <w:rPr>
          <w:rFonts w:cs="Arial"/>
        </w:rPr>
        <w:t>Moldova River, drain water and sediments that grow lengthwise so that annual average flows (multi values) are: 3.75 m</w:t>
      </w:r>
      <w:r w:rsidRPr="0088539B">
        <w:rPr>
          <w:rFonts w:cs="Arial"/>
          <w:vertAlign w:val="superscript"/>
        </w:rPr>
        <w:t>3</w:t>
      </w:r>
      <w:r>
        <w:rPr>
          <w:rFonts w:cs="Arial"/>
        </w:rPr>
        <w:t>/s at Fundu Moldova, 7.56 m</w:t>
      </w:r>
      <w:r w:rsidRPr="0088539B">
        <w:rPr>
          <w:rFonts w:cs="Arial"/>
          <w:vertAlign w:val="superscript"/>
        </w:rPr>
        <w:t>3</w:t>
      </w:r>
      <w:r>
        <w:rPr>
          <w:rFonts w:cs="Arial"/>
        </w:rPr>
        <w:t>/s at Prisaca Dorna, 18.1 m</w:t>
      </w:r>
      <w:r w:rsidRPr="0088539B">
        <w:rPr>
          <w:rFonts w:cs="Arial"/>
          <w:vertAlign w:val="superscript"/>
        </w:rPr>
        <w:t>3</w:t>
      </w:r>
      <w:r>
        <w:rPr>
          <w:rFonts w:cs="Arial"/>
        </w:rPr>
        <w:t>/s at Gura Humorului, 35.5 m</w:t>
      </w:r>
      <w:r w:rsidRPr="0088539B">
        <w:rPr>
          <w:rFonts w:cs="Arial"/>
          <w:vertAlign w:val="superscript"/>
        </w:rPr>
        <w:t>3</w:t>
      </w:r>
      <w:r>
        <w:rPr>
          <w:rFonts w:cs="Arial"/>
        </w:rPr>
        <w:t>/s at Tupilati and the same value at Roman.</w:t>
      </w:r>
    </w:p>
    <w:p w:rsidR="006378A3" w:rsidRDefault="006378A3" w:rsidP="006378A3">
      <w:pPr>
        <w:pStyle w:val="ListParagraph"/>
        <w:numPr>
          <w:ilvl w:val="0"/>
          <w:numId w:val="120"/>
        </w:numPr>
        <w:rPr>
          <w:rFonts w:cs="Arial"/>
        </w:rPr>
      </w:pPr>
      <w:r>
        <w:rPr>
          <w:rFonts w:cs="Arial"/>
        </w:rPr>
        <w:t>Bistrita River, is the most important tributary of the Siret River Carpathian. Since its hydrigraphical area drains highest mountain establishments in the Eastern Carpathians, the drain water is rich. Annual average flow at the Bistriţa confluence with Siret is, 62.5 m</w:t>
      </w:r>
      <w:r w:rsidRPr="0088539B">
        <w:rPr>
          <w:rFonts w:cs="Arial"/>
          <w:vertAlign w:val="superscript"/>
        </w:rPr>
        <w:t>3</w:t>
      </w:r>
      <w:r>
        <w:rPr>
          <w:rFonts w:cs="Arial"/>
        </w:rPr>
        <w:t>/s.</w:t>
      </w:r>
    </w:p>
    <w:p w:rsidR="006378A3" w:rsidRDefault="006378A3" w:rsidP="006378A3">
      <w:pPr>
        <w:pStyle w:val="ListParagraph"/>
        <w:numPr>
          <w:ilvl w:val="0"/>
          <w:numId w:val="120"/>
        </w:numPr>
        <w:rPr>
          <w:rFonts w:cs="Arial"/>
        </w:rPr>
      </w:pPr>
      <w:r>
        <w:rPr>
          <w:rFonts w:cs="Arial"/>
        </w:rPr>
        <w:t>Trotuş River multiannual average flow are the following 0.773 m</w:t>
      </w:r>
      <w:r w:rsidRPr="0088539B">
        <w:rPr>
          <w:rFonts w:cs="Arial"/>
          <w:vertAlign w:val="superscript"/>
        </w:rPr>
        <w:t>3</w:t>
      </w:r>
      <w:r>
        <w:rPr>
          <w:rFonts w:cs="Arial"/>
        </w:rPr>
        <w:t>/s at Upper Meadow, 3.52 m</w:t>
      </w:r>
      <w:r w:rsidRPr="0088539B">
        <w:rPr>
          <w:rFonts w:cs="Arial"/>
          <w:vertAlign w:val="superscript"/>
        </w:rPr>
        <w:t>3</w:t>
      </w:r>
      <w:r>
        <w:rPr>
          <w:rFonts w:cs="Arial"/>
        </w:rPr>
        <w:t>/s at Ghimeş Faget, 6.38 m</w:t>
      </w:r>
      <w:r w:rsidRPr="0088539B">
        <w:rPr>
          <w:rFonts w:cs="Arial"/>
          <w:vertAlign w:val="superscript"/>
        </w:rPr>
        <w:t>3</w:t>
      </w:r>
      <w:r>
        <w:rPr>
          <w:rFonts w:cs="Arial"/>
        </w:rPr>
        <w:t>/s at Goioasa, 17.0 m</w:t>
      </w:r>
      <w:r w:rsidRPr="0088539B">
        <w:rPr>
          <w:rFonts w:cs="Arial"/>
          <w:vertAlign w:val="superscript"/>
        </w:rPr>
        <w:t>3</w:t>
      </w:r>
      <w:r>
        <w:rPr>
          <w:rFonts w:cs="Arial"/>
        </w:rPr>
        <w:t>/s at Tg. Ocna, 25.1 m</w:t>
      </w:r>
      <w:r w:rsidRPr="0088539B">
        <w:rPr>
          <w:rFonts w:cs="Arial"/>
          <w:vertAlign w:val="superscript"/>
        </w:rPr>
        <w:t>3</w:t>
      </w:r>
      <w:r>
        <w:rPr>
          <w:rFonts w:cs="Arial"/>
        </w:rPr>
        <w:t>/s at Onesti and 35.2 m</w:t>
      </w:r>
      <w:r w:rsidRPr="0088539B">
        <w:rPr>
          <w:rFonts w:cs="Arial"/>
          <w:vertAlign w:val="superscript"/>
        </w:rPr>
        <w:t>3</w:t>
      </w:r>
      <w:r>
        <w:rPr>
          <w:rFonts w:cs="Arial"/>
        </w:rPr>
        <w:t>/s at Vrancea.</w:t>
      </w:r>
    </w:p>
    <w:p w:rsidR="006378A3" w:rsidRDefault="006378A3" w:rsidP="006378A3">
      <w:pPr>
        <w:rPr>
          <w:rFonts w:cs="Arial"/>
        </w:rPr>
      </w:pPr>
      <w:r>
        <w:rPr>
          <w:rFonts w:cs="Arial"/>
        </w:rPr>
        <w:t>Of the total length of watercourses in the Siret river cadastral area, temporary watercourses areabout 5.3.%.</w:t>
      </w:r>
    </w:p>
    <w:p w:rsidR="006378A3" w:rsidRDefault="006378A3" w:rsidP="006378A3">
      <w:pPr>
        <w:rPr>
          <w:rFonts w:cs="Arial"/>
        </w:rPr>
      </w:pPr>
      <w:r>
        <w:rPr>
          <w:rFonts w:cs="Arial"/>
        </w:rPr>
        <w:t>Siret river hidrographical area the groundwater resources are estimated at 700 mil.m</w:t>
      </w:r>
      <w:r w:rsidRPr="0088539B">
        <w:rPr>
          <w:rFonts w:cs="Arial"/>
          <w:vertAlign w:val="superscript"/>
        </w:rPr>
        <w:t>3</w:t>
      </w:r>
      <w:r>
        <w:rPr>
          <w:rFonts w:cs="Arial"/>
        </w:rPr>
        <w:t xml:space="preserve"> (usable resource), of which 578 mil.m</w:t>
      </w:r>
      <w:r w:rsidRPr="0088539B">
        <w:rPr>
          <w:rFonts w:cs="Arial"/>
          <w:vertAlign w:val="superscript"/>
        </w:rPr>
        <w:t>3</w:t>
      </w:r>
      <w:r>
        <w:rPr>
          <w:rFonts w:cs="Arial"/>
        </w:rPr>
        <w:t xml:space="preserve"> are groundwater sources and 122 mil.m</w:t>
      </w:r>
      <w:r w:rsidRPr="0088539B">
        <w:rPr>
          <w:rFonts w:cs="Arial"/>
          <w:vertAlign w:val="superscript"/>
        </w:rPr>
        <w:t>3</w:t>
      </w:r>
      <w:r>
        <w:rPr>
          <w:rFonts w:cs="Arial"/>
        </w:rPr>
        <w:t xml:space="preserve"> are underground water.</w:t>
      </w:r>
    </w:p>
    <w:p w:rsidR="006378A3" w:rsidRDefault="006378A3" w:rsidP="006378A3">
      <w:pPr>
        <w:jc w:val="both"/>
        <w:rPr>
          <w:rFonts w:cs="Arial"/>
        </w:rPr>
      </w:pPr>
    </w:p>
    <w:p w:rsidR="006378A3" w:rsidRDefault="006378A3" w:rsidP="006378A3">
      <w:pPr>
        <w:jc w:val="both"/>
        <w:rPr>
          <w:rFonts w:cs="Arial"/>
          <w:b/>
          <w:u w:val="single"/>
        </w:rPr>
      </w:pPr>
      <w:r>
        <w:rPr>
          <w:rFonts w:cs="Arial"/>
          <w:b/>
          <w:u w:val="single"/>
        </w:rPr>
        <w:t>CHARACTERIZATION SURFACE WATER</w:t>
      </w:r>
    </w:p>
    <w:p w:rsidR="006378A3" w:rsidRDefault="006378A3" w:rsidP="006378A3">
      <w:pPr>
        <w:jc w:val="both"/>
        <w:rPr>
          <w:rFonts w:cs="Arial"/>
        </w:rPr>
      </w:pPr>
      <w:r>
        <w:rPr>
          <w:rFonts w:cs="Arial"/>
        </w:rPr>
        <w:t>Siret river, are identified 695 rivers with areas greater than 10 km</w:t>
      </w:r>
      <w:r>
        <w:rPr>
          <w:rFonts w:cs="Arial"/>
          <w:vertAlign w:val="superscript"/>
        </w:rPr>
        <w:t>2</w:t>
      </w:r>
      <w:r>
        <w:rPr>
          <w:rFonts w:cs="Arial"/>
        </w:rPr>
        <w:t xml:space="preserve"> and 21 lakes with areas greater than 50 ha.</w:t>
      </w:r>
    </w:p>
    <w:p w:rsidR="006378A3" w:rsidRDefault="006378A3" w:rsidP="006378A3">
      <w:pPr>
        <w:jc w:val="both"/>
        <w:rPr>
          <w:rFonts w:cs="Arial"/>
          <w:b/>
          <w:u w:val="single"/>
        </w:rPr>
      </w:pPr>
      <w:r>
        <w:rPr>
          <w:rFonts w:cs="Arial"/>
          <w:b/>
          <w:u w:val="single"/>
        </w:rPr>
        <w:t>Rivers</w:t>
      </w:r>
    </w:p>
    <w:p w:rsidR="006378A3" w:rsidRDefault="006378A3" w:rsidP="006378A3">
      <w:pPr>
        <w:jc w:val="both"/>
        <w:rPr>
          <w:rFonts w:cs="Arial"/>
        </w:rPr>
      </w:pPr>
      <w:r>
        <w:rPr>
          <w:rFonts w:cs="Arial"/>
          <w:b/>
          <w:i/>
        </w:rPr>
        <w:t>Siret River</w:t>
      </w:r>
      <w:r>
        <w:rPr>
          <w:rFonts w:cs="Arial"/>
        </w:rPr>
        <w:t>, which forms part of the Border Rivers, springs from the Carpathian Mountains Wooded after entering the territory of Romania collects tributaries that descend from the eastern slopes of the Carpathians.</w:t>
      </w:r>
    </w:p>
    <w:p w:rsidR="006378A3" w:rsidRDefault="006378A3" w:rsidP="006378A3">
      <w:pPr>
        <w:jc w:val="both"/>
        <w:rPr>
          <w:rFonts w:cs="Arial"/>
        </w:rPr>
      </w:pPr>
      <w:r>
        <w:rPr>
          <w:rFonts w:cs="Arial"/>
        </w:rPr>
        <w:t xml:space="preserve">Siret has a total length of 647 km from its source under Obcina Lungru and flows into the Danube near Galati (at Şendreni). </w:t>
      </w:r>
    </w:p>
    <w:p w:rsidR="006378A3" w:rsidRDefault="006378A3" w:rsidP="006378A3">
      <w:pPr>
        <w:jc w:val="both"/>
        <w:rPr>
          <w:rFonts w:cs="Arial"/>
        </w:rPr>
      </w:pPr>
      <w:r>
        <w:rPr>
          <w:rFonts w:cs="Arial"/>
          <w:b/>
          <w:i/>
        </w:rPr>
        <w:lastRenderedPageBreak/>
        <w:t>Suceava River</w:t>
      </w:r>
      <w:r>
        <w:rPr>
          <w:rFonts w:cs="Arial"/>
        </w:rPr>
        <w:t xml:space="preserve"> - flows from the mountains Bucovina (Suceava County) and flows into the river near the village Liteni Siret (Suceava County), having a length of 173 km. Suceava River Basin has an area (in Romania) of 2298 km</w:t>
      </w:r>
      <w:r>
        <w:rPr>
          <w:rFonts w:cs="Arial"/>
          <w:vertAlign w:val="superscript"/>
        </w:rPr>
        <w:t>2</w:t>
      </w:r>
      <w:r>
        <w:rPr>
          <w:rFonts w:cs="Arial"/>
        </w:rPr>
        <w:t xml:space="preserve"> and contains a no. 72 encoded streams. The main tributaries of the river Suceava are: Putna , Pozen , Suceviţa , Şomuz , Solca , Hora , Soloneţ Hătnuţa , Dragomirna .</w:t>
      </w:r>
    </w:p>
    <w:p w:rsidR="006378A3" w:rsidRDefault="006378A3" w:rsidP="006378A3">
      <w:pPr>
        <w:jc w:val="both"/>
        <w:rPr>
          <w:rFonts w:cs="Arial"/>
        </w:rPr>
      </w:pPr>
      <w:r>
        <w:rPr>
          <w:rFonts w:cs="Arial"/>
          <w:b/>
          <w:i/>
        </w:rPr>
        <w:t>River Moldova</w:t>
      </w:r>
      <w:r>
        <w:rPr>
          <w:rFonts w:cs="Arial"/>
        </w:rPr>
        <w:t xml:space="preserve"> - Moldova River has a length of 213 km and an area of 4299 km</w:t>
      </w:r>
      <w:r>
        <w:rPr>
          <w:rFonts w:cs="Arial"/>
          <w:vertAlign w:val="superscript"/>
        </w:rPr>
        <w:t>2</w:t>
      </w:r>
      <w:r>
        <w:rPr>
          <w:rFonts w:cs="Arial"/>
        </w:rPr>
        <w:t>, with an average altitude of 674 m. It rises in the northern tip of Obcina Lucina - Mestăcaniş at an altitude of 1116 m. And flows into Siret river downstream from the Roman (Neamt county), having a length of 213 km and an area of ​​4299 km</w:t>
      </w:r>
      <w:r>
        <w:rPr>
          <w:rFonts w:cs="Arial"/>
          <w:vertAlign w:val="superscript"/>
        </w:rPr>
        <w:t>2</w:t>
      </w:r>
      <w:r>
        <w:rPr>
          <w:rFonts w:cs="Arial"/>
        </w:rPr>
        <w:t>.</w:t>
      </w:r>
    </w:p>
    <w:p w:rsidR="006378A3" w:rsidRDefault="006378A3" w:rsidP="006378A3">
      <w:pPr>
        <w:jc w:val="both"/>
        <w:rPr>
          <w:rFonts w:cs="Arial"/>
        </w:rPr>
      </w:pPr>
      <w:r>
        <w:rPr>
          <w:rFonts w:cs="Arial"/>
        </w:rPr>
        <w:t>The main tributaries of the river Moldova are: Sadova, Moldova, Suha, Humor, Suha Mica, Suha Mare, Rasca, Neamt, Nemţişor, and Topliţa.</w:t>
      </w:r>
    </w:p>
    <w:p w:rsidR="006378A3" w:rsidRDefault="006378A3" w:rsidP="006378A3">
      <w:pPr>
        <w:jc w:val="both"/>
        <w:rPr>
          <w:rFonts w:cs="Arial"/>
        </w:rPr>
      </w:pPr>
      <w:r>
        <w:rPr>
          <w:rFonts w:cs="Arial"/>
          <w:b/>
          <w:i/>
        </w:rPr>
        <w:t>Bistrita River</w:t>
      </w:r>
      <w:r>
        <w:rPr>
          <w:rFonts w:cs="Arial"/>
        </w:rPr>
        <w:t xml:space="preserve"> - flows from Rodnei Mountain (Suceava County) and flows into river Siret downstream of the municipality Bacau. It is the largest tributary of Siren River and has a length of 283 km and collects water from a hydrographic network encoded with a no. 193 watercourse. Bistrita river basin covers an area of ​​7039 km</w:t>
      </w:r>
      <w:r>
        <w:rPr>
          <w:rFonts w:cs="Arial"/>
          <w:vertAlign w:val="superscript"/>
        </w:rPr>
        <w:t>2</w:t>
      </w:r>
      <w:r>
        <w:rPr>
          <w:rFonts w:cs="Arial"/>
        </w:rPr>
        <w:t>.</w:t>
      </w:r>
    </w:p>
    <w:p w:rsidR="006378A3" w:rsidRDefault="006378A3" w:rsidP="006378A3">
      <w:pPr>
        <w:jc w:val="both"/>
        <w:rPr>
          <w:rFonts w:cs="Arial"/>
        </w:rPr>
      </w:pPr>
      <w:r>
        <w:rPr>
          <w:rFonts w:cs="Arial"/>
        </w:rPr>
        <w:t>The main tributaries of the river Bistrita are: Dorna , Black , Borca , Sabasa , Bistricioara, Putna, Bicaz, Damuc , Tarcău , Cracău , Romanian , Trebes.</w:t>
      </w:r>
    </w:p>
    <w:p w:rsidR="006378A3" w:rsidRDefault="006378A3" w:rsidP="006378A3">
      <w:pPr>
        <w:jc w:val="both"/>
        <w:rPr>
          <w:rFonts w:cs="Arial"/>
          <w:b/>
        </w:rPr>
      </w:pPr>
      <w:r>
        <w:rPr>
          <w:rFonts w:cs="Arial"/>
          <w:b/>
          <w:i/>
        </w:rPr>
        <w:t>Trotuş River</w:t>
      </w:r>
      <w:r>
        <w:rPr>
          <w:rFonts w:cs="Arial"/>
          <w:b/>
        </w:rPr>
        <w:t xml:space="preserve"> - </w:t>
      </w:r>
      <w:r>
        <w:rPr>
          <w:rFonts w:cs="Arial"/>
        </w:rPr>
        <w:t>flows from the mountains Ciuc (Harghita County) and flows into the Siret River downstream from the city of Adjud (Vrancea). It has a length of 162 km and an area of 4456 km</w:t>
      </w:r>
      <w:r>
        <w:rPr>
          <w:rFonts w:cs="Arial"/>
          <w:vertAlign w:val="superscript"/>
        </w:rPr>
        <w:t>2</w:t>
      </w:r>
      <w:r>
        <w:rPr>
          <w:rFonts w:cs="Arial"/>
        </w:rPr>
        <w:t>. Among the major tributaries of Trotuş are: Slanicului OITUZ , Caşinul , Tazlăul .</w:t>
      </w:r>
    </w:p>
    <w:p w:rsidR="006378A3" w:rsidRDefault="006378A3" w:rsidP="006378A3">
      <w:pPr>
        <w:jc w:val="both"/>
        <w:rPr>
          <w:rFonts w:cs="Arial"/>
        </w:rPr>
      </w:pPr>
      <w:r>
        <w:rPr>
          <w:rFonts w:cs="Arial"/>
          <w:b/>
          <w:i/>
        </w:rPr>
        <w:t>Putna River</w:t>
      </w:r>
      <w:r>
        <w:rPr>
          <w:rFonts w:cs="Arial"/>
        </w:rPr>
        <w:t xml:space="preserve"> - flows from Vrancea Mountains and flows into the Siret River in Vrancea County. It has a length of 153 km and a catchment area of ​​2480 km</w:t>
      </w:r>
      <w:r>
        <w:rPr>
          <w:rFonts w:cs="Arial"/>
          <w:vertAlign w:val="superscript"/>
        </w:rPr>
        <w:t>2</w:t>
      </w:r>
      <w:r>
        <w:rPr>
          <w:rFonts w:cs="Arial"/>
        </w:rPr>
        <w:t>. The hydrographic network includes a no. Of 62 encoded streams. Of these the most important are: Zabala, Sturza, Milcov, Ramna, and Naruja</w:t>
      </w:r>
    </w:p>
    <w:p w:rsidR="006378A3" w:rsidRDefault="006378A3" w:rsidP="006378A3">
      <w:pPr>
        <w:jc w:val="both"/>
        <w:rPr>
          <w:rFonts w:cs="Arial"/>
        </w:rPr>
      </w:pPr>
      <w:r>
        <w:rPr>
          <w:rFonts w:cs="Arial"/>
          <w:b/>
          <w:i/>
        </w:rPr>
        <w:t>Ramnicu Sarat River</w:t>
      </w:r>
      <w:r>
        <w:rPr>
          <w:rFonts w:cs="Arial"/>
        </w:rPr>
        <w:t xml:space="preserve"> - stems from Subcarpaţii Curve (Buzau County) and flows into the river Siret in the Maicanesti - Nămoloasa (Vrancea County). It has a length of 137 km and a catchment area of ​​1063 km</w:t>
      </w:r>
      <w:r>
        <w:rPr>
          <w:rFonts w:cs="Arial"/>
          <w:vertAlign w:val="superscript"/>
        </w:rPr>
        <w:t>2</w:t>
      </w:r>
      <w:r>
        <w:rPr>
          <w:rFonts w:cs="Arial"/>
        </w:rPr>
        <w:t>. The hydrographic network has a total of 16 streams encoded. The main tributaries of the river are: Greaban; Contact; Virago; Sliming.</w:t>
      </w:r>
    </w:p>
    <w:p w:rsidR="006378A3" w:rsidRDefault="006378A3" w:rsidP="006378A3">
      <w:pPr>
        <w:jc w:val="both"/>
        <w:rPr>
          <w:rFonts w:cs="Arial"/>
          <w:b/>
          <w:u w:val="single"/>
        </w:rPr>
      </w:pPr>
    </w:p>
    <w:p w:rsidR="006378A3" w:rsidRDefault="006378A3" w:rsidP="006378A3">
      <w:pPr>
        <w:jc w:val="both"/>
        <w:rPr>
          <w:rFonts w:cs="Arial"/>
          <w:b/>
          <w:u w:val="single"/>
        </w:rPr>
      </w:pPr>
      <w:r>
        <w:rPr>
          <w:rFonts w:cs="Arial"/>
          <w:b/>
          <w:u w:val="single"/>
        </w:rPr>
        <w:t>Natural Lake</w:t>
      </w:r>
    </w:p>
    <w:p w:rsidR="006378A3" w:rsidRDefault="006378A3" w:rsidP="006378A3">
      <w:pPr>
        <w:jc w:val="both"/>
        <w:rPr>
          <w:rFonts w:cs="Arial"/>
        </w:rPr>
      </w:pPr>
      <w:r>
        <w:rPr>
          <w:rFonts w:cs="Arial"/>
        </w:rPr>
        <w:t>In Siret river hydrographical area there are no natural lakes with a surface less than 0.5 km</w:t>
      </w:r>
      <w:r>
        <w:rPr>
          <w:rFonts w:cs="Arial"/>
          <w:vertAlign w:val="superscript"/>
        </w:rPr>
        <w:t>2</w:t>
      </w:r>
      <w:r>
        <w:rPr>
          <w:rFonts w:cs="Arial"/>
        </w:rPr>
        <w:t xml:space="preserve">. </w:t>
      </w:r>
    </w:p>
    <w:p w:rsidR="006378A3" w:rsidRPr="0088539B" w:rsidRDefault="006378A3" w:rsidP="006378A3">
      <w:pPr>
        <w:jc w:val="both"/>
        <w:rPr>
          <w:rFonts w:cs="Arial"/>
        </w:rPr>
      </w:pPr>
      <w:r w:rsidRPr="0088539B">
        <w:rPr>
          <w:rFonts w:cs="Arial"/>
        </w:rPr>
        <w:t>Dobrogea</w:t>
      </w:r>
      <w:r>
        <w:rPr>
          <w:rFonts w:cs="Arial"/>
        </w:rPr>
        <w:t xml:space="preserve"> hydrographical area</w:t>
      </w:r>
      <w:r w:rsidRPr="0088539B">
        <w:rPr>
          <w:rFonts w:cs="Arial"/>
        </w:rPr>
        <w:t>, Danube Delta and coastal waters</w:t>
      </w:r>
      <w:r>
        <w:rPr>
          <w:rFonts w:cs="Arial"/>
        </w:rPr>
        <w:t xml:space="preserve"> area</w:t>
      </w:r>
      <w:r w:rsidRPr="0088539B">
        <w:rPr>
          <w:rFonts w:cs="Arial"/>
        </w:rPr>
        <w:t xml:space="preserve"> are located in the south-east of the country, being bounded as follows:</w:t>
      </w:r>
    </w:p>
    <w:p w:rsidR="006378A3" w:rsidRPr="0088539B" w:rsidRDefault="006378A3" w:rsidP="006378A3">
      <w:pPr>
        <w:pStyle w:val="ListParagraph"/>
        <w:numPr>
          <w:ilvl w:val="0"/>
          <w:numId w:val="121"/>
        </w:numPr>
        <w:rPr>
          <w:rFonts w:cs="Arial"/>
        </w:rPr>
      </w:pPr>
      <w:r w:rsidRPr="0088539B">
        <w:rPr>
          <w:rFonts w:cs="Arial"/>
        </w:rPr>
        <w:t>Dobrogea Basin Area: north and north - east of the Danube Delta, east of the Black Sea coastal waters, south of the border with Bulgaria, and west of the Danube River;</w:t>
      </w:r>
    </w:p>
    <w:p w:rsidR="006378A3" w:rsidRPr="0088539B" w:rsidRDefault="006378A3" w:rsidP="006378A3">
      <w:pPr>
        <w:pStyle w:val="ListParagraph"/>
        <w:numPr>
          <w:ilvl w:val="0"/>
          <w:numId w:val="121"/>
        </w:numPr>
        <w:rPr>
          <w:rFonts w:cs="Arial"/>
        </w:rPr>
      </w:pPr>
      <w:r w:rsidRPr="0088539B">
        <w:rPr>
          <w:rFonts w:cs="Arial"/>
        </w:rPr>
        <w:t>Delta: north of the border with Ukraine, the Black Sea to the east, south and west of Dobrogea River Area;</w:t>
      </w:r>
    </w:p>
    <w:p w:rsidR="006378A3" w:rsidRPr="0088539B" w:rsidRDefault="006378A3" w:rsidP="006378A3">
      <w:pPr>
        <w:pStyle w:val="ListParagraph"/>
        <w:numPr>
          <w:ilvl w:val="0"/>
          <w:numId w:val="121"/>
        </w:numPr>
        <w:rPr>
          <w:rFonts w:cs="Arial"/>
        </w:rPr>
      </w:pPr>
      <w:r w:rsidRPr="0088539B">
        <w:rPr>
          <w:rFonts w:cs="Arial"/>
        </w:rPr>
        <w:t>Coastal Waters: north of the border with Ukraine, east of the Black Sea, south of the border with Bulgaria and west of Dobrogea and the Danube Delta Basin Area.</w:t>
      </w:r>
    </w:p>
    <w:p w:rsidR="006378A3" w:rsidRPr="0088539B" w:rsidRDefault="006378A3" w:rsidP="006378A3">
      <w:pPr>
        <w:jc w:val="both"/>
        <w:rPr>
          <w:rFonts w:cs="Arial"/>
        </w:rPr>
      </w:pPr>
      <w:r w:rsidRPr="0088539B">
        <w:rPr>
          <w:rFonts w:cs="Arial"/>
        </w:rPr>
        <w:t>From the administrative point of view, Dobrogea and the Danube Delta Basin Area comprising the territories of two districts, namely: Constanta and Tulcea.</w:t>
      </w:r>
    </w:p>
    <w:p w:rsidR="006378A3" w:rsidRPr="0088539B" w:rsidRDefault="006378A3" w:rsidP="006378A3">
      <w:pPr>
        <w:jc w:val="both"/>
        <w:rPr>
          <w:rFonts w:cs="Arial"/>
        </w:rPr>
      </w:pPr>
      <w:r w:rsidRPr="0088539B">
        <w:rPr>
          <w:rFonts w:cs="Arial"/>
        </w:rPr>
        <w:t xml:space="preserve">Romanian Black Sea coastal waters are represented by surface water lying between dry and distance of 1 nautical mile to the nearest point of the baseline (baseline is defined by nine points in the territorial sea of </w:t>
      </w:r>
      <w:r w:rsidRPr="0088539B">
        <w:rPr>
          <w:rFonts w:ascii="Cambria Math" w:hAnsi="Cambria Math" w:cs="Cambria Math"/>
        </w:rPr>
        <w:t>​​</w:t>
      </w:r>
      <w:r w:rsidRPr="0088539B">
        <w:rPr>
          <w:rFonts w:cs="Arial"/>
        </w:rPr>
        <w:t>Romania, as specified in Law no. 17/1990 as amended and supplemented), being located between Chile and Vama Veche.</w:t>
      </w:r>
    </w:p>
    <w:p w:rsidR="006378A3" w:rsidRDefault="006378A3" w:rsidP="006378A3">
      <w:pPr>
        <w:jc w:val="both"/>
        <w:rPr>
          <w:rFonts w:cs="Arial"/>
        </w:rPr>
      </w:pPr>
      <w:r>
        <w:rPr>
          <w:rFonts w:cs="Arial"/>
          <w:b/>
          <w:i/>
        </w:rPr>
        <w:t>Danube river basin</w:t>
      </w:r>
      <w:r>
        <w:rPr>
          <w:rFonts w:cs="Arial"/>
        </w:rPr>
        <w:t xml:space="preserve"> covers about 10% of the continent. By length of 2780 km, catchment area of over 801,463 km</w:t>
      </w:r>
      <w:r>
        <w:rPr>
          <w:rFonts w:cs="Arial"/>
          <w:vertAlign w:val="superscript"/>
        </w:rPr>
        <w:t>2</w:t>
      </w:r>
      <w:r>
        <w:rPr>
          <w:rFonts w:cs="Arial"/>
        </w:rPr>
        <w:t xml:space="preserve"> and annual average flow of about 6,500 m</w:t>
      </w:r>
      <w:r>
        <w:rPr>
          <w:rFonts w:cs="Arial"/>
          <w:vertAlign w:val="superscript"/>
        </w:rPr>
        <w:t>3</w:t>
      </w:r>
      <w:r>
        <w:rPr>
          <w:rFonts w:cs="Arial"/>
        </w:rPr>
        <w:t xml:space="preserve"> / s, the Danube, after the Volga, is the second longest river in Europe. 97.4 % of Romania is located in the Danube river basin, which is 29 % of the Danube basin, the country with the largest area in the Danube basin. Also 37.7 % of the Danube's length flows on Romanian territory. Due to physic - geographical distribution and character of the hydrological regime, the Danube is divided into three sections: the upper Danube (source - Vienna), Middle Danube (Vienna - Iron Gates) and </w:t>
      </w:r>
      <w:r>
        <w:rPr>
          <w:rFonts w:cs="Arial"/>
        </w:rPr>
        <w:lastRenderedPageBreak/>
        <w:t>Lower Danube (Iron Gate - Black Sea). Below the lower Danube forms the border between Romania and Serbia state and Bulgaria.</w:t>
      </w:r>
    </w:p>
    <w:p w:rsidR="006378A3" w:rsidRDefault="006378A3" w:rsidP="006378A3">
      <w:pPr>
        <w:jc w:val="both"/>
        <w:rPr>
          <w:rFonts w:cs="Arial"/>
        </w:rPr>
      </w:pPr>
      <w:r w:rsidRPr="002E01ED">
        <w:rPr>
          <w:rFonts w:eastAsia="Calibri" w:cs="Arial"/>
          <w:noProof/>
          <w:lang w:val="en-US" w:eastAsia="en-US"/>
        </w:rPr>
        <w:drawing>
          <wp:inline distT="0" distB="0" distL="0" distR="0" wp14:anchorId="1951420C" wp14:editId="5D5F7C02">
            <wp:extent cx="5605145" cy="3942715"/>
            <wp:effectExtent l="0" t="0" r="0" b="635"/>
            <wp:docPr id="13" name="Imagine 13" descr="Tul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ulce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5145" cy="3942715"/>
                    </a:xfrm>
                    <a:prstGeom prst="rect">
                      <a:avLst/>
                    </a:prstGeom>
                    <a:noFill/>
                    <a:ln>
                      <a:noFill/>
                    </a:ln>
                  </pic:spPr>
                </pic:pic>
              </a:graphicData>
            </a:graphic>
          </wp:inline>
        </w:drawing>
      </w:r>
    </w:p>
    <w:p w:rsidR="006378A3" w:rsidRDefault="006378A3" w:rsidP="006378A3">
      <w:pPr>
        <w:jc w:val="center"/>
        <w:rPr>
          <w:rFonts w:cs="Arial"/>
        </w:rPr>
      </w:pPr>
      <w:r>
        <w:rPr>
          <w:rFonts w:cs="Arial"/>
        </w:rPr>
        <w:t>Figure 4.4. – Danube River, Danube Delta, Dobrogea hydrographical area and Coasta Waters</w:t>
      </w:r>
    </w:p>
    <w:p w:rsidR="006378A3" w:rsidRDefault="006378A3" w:rsidP="006378A3">
      <w:pPr>
        <w:jc w:val="center"/>
        <w:rPr>
          <w:rFonts w:cs="Arial"/>
        </w:rPr>
      </w:pPr>
    </w:p>
    <w:p w:rsidR="006378A3" w:rsidRDefault="006378A3" w:rsidP="006378A3">
      <w:pPr>
        <w:jc w:val="both"/>
        <w:rPr>
          <w:rFonts w:cs="Arial"/>
        </w:rPr>
      </w:pPr>
      <w:r>
        <w:rPr>
          <w:rFonts w:cs="Arial"/>
        </w:rPr>
        <w:t>Important tributaries of the Danube are represented by the rivers: Timoc, Lom, Ogosta, Iscar, Vit, Osam and Iantra on the right and Jiu, Olt, Arges Vedea, Ialomita, Siret and Prut, on the left. Danube’s water resources in Baziaş section are 175.6 billion m</w:t>
      </w:r>
      <w:r>
        <w:rPr>
          <w:rFonts w:cs="Arial"/>
          <w:vertAlign w:val="superscript"/>
        </w:rPr>
        <w:t>3</w:t>
      </w:r>
      <w:r>
        <w:rPr>
          <w:rFonts w:cs="Arial"/>
        </w:rPr>
        <w:t xml:space="preserve"> of which 30 billion m</w:t>
      </w:r>
      <w:r>
        <w:rPr>
          <w:rFonts w:cs="Arial"/>
          <w:vertAlign w:val="superscript"/>
        </w:rPr>
        <w:t>3</w:t>
      </w:r>
      <w:r>
        <w:rPr>
          <w:rFonts w:cs="Arial"/>
        </w:rPr>
        <w:t xml:space="preserve"> is technically usable resources.</w:t>
      </w:r>
    </w:p>
    <w:p w:rsidR="006378A3" w:rsidRDefault="006378A3" w:rsidP="006378A3">
      <w:pPr>
        <w:jc w:val="both"/>
        <w:rPr>
          <w:rFonts w:cs="Arial"/>
        </w:rPr>
      </w:pPr>
    </w:p>
    <w:p w:rsidR="006378A3" w:rsidRDefault="006378A3" w:rsidP="006378A3">
      <w:pPr>
        <w:jc w:val="both"/>
        <w:rPr>
          <w:rFonts w:cs="Arial"/>
          <w:b/>
          <w:u w:val="single"/>
        </w:rPr>
      </w:pPr>
      <w:r>
        <w:rPr>
          <w:rFonts w:cs="Arial"/>
          <w:b/>
          <w:u w:val="single"/>
        </w:rPr>
        <w:t>Land use</w:t>
      </w:r>
    </w:p>
    <w:p w:rsidR="006378A3" w:rsidRDefault="006378A3" w:rsidP="006378A3">
      <w:pPr>
        <w:jc w:val="both"/>
        <w:rPr>
          <w:rFonts w:cs="Arial"/>
        </w:rPr>
      </w:pPr>
      <w:r>
        <w:rPr>
          <w:rFonts w:cs="Arial"/>
        </w:rPr>
        <w:t>The land use of Dobrogea hydrographical area is influenced by physical and geographical conditions as well as by antropogenic factors and has the following distribution: 22.33% forests, 1.02% grasslands, 71,09% agriculture land, 2.49% water surface, etc.</w:t>
      </w:r>
    </w:p>
    <w:p w:rsidR="006378A3" w:rsidRDefault="006378A3" w:rsidP="006378A3">
      <w:pPr>
        <w:jc w:val="both"/>
        <w:rPr>
          <w:rFonts w:cs="Arial"/>
        </w:rPr>
      </w:pPr>
      <w:r>
        <w:rPr>
          <w:rFonts w:cs="Arial"/>
        </w:rPr>
        <w:t>In Danube Delta the forests represents a share of 11.66%, grassland 1.3%, agricultural land 12.70%, and the water surface account the main share 73.14%.</w:t>
      </w:r>
    </w:p>
    <w:p w:rsidR="006378A3" w:rsidRDefault="006378A3" w:rsidP="006378A3">
      <w:pPr>
        <w:jc w:val="both"/>
        <w:rPr>
          <w:rFonts w:cs="Arial"/>
        </w:rPr>
      </w:pPr>
    </w:p>
    <w:p w:rsidR="006378A3" w:rsidRPr="0088539B" w:rsidRDefault="006378A3" w:rsidP="006378A3">
      <w:pPr>
        <w:jc w:val="both"/>
        <w:rPr>
          <w:rFonts w:cs="Arial"/>
          <w:b/>
          <w:u w:val="single"/>
        </w:rPr>
      </w:pPr>
      <w:r w:rsidRPr="0088539B">
        <w:rPr>
          <w:rFonts w:cs="Arial"/>
          <w:b/>
          <w:u w:val="single"/>
        </w:rPr>
        <w:t>Water resources</w:t>
      </w:r>
    </w:p>
    <w:p w:rsidR="006378A3" w:rsidRDefault="006378A3" w:rsidP="006378A3">
      <w:pPr>
        <w:jc w:val="both"/>
        <w:rPr>
          <w:rFonts w:cs="Arial"/>
        </w:rPr>
      </w:pPr>
      <w:r>
        <w:rPr>
          <w:rFonts w:cs="Arial"/>
        </w:rPr>
        <w:t>Total surface water resources of the Danube river area (Chiciu – Isaccea sector) Danube Delta  and Dobrogea hydrographical area accounts approx. 404,136.4  mil.m</w:t>
      </w:r>
      <w:r>
        <w:rPr>
          <w:rFonts w:cs="Arial"/>
          <w:vertAlign w:val="superscript"/>
        </w:rPr>
        <w:t>3</w:t>
      </w:r>
      <w:r>
        <w:rPr>
          <w:rFonts w:cs="Arial"/>
        </w:rPr>
        <w:t>/year out of which usable resources are about 51,380.8  mil.m</w:t>
      </w:r>
      <w:r>
        <w:rPr>
          <w:rFonts w:cs="Arial"/>
          <w:vertAlign w:val="superscript"/>
        </w:rPr>
        <w:t>3</w:t>
      </w:r>
      <w:r>
        <w:rPr>
          <w:rFonts w:cs="Arial"/>
        </w:rPr>
        <w:t>/year. These are approx. 12,71% of total resources and are mainly formed by the Danube River.</w:t>
      </w:r>
    </w:p>
    <w:p w:rsidR="006378A3" w:rsidRDefault="006378A3" w:rsidP="006378A3">
      <w:pPr>
        <w:jc w:val="both"/>
        <w:rPr>
          <w:rFonts w:cs="Arial"/>
        </w:rPr>
      </w:pPr>
      <w:r>
        <w:rPr>
          <w:rFonts w:cs="Arial"/>
        </w:rPr>
        <w:t>Dobrogea hydrographical area comprises 4 major reservoirs (with area greater than 0.5 km</w:t>
      </w:r>
      <w:r>
        <w:rPr>
          <w:rFonts w:cs="Arial"/>
          <w:vertAlign w:val="superscript"/>
        </w:rPr>
        <w:t>2</w:t>
      </w:r>
      <w:r>
        <w:rPr>
          <w:rFonts w:cs="Arial"/>
        </w:rPr>
        <w:t>), with complex usage and accounting a volume of 24.45 mil.m</w:t>
      </w:r>
      <w:r>
        <w:rPr>
          <w:rFonts w:cs="Arial"/>
          <w:vertAlign w:val="superscript"/>
        </w:rPr>
        <w:t>3</w:t>
      </w:r>
      <w:r>
        <w:rPr>
          <w:rFonts w:cs="Arial"/>
        </w:rPr>
        <w:t>.</w:t>
      </w:r>
    </w:p>
    <w:p w:rsidR="006378A3" w:rsidRDefault="006378A3" w:rsidP="006378A3">
      <w:pPr>
        <w:jc w:val="both"/>
        <w:rPr>
          <w:rFonts w:cs="Arial"/>
        </w:rPr>
      </w:pPr>
      <w:r>
        <w:rPr>
          <w:rFonts w:cs="Arial"/>
        </w:rPr>
        <w:t>Relative to the Danube Delta and Dobrogea hydrographical area population, specific usable resource is 53,138 m</w:t>
      </w:r>
      <w:r>
        <w:rPr>
          <w:rFonts w:cs="Arial"/>
          <w:vertAlign w:val="superscript"/>
        </w:rPr>
        <w:t>3</w:t>
      </w:r>
      <w:r>
        <w:rPr>
          <w:rFonts w:cs="Arial"/>
        </w:rPr>
        <w:t xml:space="preserve"> / person/ year and the specific resource determined as available theoretically stock (annual average) amounts 417,961 m</w:t>
      </w:r>
      <w:r>
        <w:rPr>
          <w:rFonts w:cs="Arial"/>
          <w:vertAlign w:val="superscript"/>
        </w:rPr>
        <w:t>3</w:t>
      </w:r>
      <w:r>
        <w:rPr>
          <w:rFonts w:cs="Arial"/>
        </w:rPr>
        <w:t xml:space="preserve"> / person / year. Water resources stationed in Dobrogea hydrographical area might be considered low and unevenly distributed in space and time.</w:t>
      </w:r>
    </w:p>
    <w:p w:rsidR="006378A3" w:rsidRDefault="006378A3" w:rsidP="006378A3">
      <w:pPr>
        <w:jc w:val="both"/>
        <w:rPr>
          <w:rFonts w:cs="Arial"/>
        </w:rPr>
      </w:pPr>
      <w:r>
        <w:rPr>
          <w:rFonts w:cs="Arial"/>
        </w:rPr>
        <w:t>The average multi-annual flow rates for major rivers in the hydrographical river area are: 0.486 m</w:t>
      </w:r>
      <w:r>
        <w:rPr>
          <w:rFonts w:cs="Arial"/>
          <w:vertAlign w:val="superscript"/>
        </w:rPr>
        <w:t>3</w:t>
      </w:r>
      <w:r>
        <w:rPr>
          <w:rFonts w:cs="Arial"/>
        </w:rPr>
        <w:t>/s – Taiţa, 0.632 m</w:t>
      </w:r>
      <w:r>
        <w:rPr>
          <w:rFonts w:cs="Arial"/>
          <w:vertAlign w:val="superscript"/>
        </w:rPr>
        <w:t>3</w:t>
      </w:r>
      <w:r>
        <w:rPr>
          <w:rFonts w:cs="Arial"/>
        </w:rPr>
        <w:t>/s – Casimcea, 0.305 m</w:t>
      </w:r>
      <w:r>
        <w:rPr>
          <w:rFonts w:cs="Arial"/>
          <w:vertAlign w:val="superscript"/>
        </w:rPr>
        <w:t>3</w:t>
      </w:r>
      <w:r>
        <w:rPr>
          <w:rFonts w:cs="Arial"/>
        </w:rPr>
        <w:t xml:space="preserve">/s – Topolog, etc.  </w:t>
      </w:r>
    </w:p>
    <w:p w:rsidR="006378A3" w:rsidRDefault="006378A3" w:rsidP="006378A3">
      <w:pPr>
        <w:rPr>
          <w:rFonts w:cs="Arial"/>
        </w:rPr>
      </w:pPr>
      <w:r>
        <w:rPr>
          <w:rFonts w:cs="Arial"/>
        </w:rPr>
        <w:lastRenderedPageBreak/>
        <w:t>Of the total length of watercourses in Danube River, Danube Delta, Dobrogea hydrocraphical area and Costal Waters, temporary watercourses are about 6.%.</w:t>
      </w:r>
    </w:p>
    <w:p w:rsidR="006378A3" w:rsidRDefault="006378A3" w:rsidP="006378A3">
      <w:pPr>
        <w:rPr>
          <w:rFonts w:cs="Arial"/>
        </w:rPr>
      </w:pPr>
      <w:r>
        <w:rPr>
          <w:rFonts w:cs="Arial"/>
        </w:rPr>
        <w:t>In Dobrogea hidrographical area the groundwater resources are estimated at 2,090.818  mil.m</w:t>
      </w:r>
      <w:r>
        <w:rPr>
          <w:rFonts w:cs="Arial"/>
          <w:vertAlign w:val="superscript"/>
        </w:rPr>
        <w:t>3</w:t>
      </w:r>
      <w:r>
        <w:rPr>
          <w:rFonts w:cs="Arial"/>
        </w:rPr>
        <w:t xml:space="preserve"> (usable resource), of which 372.27 mil.m</w:t>
      </w:r>
      <w:r>
        <w:rPr>
          <w:rFonts w:cs="Arial"/>
          <w:vertAlign w:val="superscript"/>
        </w:rPr>
        <w:t>3</w:t>
      </w:r>
      <w:r>
        <w:rPr>
          <w:rFonts w:cs="Arial"/>
        </w:rPr>
        <w:t xml:space="preserve"> are groundwater sources and 1,718.548mil.m</w:t>
      </w:r>
      <w:r>
        <w:rPr>
          <w:rFonts w:cs="Arial"/>
          <w:vertAlign w:val="superscript"/>
        </w:rPr>
        <w:t>3</w:t>
      </w:r>
      <w:r>
        <w:rPr>
          <w:rFonts w:cs="Arial"/>
        </w:rPr>
        <w:t xml:space="preserve"> are underground water.</w:t>
      </w:r>
    </w:p>
    <w:p w:rsidR="006378A3" w:rsidRDefault="006378A3" w:rsidP="006378A3">
      <w:pPr>
        <w:jc w:val="both"/>
        <w:rPr>
          <w:rFonts w:cs="Arial"/>
        </w:rPr>
      </w:pPr>
    </w:p>
    <w:p w:rsidR="006378A3" w:rsidRDefault="006378A3" w:rsidP="006378A3">
      <w:pPr>
        <w:jc w:val="both"/>
        <w:rPr>
          <w:rFonts w:cs="Arial"/>
        </w:rPr>
      </w:pPr>
    </w:p>
    <w:p w:rsidR="006378A3" w:rsidRDefault="006378A3" w:rsidP="006378A3">
      <w:pPr>
        <w:jc w:val="both"/>
        <w:rPr>
          <w:rFonts w:cs="Arial"/>
          <w:b/>
        </w:rPr>
      </w:pPr>
      <w:r>
        <w:rPr>
          <w:rFonts w:cs="Arial"/>
          <w:b/>
        </w:rPr>
        <w:t>Characterization of surface water</w:t>
      </w:r>
    </w:p>
    <w:p w:rsidR="006378A3" w:rsidRDefault="006378A3" w:rsidP="006378A3">
      <w:pPr>
        <w:jc w:val="both"/>
        <w:rPr>
          <w:rFonts w:cs="Arial"/>
        </w:rPr>
      </w:pPr>
      <w:r>
        <w:rPr>
          <w:rFonts w:cs="Arial"/>
        </w:rPr>
        <w:t>The categories of surface water are Danube and Iron Gate I and II.</w:t>
      </w:r>
    </w:p>
    <w:p w:rsidR="006378A3" w:rsidRDefault="006378A3" w:rsidP="006378A3">
      <w:pPr>
        <w:jc w:val="both"/>
        <w:rPr>
          <w:rFonts w:cs="Arial"/>
          <w:b/>
        </w:rPr>
      </w:pPr>
      <w:r>
        <w:rPr>
          <w:rFonts w:cs="Arial"/>
          <w:b/>
        </w:rPr>
        <w:t>The Danube River</w:t>
      </w:r>
    </w:p>
    <w:p w:rsidR="006378A3" w:rsidRDefault="006378A3" w:rsidP="006378A3">
      <w:pPr>
        <w:jc w:val="both"/>
        <w:rPr>
          <w:rFonts w:cs="Arial"/>
        </w:rPr>
      </w:pPr>
      <w:r>
        <w:rPr>
          <w:rFonts w:cs="Arial"/>
        </w:rPr>
        <w:t>Hydrological regime of the river Danube is relatively uniform; the ratio between the minimum flow and maximum flow rate is 1/10, compared with inland courses regime for the previously mentioned report varies between 1/200 and 1/2000.</w:t>
      </w:r>
    </w:p>
    <w:p w:rsidR="006378A3" w:rsidRDefault="006378A3" w:rsidP="006378A3">
      <w:pPr>
        <w:jc w:val="both"/>
        <w:rPr>
          <w:rFonts w:cs="Arial"/>
          <w:b/>
        </w:rPr>
      </w:pPr>
      <w:r>
        <w:rPr>
          <w:rFonts w:cs="Arial"/>
          <w:b/>
        </w:rPr>
        <w:t>Iron Gate</w:t>
      </w:r>
    </w:p>
    <w:p w:rsidR="006378A3" w:rsidRDefault="006378A3" w:rsidP="006378A3">
      <w:pPr>
        <w:jc w:val="both"/>
        <w:rPr>
          <w:rFonts w:cs="Arial"/>
        </w:rPr>
      </w:pPr>
      <w:r>
        <w:rPr>
          <w:rFonts w:cs="Arial"/>
        </w:rPr>
        <w:t>Iron Gate Lake was developed in 1972 and has a volume of 2.1 billion m</w:t>
      </w:r>
      <w:r>
        <w:rPr>
          <w:rFonts w:cs="Arial"/>
          <w:vertAlign w:val="superscript"/>
        </w:rPr>
        <w:t>3</w:t>
      </w:r>
      <w:r>
        <w:rPr>
          <w:rFonts w:cs="Arial"/>
        </w:rPr>
        <w:t xml:space="preserve"> and Lake Iron Gates II was opened in 1986 and has a volume of 800 million m</w:t>
      </w:r>
      <w:r>
        <w:rPr>
          <w:rFonts w:cs="Arial"/>
          <w:vertAlign w:val="superscript"/>
        </w:rPr>
        <w:t>3</w:t>
      </w:r>
      <w:r>
        <w:rPr>
          <w:rFonts w:cs="Arial"/>
        </w:rPr>
        <w:t>. These lakes have retention times &lt; 1 day.</w:t>
      </w:r>
    </w:p>
    <w:p w:rsidR="006378A3" w:rsidRDefault="006378A3" w:rsidP="006378A3">
      <w:pPr>
        <w:jc w:val="both"/>
        <w:rPr>
          <w:rFonts w:cs="Arial"/>
        </w:rPr>
      </w:pPr>
      <w:r>
        <w:rPr>
          <w:rFonts w:cs="Arial"/>
          <w:b/>
          <w:i/>
        </w:rPr>
        <w:t>General characterization of the Danube Delta</w:t>
      </w:r>
      <w:r>
        <w:rPr>
          <w:rFonts w:cs="Arial"/>
        </w:rPr>
        <w:t>:  Danube Delta, the youngest geographical unit in Romania (the first embryo appeared 12,000 years ago) and the second largest deltaic unit in Europe (after the Volga Delta) is a unique ecosystem. The Danube Delta is distinguished on the one hand the positive forms of relief , made up of promontories Bugeac plateau, fluvial , coastal storage formations formed by the juxtaposition of numerous ancient coastal belts ( marine areas ) and the actual sea banks , on the other hand forms submerged negative relief , that make up the Delta river.</w:t>
      </w:r>
    </w:p>
    <w:p w:rsidR="006378A3" w:rsidRDefault="006378A3" w:rsidP="006378A3">
      <w:pPr>
        <w:jc w:val="both"/>
        <w:rPr>
          <w:rFonts w:cs="Arial"/>
        </w:rPr>
      </w:pPr>
      <w:r>
        <w:rPr>
          <w:rFonts w:cs="Arial"/>
        </w:rPr>
        <w:t>Danube Delta covers an area of 4757 km</w:t>
      </w:r>
      <w:r w:rsidRPr="0088539B">
        <w:rPr>
          <w:rFonts w:cs="Arial"/>
          <w:vertAlign w:val="superscript"/>
        </w:rPr>
        <w:t>2</w:t>
      </w:r>
      <w:r>
        <w:rPr>
          <w:rFonts w:cs="Arial"/>
        </w:rPr>
        <w:t>, accounting for a share of 2% of the country surface. Danube Delta existing hydrographic network is represented by the three branches of the Danube River with a total length of 290 km and an average density of 0.06 km/km</w:t>
      </w:r>
      <w:r w:rsidRPr="0088539B">
        <w:rPr>
          <w:rFonts w:cs="Arial"/>
          <w:vertAlign w:val="superscript"/>
        </w:rPr>
        <w:t>2</w:t>
      </w:r>
      <w:r>
        <w:rPr>
          <w:rFonts w:cs="Arial"/>
        </w:rPr>
        <w:t>. In addition to the three arms of the Danube River, there is a network of canals, streams, creeks, low hollows, linking Delta</w:t>
      </w:r>
      <w:r>
        <w:rPr>
          <w:rFonts w:cs="Arial"/>
          <w:lang w:val="en-US"/>
        </w:rPr>
        <w:t xml:space="preserve">’s </w:t>
      </w:r>
      <w:r>
        <w:rPr>
          <w:rFonts w:cs="Arial"/>
        </w:rPr>
        <w:t>lakes and the three arms of the Danube River.</w:t>
      </w:r>
    </w:p>
    <w:p w:rsidR="006378A3" w:rsidRDefault="006378A3" w:rsidP="006378A3">
      <w:pPr>
        <w:jc w:val="both"/>
        <w:rPr>
          <w:rFonts w:cs="Arial"/>
        </w:rPr>
      </w:pPr>
      <w:r>
        <w:rPr>
          <w:rFonts w:cs="Arial"/>
          <w:b/>
          <w:i/>
        </w:rPr>
        <w:t>Danube Delta Biosphere Reserve</w:t>
      </w:r>
      <w:r>
        <w:rPr>
          <w:rFonts w:cs="Arial"/>
        </w:rPr>
        <w:t xml:space="preserve"> lies on Romanian territory over an area of ​​5,800 km</w:t>
      </w:r>
      <w:r>
        <w:rPr>
          <w:rFonts w:cs="Arial"/>
          <w:vertAlign w:val="superscript"/>
        </w:rPr>
        <w:t>2</w:t>
      </w:r>
      <w:r>
        <w:rPr>
          <w:rFonts w:cs="Arial"/>
        </w:rPr>
        <w:t xml:space="preserve"> and Ukrainian territory on an area of ​​465 km</w:t>
      </w:r>
      <w:r>
        <w:rPr>
          <w:rFonts w:cs="Arial"/>
          <w:vertAlign w:val="superscript"/>
        </w:rPr>
        <w:t>2</w:t>
      </w:r>
      <w:r>
        <w:rPr>
          <w:rFonts w:cs="Arial"/>
        </w:rPr>
        <w:t>. Danube Delta Biosphere Reserve Components on Romanian territory are:</w:t>
      </w:r>
    </w:p>
    <w:p w:rsidR="006378A3" w:rsidRDefault="006378A3" w:rsidP="006378A3">
      <w:pPr>
        <w:numPr>
          <w:ilvl w:val="0"/>
          <w:numId w:val="106"/>
        </w:numPr>
        <w:jc w:val="both"/>
        <w:rPr>
          <w:rFonts w:cs="Arial"/>
        </w:rPr>
      </w:pPr>
      <w:r>
        <w:rPr>
          <w:rFonts w:cs="Arial"/>
        </w:rPr>
        <w:t>3.510 km</w:t>
      </w:r>
      <w:r>
        <w:rPr>
          <w:rFonts w:cs="Arial"/>
          <w:vertAlign w:val="superscript"/>
        </w:rPr>
        <w:t>2</w:t>
      </w:r>
      <w:r>
        <w:rPr>
          <w:rFonts w:cs="Arial"/>
        </w:rPr>
        <w:t xml:space="preserve">  Actual Delta  (Romanian sector);</w:t>
      </w:r>
    </w:p>
    <w:p w:rsidR="006378A3" w:rsidRDefault="006378A3" w:rsidP="006378A3">
      <w:pPr>
        <w:numPr>
          <w:ilvl w:val="0"/>
          <w:numId w:val="106"/>
        </w:numPr>
        <w:jc w:val="both"/>
        <w:rPr>
          <w:rFonts w:cs="Arial"/>
        </w:rPr>
      </w:pPr>
      <w:r>
        <w:rPr>
          <w:rFonts w:cs="Arial"/>
        </w:rPr>
        <w:t>1.145km</w:t>
      </w:r>
      <w:r>
        <w:rPr>
          <w:rFonts w:cs="Arial"/>
          <w:vertAlign w:val="superscript"/>
        </w:rPr>
        <w:t>2</w:t>
      </w:r>
      <w:r>
        <w:rPr>
          <w:rFonts w:cs="Arial"/>
        </w:rPr>
        <w:t xml:space="preserve"> - Razim-Sinoie;</w:t>
      </w:r>
    </w:p>
    <w:p w:rsidR="006378A3" w:rsidRDefault="006378A3" w:rsidP="006378A3">
      <w:pPr>
        <w:numPr>
          <w:ilvl w:val="0"/>
          <w:numId w:val="106"/>
        </w:numPr>
        <w:jc w:val="both"/>
        <w:rPr>
          <w:rFonts w:cs="Arial"/>
        </w:rPr>
      </w:pPr>
      <w:r>
        <w:rPr>
          <w:rFonts w:cs="Arial"/>
        </w:rPr>
        <w:t>1.030 km</w:t>
      </w:r>
      <w:r>
        <w:rPr>
          <w:rFonts w:cs="Arial"/>
          <w:vertAlign w:val="superscript"/>
        </w:rPr>
        <w:t>2</w:t>
      </w:r>
      <w:r>
        <w:rPr>
          <w:rFonts w:cs="Arial"/>
        </w:rPr>
        <w:t xml:space="preserve"> - marine waters (up to isobaths - 20 m to the southern tip , Cape Midia </w:t>
      </w:r>
    </w:p>
    <w:p w:rsidR="006378A3" w:rsidRDefault="006378A3" w:rsidP="006378A3">
      <w:pPr>
        <w:numPr>
          <w:ilvl w:val="0"/>
          <w:numId w:val="106"/>
        </w:numPr>
        <w:jc w:val="both"/>
        <w:rPr>
          <w:rFonts w:cs="Arial"/>
        </w:rPr>
      </w:pPr>
      <w:r>
        <w:rPr>
          <w:rFonts w:cs="Arial"/>
        </w:rPr>
        <w:t>13 km</w:t>
      </w:r>
      <w:r>
        <w:rPr>
          <w:rFonts w:cs="Arial"/>
          <w:vertAlign w:val="superscript"/>
        </w:rPr>
        <w:t>2</w:t>
      </w:r>
      <w:r>
        <w:rPr>
          <w:rFonts w:cs="Arial"/>
        </w:rPr>
        <w:t xml:space="preserve"> Danube riverbed between the Cat Bend and Isaccea ( Romania ) ;</w:t>
      </w:r>
    </w:p>
    <w:p w:rsidR="006378A3" w:rsidRDefault="006378A3" w:rsidP="006378A3">
      <w:pPr>
        <w:numPr>
          <w:ilvl w:val="0"/>
          <w:numId w:val="106"/>
        </w:numPr>
        <w:jc w:val="both"/>
        <w:rPr>
          <w:rFonts w:cs="Arial"/>
        </w:rPr>
      </w:pPr>
      <w:r>
        <w:rPr>
          <w:rFonts w:cs="Arial"/>
        </w:rPr>
        <w:t>102 km</w:t>
      </w:r>
      <w:r>
        <w:rPr>
          <w:rFonts w:cs="Arial"/>
          <w:vertAlign w:val="superscript"/>
        </w:rPr>
        <w:t>2</w:t>
      </w:r>
      <w:r>
        <w:rPr>
          <w:rFonts w:cs="Arial"/>
        </w:rPr>
        <w:t xml:space="preserve"> Danube floodplain between Isaccea and Tulcea.</w:t>
      </w:r>
    </w:p>
    <w:p w:rsidR="006378A3" w:rsidRDefault="006378A3" w:rsidP="006378A3">
      <w:pPr>
        <w:jc w:val="both"/>
        <w:rPr>
          <w:rFonts w:cs="Arial"/>
        </w:rPr>
      </w:pPr>
      <w:r>
        <w:rPr>
          <w:rFonts w:cs="Arial"/>
        </w:rPr>
        <w:t>The waters that reach Delta are:</w:t>
      </w:r>
    </w:p>
    <w:p w:rsidR="006378A3" w:rsidRDefault="006378A3" w:rsidP="006378A3">
      <w:pPr>
        <w:numPr>
          <w:ilvl w:val="0"/>
          <w:numId w:val="108"/>
        </w:numPr>
        <w:jc w:val="both"/>
        <w:rPr>
          <w:rFonts w:cs="Arial"/>
        </w:rPr>
      </w:pPr>
      <w:r>
        <w:rPr>
          <w:rFonts w:cs="Arial"/>
        </w:rPr>
        <w:t xml:space="preserve">Chilia by the canals : Sireasa, Şontea, Pardina, </w:t>
      </w:r>
    </w:p>
    <w:p w:rsidR="006378A3" w:rsidRDefault="006378A3" w:rsidP="006378A3">
      <w:pPr>
        <w:numPr>
          <w:ilvl w:val="0"/>
          <w:numId w:val="107"/>
        </w:numPr>
        <w:jc w:val="both"/>
        <w:rPr>
          <w:rFonts w:cs="Arial"/>
        </w:rPr>
      </w:pPr>
      <w:r>
        <w:rPr>
          <w:rFonts w:cs="Arial"/>
        </w:rPr>
        <w:t xml:space="preserve">Sfantu Gheorghe by the canal Litcov, </w:t>
      </w:r>
    </w:p>
    <w:p w:rsidR="006378A3" w:rsidRDefault="006378A3" w:rsidP="006378A3">
      <w:pPr>
        <w:numPr>
          <w:ilvl w:val="0"/>
          <w:numId w:val="107"/>
        </w:numPr>
        <w:jc w:val="both"/>
        <w:rPr>
          <w:rFonts w:cs="Arial"/>
        </w:rPr>
      </w:pPr>
      <w:r>
        <w:rPr>
          <w:rFonts w:cs="Arial"/>
        </w:rPr>
        <w:t>Sulina  by side canal</w:t>
      </w:r>
    </w:p>
    <w:p w:rsidR="006378A3" w:rsidRDefault="006378A3" w:rsidP="006378A3">
      <w:pPr>
        <w:rPr>
          <w:lang w:val="en-GB"/>
        </w:rPr>
      </w:pPr>
    </w:p>
    <w:p w:rsidR="006378A3" w:rsidRDefault="006378A3" w:rsidP="006378A3">
      <w:pPr>
        <w:spacing w:line="276" w:lineRule="auto"/>
        <w:jc w:val="both"/>
        <w:rPr>
          <w:rFonts w:eastAsia="Calibri" w:cs="Arial"/>
          <w:b/>
          <w:lang w:val="en-US"/>
        </w:rPr>
      </w:pPr>
      <w:r>
        <w:rPr>
          <w:rFonts w:eastAsia="Calibri" w:cs="Arial"/>
          <w:b/>
          <w:lang w:val="en-US"/>
        </w:rPr>
        <w:t>Characterization of the ecological and chemical state of the DANUBE RIVER, DANUBE DELTA, DOBROGEA hydrographic area and coastal waters</w:t>
      </w:r>
    </w:p>
    <w:p w:rsidR="006378A3" w:rsidRDefault="006378A3" w:rsidP="006378A3">
      <w:pPr>
        <w:spacing w:line="276" w:lineRule="auto"/>
        <w:jc w:val="both"/>
        <w:rPr>
          <w:rFonts w:eastAsia="Calibri" w:cs="Arial"/>
          <w:b/>
          <w:u w:val="single"/>
        </w:rPr>
      </w:pPr>
      <w:r>
        <w:rPr>
          <w:rFonts w:eastAsia="Calibri" w:cs="Arial"/>
          <w:b/>
          <w:u w:val="single"/>
        </w:rPr>
        <w:t>Rivers</w:t>
      </w:r>
    </w:p>
    <w:p w:rsidR="006378A3" w:rsidRDefault="006378A3" w:rsidP="006378A3">
      <w:pPr>
        <w:spacing w:line="276" w:lineRule="auto"/>
        <w:jc w:val="both"/>
        <w:rPr>
          <w:rFonts w:eastAsia="Calibri" w:cs="Arial"/>
          <w:lang w:val="en-US"/>
        </w:rPr>
      </w:pPr>
      <w:r>
        <w:rPr>
          <w:rFonts w:eastAsia="Calibri" w:cs="Arial"/>
          <w:lang w:val="en-US"/>
        </w:rPr>
        <w:t xml:space="preserve">In the Danube River, Danube Delta and Dobrogea hydrographic area out of the 115 water bodies there have been analised and descript from ecological state/ potential point of view  </w:t>
      </w:r>
    </w:p>
    <w:p w:rsidR="006378A3" w:rsidRDefault="006378A3" w:rsidP="006378A3">
      <w:pPr>
        <w:spacing w:line="276" w:lineRule="auto"/>
        <w:jc w:val="both"/>
      </w:pPr>
      <w:r>
        <w:t xml:space="preserve">93 (81%) </w:t>
      </w:r>
      <w:r>
        <w:rPr>
          <w:rFonts w:eastAsia="Calibri" w:cs="Arial"/>
          <w:lang w:val="en-US"/>
        </w:rPr>
        <w:t>water bodies</w:t>
      </w:r>
      <w:r>
        <w:t xml:space="preserve"> (79 natural (69%) and 14 </w:t>
      </w:r>
      <w:r>
        <w:rPr>
          <w:rFonts w:eastAsia="Calibri" w:cs="Arial"/>
          <w:lang w:val="en-US"/>
        </w:rPr>
        <w:t xml:space="preserve">heavily modified/ artifficial </w:t>
      </w:r>
      <w:r>
        <w:t xml:space="preserve">(12%)), of which: 57 (61%) </w:t>
      </w:r>
      <w:r>
        <w:rPr>
          <w:rFonts w:eastAsia="Calibri" w:cs="Arial"/>
          <w:lang w:val="en-US"/>
        </w:rPr>
        <w:t>water bodies</w:t>
      </w:r>
      <w:r>
        <w:rPr>
          <w:rFonts w:eastAsia="Calibri" w:cs="Arial"/>
          <w:lang w:eastAsia="en-US"/>
        </w:rPr>
        <w:t xml:space="preserve"> </w:t>
      </w:r>
      <w:r>
        <w:rPr>
          <w:rFonts w:eastAsia="Calibri" w:cs="Arial"/>
          <w:lang w:val="en-US"/>
        </w:rPr>
        <w:t>have a good ecological status</w:t>
      </w:r>
      <w:r>
        <w:t xml:space="preserve"> and  8 (9%) </w:t>
      </w:r>
      <w:r>
        <w:rPr>
          <w:rFonts w:eastAsia="Calibri" w:cs="Arial"/>
          <w:lang w:val="en-US"/>
        </w:rPr>
        <w:t>water bodies</w:t>
      </w:r>
      <w:r>
        <w:rPr>
          <w:rFonts w:eastAsia="Calibri" w:cs="Arial"/>
          <w:lang w:eastAsia="en-US"/>
        </w:rPr>
        <w:t xml:space="preserve"> </w:t>
      </w:r>
      <w:r>
        <w:rPr>
          <w:rFonts w:eastAsia="Calibri" w:cs="Arial"/>
          <w:lang w:val="en-US"/>
        </w:rPr>
        <w:t>have a maximum and good ecological potential</w:t>
      </w:r>
      <w:r>
        <w:t>. The remaining 22 are lakes are used for fishing, treatment, that is why their ecological status has been considered irrelevant and unapplicable for these specific until new environmental objectives will be defined.</w:t>
      </w:r>
    </w:p>
    <w:p w:rsidR="006378A3" w:rsidRDefault="006378A3" w:rsidP="006378A3">
      <w:pPr>
        <w:spacing w:line="276" w:lineRule="auto"/>
        <w:jc w:val="both"/>
        <w:rPr>
          <w:rFonts w:eastAsia="Calibri" w:cs="Arial"/>
          <w:lang w:val="en-US"/>
        </w:rPr>
      </w:pPr>
      <w:r>
        <w:rPr>
          <w:rFonts w:eastAsia="Calibri" w:cs="Arial"/>
          <w:lang w:val="en-US"/>
        </w:rPr>
        <w:lastRenderedPageBreak/>
        <w:t>At Danube River, Danube Delta, Dobrogeahydrographical area and Coastal Waters Area, all 115 water bodies were analyzed and characterized chemically, of which 112 (97%) water bodies reach good chemical status and 3 (3% ) do not reach the status of water bodies in chemically.</w:t>
      </w:r>
    </w:p>
    <w:p w:rsidR="006378A3" w:rsidRDefault="006378A3" w:rsidP="006378A3">
      <w:pPr>
        <w:rPr>
          <w:lang w:val="en-GB"/>
        </w:rPr>
      </w:pPr>
      <w:r>
        <w:rPr>
          <w:lang w:val="en-GB"/>
        </w:rPr>
        <w:t>Analiza informațiilor privind calitatea apelor din Rapoartele APM-urilor locale despre starea mediului în cele 5 județe din aria eligibilă a Programului a arătat că aceasta este în limitele valorilor indicatorilor de calitate prevăzute de legislația în vigoare și că nu a fost înregistrat nici un incident de poluare semnificativ în ultima perioadă de ani.</w:t>
      </w:r>
    </w:p>
    <w:p w:rsidR="00252B38" w:rsidRDefault="00252B38">
      <w:pPr>
        <w:rPr>
          <w:lang w:val="en-GB"/>
        </w:rPr>
      </w:pPr>
    </w:p>
    <w:p w:rsidR="00252B38" w:rsidRDefault="00252B38">
      <w:pPr>
        <w:rPr>
          <w:lang w:val="en-GB"/>
        </w:rPr>
      </w:pPr>
    </w:p>
    <w:p w:rsidR="00252B38" w:rsidRDefault="008C6885">
      <w:pPr>
        <w:pStyle w:val="Heading1"/>
        <w:rPr>
          <w:rFonts w:ascii="Arial" w:hAnsi="Arial" w:cs="Arial"/>
          <w:sz w:val="24"/>
          <w:szCs w:val="24"/>
          <w:lang w:val="en-GB" w:eastAsia="ro-RO"/>
        </w:rPr>
      </w:pPr>
      <w:bookmarkStart w:id="12" w:name="_Toc419704924"/>
      <w:r>
        <w:rPr>
          <w:rFonts w:ascii="Arial" w:hAnsi="Arial" w:cs="Arial"/>
          <w:sz w:val="24"/>
          <w:szCs w:val="24"/>
          <w:lang w:val="en-GB" w:eastAsia="ro-RO"/>
        </w:rPr>
        <w:t>4.1 Botoşani County</w:t>
      </w:r>
      <w:bookmarkEnd w:id="12"/>
    </w:p>
    <w:p w:rsidR="00252B38" w:rsidRDefault="00252B38">
      <w:pPr>
        <w:spacing w:before="60" w:after="60" w:line="288" w:lineRule="auto"/>
        <w:jc w:val="both"/>
        <w:rPr>
          <w:b/>
          <w:u w:val="single"/>
          <w:lang w:val="en-GB"/>
        </w:rPr>
      </w:pPr>
    </w:p>
    <w:p w:rsidR="006378A3" w:rsidRDefault="006378A3" w:rsidP="006378A3">
      <w:pPr>
        <w:numPr>
          <w:ilvl w:val="0"/>
          <w:numId w:val="1"/>
        </w:numPr>
        <w:spacing w:before="60" w:after="60" w:line="288" w:lineRule="auto"/>
        <w:jc w:val="both"/>
        <w:rPr>
          <w:b/>
          <w:lang w:val="en-GB"/>
        </w:rPr>
      </w:pPr>
      <w:r>
        <w:rPr>
          <w:b/>
          <w:lang w:val="en-GB"/>
        </w:rPr>
        <w:t>AIR</w:t>
      </w:r>
    </w:p>
    <w:p w:rsidR="006378A3" w:rsidRDefault="006378A3" w:rsidP="006378A3">
      <w:pPr>
        <w:spacing w:before="60" w:after="60" w:line="288" w:lineRule="auto"/>
        <w:ind w:firstLine="720"/>
        <w:jc w:val="both"/>
        <w:rPr>
          <w:bCs/>
          <w:i/>
          <w:lang w:val="en-GB"/>
        </w:rPr>
      </w:pPr>
      <w:r>
        <w:rPr>
          <w:bCs/>
          <w:i/>
          <w:lang w:val="en-GB"/>
        </w:rPr>
        <w:t>Sulphur dioxide (SO</w:t>
      </w:r>
      <w:r>
        <w:rPr>
          <w:bCs/>
          <w:i/>
          <w:vertAlign w:val="subscript"/>
          <w:lang w:val="en-GB"/>
        </w:rPr>
        <w:t>2</w:t>
      </w:r>
      <w:r>
        <w:rPr>
          <w:bCs/>
          <w:i/>
          <w:lang w:val="en-GB"/>
        </w:rPr>
        <w:t>)</w:t>
      </w:r>
    </w:p>
    <w:p w:rsidR="006378A3" w:rsidRDefault="006378A3" w:rsidP="006378A3">
      <w:pPr>
        <w:spacing w:before="60" w:after="60" w:line="288" w:lineRule="auto"/>
        <w:ind w:firstLine="720"/>
        <w:jc w:val="both"/>
        <w:rPr>
          <w:lang w:val="en-GB"/>
        </w:rPr>
      </w:pPr>
      <w:r>
        <w:rPr>
          <w:lang w:val="en-GB"/>
        </w:rPr>
        <w:t>In 2013 total SOx emissions were 115 603 Mg resulted mainly from residential heating combustion and food cooking (95%), commercial and institutional heating (3%).</w:t>
      </w:r>
    </w:p>
    <w:p w:rsidR="006378A3" w:rsidRDefault="006378A3" w:rsidP="006378A3">
      <w:pPr>
        <w:spacing w:before="60" w:after="60" w:line="288" w:lineRule="auto"/>
        <w:ind w:firstLine="720"/>
        <w:jc w:val="both"/>
        <w:rPr>
          <w:lang w:val="en-GB"/>
        </w:rPr>
      </w:pPr>
      <w:r>
        <w:rPr>
          <w:lang w:val="en-GB"/>
        </w:rPr>
        <w:t>SOx emissions increased in 2013 due to the inventory inclusion of a large number of municipalities (10 municipalities in 2012 and 42 in 2013).</w:t>
      </w:r>
    </w:p>
    <w:p w:rsidR="006378A3" w:rsidRDefault="006378A3" w:rsidP="006378A3">
      <w:pPr>
        <w:spacing w:before="60" w:after="60" w:line="288" w:lineRule="auto"/>
        <w:jc w:val="both"/>
        <w:rPr>
          <w:sz w:val="23"/>
          <w:szCs w:val="23"/>
          <w:lang w:val="en-GB"/>
        </w:rPr>
      </w:pPr>
      <w:r>
        <w:rPr>
          <w:sz w:val="23"/>
          <w:szCs w:val="23"/>
          <w:lang w:val="en-GB"/>
        </w:rPr>
        <w:tab/>
      </w:r>
      <w:r>
        <w:rPr>
          <w:sz w:val="23"/>
          <w:szCs w:val="23"/>
          <w:lang w:val="en-GB"/>
        </w:rPr>
        <w:tab/>
      </w:r>
      <w:r>
        <w:rPr>
          <w:sz w:val="23"/>
          <w:szCs w:val="23"/>
          <w:lang w:val="en-GB"/>
        </w:rPr>
        <w:tab/>
      </w:r>
      <w:r>
        <w:rPr>
          <w:sz w:val="23"/>
          <w:szCs w:val="23"/>
          <w:lang w:val="en-GB"/>
        </w:rPr>
        <w:tab/>
      </w:r>
    </w:p>
    <w:p w:rsidR="006378A3" w:rsidRDefault="006378A3" w:rsidP="006378A3">
      <w:pPr>
        <w:spacing w:before="60" w:after="60" w:line="288" w:lineRule="auto"/>
        <w:jc w:val="center"/>
        <w:rPr>
          <w:sz w:val="23"/>
          <w:szCs w:val="23"/>
          <w:lang w:val="en-GB"/>
        </w:rPr>
      </w:pPr>
      <w:r w:rsidRPr="002E01ED">
        <w:rPr>
          <w:i/>
          <w:noProof/>
          <w:lang w:val="en-US" w:eastAsia="en-US"/>
        </w:rPr>
        <w:drawing>
          <wp:inline distT="0" distB="0" distL="0" distR="0" wp14:anchorId="19671DAC" wp14:editId="23EA0EA7">
            <wp:extent cx="4601210" cy="3028315"/>
            <wp:effectExtent l="0" t="0" r="8890" b="635"/>
            <wp:docPr id="50"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01210" cy="3028315"/>
                    </a:xfrm>
                    <a:prstGeom prst="rect">
                      <a:avLst/>
                    </a:prstGeom>
                    <a:noFill/>
                    <a:ln>
                      <a:noFill/>
                    </a:ln>
                  </pic:spPr>
                </pic:pic>
              </a:graphicData>
            </a:graphic>
          </wp:inline>
        </w:drawing>
      </w:r>
    </w:p>
    <w:p w:rsidR="006378A3" w:rsidRDefault="006378A3" w:rsidP="006378A3">
      <w:pPr>
        <w:spacing w:before="60" w:after="60" w:line="288" w:lineRule="auto"/>
        <w:jc w:val="center"/>
        <w:rPr>
          <w:sz w:val="22"/>
          <w:szCs w:val="22"/>
          <w:lang w:val="en-GB"/>
        </w:rPr>
      </w:pPr>
      <w:r>
        <w:rPr>
          <w:b/>
          <w:i/>
          <w:sz w:val="22"/>
          <w:szCs w:val="22"/>
          <w:lang w:val="en-GB"/>
        </w:rPr>
        <w:t>Figure  3.1.1</w:t>
      </w:r>
      <w:r>
        <w:rPr>
          <w:sz w:val="22"/>
          <w:szCs w:val="22"/>
          <w:lang w:val="en-GB"/>
        </w:rPr>
        <w:t xml:space="preserve">  Annual SOx emissions (%)</w:t>
      </w:r>
    </w:p>
    <w:p w:rsidR="006378A3" w:rsidRDefault="006378A3" w:rsidP="006378A3">
      <w:pPr>
        <w:spacing w:before="60" w:after="60" w:line="288" w:lineRule="auto"/>
        <w:ind w:firstLine="630"/>
        <w:jc w:val="both"/>
        <w:rPr>
          <w:i/>
          <w:lang w:val="en-GB"/>
        </w:rPr>
      </w:pPr>
    </w:p>
    <w:p w:rsidR="006378A3" w:rsidRDefault="006378A3" w:rsidP="006378A3">
      <w:pPr>
        <w:spacing w:before="60" w:after="60" w:line="288" w:lineRule="auto"/>
        <w:ind w:firstLine="630"/>
        <w:jc w:val="both"/>
        <w:rPr>
          <w:i/>
          <w:lang w:val="en-GB"/>
        </w:rPr>
      </w:pPr>
      <w:r>
        <w:rPr>
          <w:i/>
          <w:lang w:val="en-GB"/>
        </w:rPr>
        <w:t>Nitrogen oxides (NO</w:t>
      </w:r>
      <w:r>
        <w:rPr>
          <w:i/>
          <w:vertAlign w:val="subscript"/>
          <w:lang w:val="en-GB"/>
        </w:rPr>
        <w:t>x</w:t>
      </w:r>
      <w:r>
        <w:rPr>
          <w:i/>
          <w:lang w:val="en-GB"/>
        </w:rPr>
        <w:t>)</w:t>
      </w:r>
    </w:p>
    <w:p w:rsidR="006378A3" w:rsidRDefault="006378A3" w:rsidP="006378A3">
      <w:pPr>
        <w:spacing w:before="60" w:after="60" w:line="288" w:lineRule="auto"/>
        <w:ind w:firstLine="630"/>
        <w:jc w:val="both"/>
        <w:rPr>
          <w:lang w:val="en-GB"/>
        </w:rPr>
      </w:pPr>
      <w:r>
        <w:rPr>
          <w:lang w:val="en-GB"/>
        </w:rPr>
        <w:t>In 2013 the total NOx emissions were 1335.530 Mg, mainly resulting from road traffic (68%), combustion for residential heating and food cooking (24%), commercial and institutional heating (7%). Total NOx emissions decreased from the previous year to 53.06% due to lower emissions from road traffic.</w:t>
      </w:r>
    </w:p>
    <w:p w:rsidR="006378A3" w:rsidRDefault="006378A3" w:rsidP="006378A3">
      <w:pPr>
        <w:spacing w:before="60" w:after="60" w:line="288" w:lineRule="auto"/>
        <w:jc w:val="center"/>
        <w:rPr>
          <w:sz w:val="23"/>
          <w:szCs w:val="23"/>
          <w:lang w:val="en-GB"/>
        </w:rPr>
      </w:pPr>
      <w:r w:rsidRPr="002E01ED">
        <w:rPr>
          <w:b/>
          <w:noProof/>
          <w:lang w:val="en-US" w:eastAsia="en-US"/>
        </w:rPr>
        <w:lastRenderedPageBreak/>
        <w:drawing>
          <wp:inline distT="0" distB="0" distL="0" distR="0" wp14:anchorId="773CAE40" wp14:editId="6DF5D40B">
            <wp:extent cx="5149850" cy="3752850"/>
            <wp:effectExtent l="0" t="0" r="0" b="0"/>
            <wp:docPr id="49"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9850" cy="3752850"/>
                    </a:xfrm>
                    <a:prstGeom prst="rect">
                      <a:avLst/>
                    </a:prstGeom>
                    <a:noFill/>
                    <a:ln>
                      <a:noFill/>
                    </a:ln>
                  </pic:spPr>
                </pic:pic>
              </a:graphicData>
            </a:graphic>
          </wp:inline>
        </w:drawing>
      </w:r>
    </w:p>
    <w:p w:rsidR="006378A3" w:rsidRDefault="006378A3" w:rsidP="006378A3">
      <w:pPr>
        <w:spacing w:before="60" w:after="60" w:line="288" w:lineRule="auto"/>
        <w:jc w:val="center"/>
        <w:rPr>
          <w:sz w:val="22"/>
          <w:szCs w:val="22"/>
          <w:lang w:val="en-GB"/>
        </w:rPr>
      </w:pPr>
      <w:r>
        <w:rPr>
          <w:b/>
          <w:i/>
          <w:sz w:val="22"/>
          <w:szCs w:val="22"/>
          <w:lang w:val="en-GB"/>
        </w:rPr>
        <w:t>Figure 3.1.2</w:t>
      </w:r>
      <w:r>
        <w:rPr>
          <w:sz w:val="22"/>
          <w:szCs w:val="22"/>
          <w:lang w:val="en-GB"/>
        </w:rPr>
        <w:t xml:space="preserve">  Annual NO</w:t>
      </w:r>
      <w:r>
        <w:rPr>
          <w:sz w:val="22"/>
          <w:szCs w:val="22"/>
          <w:vertAlign w:val="subscript"/>
          <w:lang w:val="en-GB"/>
        </w:rPr>
        <w:t>x</w:t>
      </w:r>
      <w:r>
        <w:rPr>
          <w:sz w:val="22"/>
          <w:szCs w:val="22"/>
          <w:lang w:val="en-GB"/>
        </w:rPr>
        <w:t xml:space="preserve"> emissions</w:t>
      </w:r>
    </w:p>
    <w:p w:rsidR="006378A3" w:rsidRDefault="006378A3" w:rsidP="006378A3">
      <w:pPr>
        <w:spacing w:before="60" w:after="60" w:line="288" w:lineRule="auto"/>
        <w:jc w:val="both"/>
        <w:rPr>
          <w:b/>
          <w:lang w:val="en-GB"/>
        </w:rPr>
      </w:pPr>
    </w:p>
    <w:p w:rsidR="006378A3" w:rsidRDefault="006378A3" w:rsidP="006378A3">
      <w:pPr>
        <w:autoSpaceDE w:val="0"/>
        <w:autoSpaceDN w:val="0"/>
        <w:adjustRightInd w:val="0"/>
        <w:spacing w:before="60" w:after="60" w:line="288" w:lineRule="auto"/>
        <w:ind w:firstLine="720"/>
        <w:jc w:val="both"/>
        <w:rPr>
          <w:rFonts w:eastAsia="Calibri" w:cs="Arial"/>
          <w:color w:val="000000"/>
          <w:lang w:val="en-GB" w:eastAsia="en-US"/>
        </w:rPr>
      </w:pPr>
      <w:r>
        <w:rPr>
          <w:rFonts w:eastAsia="Calibri" w:cs="Arial"/>
          <w:color w:val="000000"/>
          <w:lang w:val="en-GB" w:eastAsia="en-US"/>
        </w:rPr>
        <w:t>In 2013 the amount of energy produced in cogeneration by SC MODERN CALOR SA was 135,807 MWh of which 73,940 MWh heat and 61,867 MWh electricity.</w:t>
      </w:r>
    </w:p>
    <w:p w:rsidR="006378A3" w:rsidRDefault="006378A3" w:rsidP="006378A3">
      <w:pPr>
        <w:autoSpaceDE w:val="0"/>
        <w:autoSpaceDN w:val="0"/>
        <w:adjustRightInd w:val="0"/>
        <w:spacing w:before="60" w:after="60" w:line="288" w:lineRule="auto"/>
        <w:ind w:firstLine="720"/>
        <w:jc w:val="both"/>
        <w:rPr>
          <w:rFonts w:eastAsia="Calibri" w:cs="Arial"/>
          <w:color w:val="000000"/>
          <w:lang w:val="en-GB" w:eastAsia="en-US"/>
        </w:rPr>
      </w:pPr>
      <w:r>
        <w:rPr>
          <w:rFonts w:eastAsia="Calibri" w:cs="Arial"/>
          <w:color w:val="000000"/>
          <w:lang w:val="en-GB" w:eastAsia="en-US"/>
        </w:rPr>
        <w:t>In the year 2013 air quality monitoring was as follows:</w:t>
      </w:r>
    </w:p>
    <w:p w:rsidR="006378A3" w:rsidRDefault="006378A3" w:rsidP="006378A3">
      <w:pPr>
        <w:numPr>
          <w:ilvl w:val="0"/>
          <w:numId w:val="5"/>
        </w:numPr>
        <w:autoSpaceDE w:val="0"/>
        <w:autoSpaceDN w:val="0"/>
        <w:adjustRightInd w:val="0"/>
        <w:spacing w:before="60" w:after="60" w:line="288" w:lineRule="auto"/>
        <w:ind w:left="1080"/>
        <w:contextualSpacing/>
        <w:jc w:val="both"/>
        <w:rPr>
          <w:rFonts w:eastAsia="Calibri" w:cs="Arial"/>
          <w:color w:val="000000"/>
          <w:lang w:val="en-GB" w:eastAsia="en-US"/>
        </w:rPr>
      </w:pPr>
      <w:r>
        <w:rPr>
          <w:rFonts w:eastAsia="Calibri" w:cs="Arial"/>
          <w:color w:val="000000"/>
          <w:lang w:val="en-GB" w:eastAsia="en-US"/>
        </w:rPr>
        <w:t>By automatic continuous measurements performed by Urban background exposure station for the following pollutants: SO</w:t>
      </w:r>
      <w:r>
        <w:rPr>
          <w:rFonts w:eastAsia="Calibri" w:cs="Arial"/>
          <w:color w:val="000000"/>
          <w:vertAlign w:val="subscript"/>
          <w:lang w:val="en-GB" w:eastAsia="en-US"/>
        </w:rPr>
        <w:t>2</w:t>
      </w:r>
      <w:r>
        <w:rPr>
          <w:rFonts w:eastAsia="Calibri" w:cs="Arial"/>
          <w:color w:val="000000"/>
          <w:lang w:val="en-GB" w:eastAsia="en-US"/>
        </w:rPr>
        <w:t>, O</w:t>
      </w:r>
      <w:r>
        <w:rPr>
          <w:rFonts w:eastAsia="Calibri" w:cs="Arial"/>
          <w:color w:val="000000"/>
          <w:vertAlign w:val="subscript"/>
          <w:lang w:val="en-GB" w:eastAsia="en-US"/>
        </w:rPr>
        <w:t>3</w:t>
      </w:r>
      <w:r>
        <w:rPr>
          <w:rFonts w:eastAsia="Calibri" w:cs="Arial"/>
          <w:color w:val="000000"/>
          <w:lang w:val="en-GB" w:eastAsia="en-US"/>
        </w:rPr>
        <w:t>, BTEX- VOCs and PM</w:t>
      </w:r>
      <w:r w:rsidRPr="0088539B">
        <w:rPr>
          <w:rFonts w:eastAsia="Calibri" w:cs="Arial"/>
          <w:color w:val="000000"/>
          <w:vertAlign w:val="subscript"/>
          <w:lang w:val="en-GB" w:eastAsia="en-US"/>
        </w:rPr>
        <w:t>10</w:t>
      </w:r>
      <w:r>
        <w:rPr>
          <w:rFonts w:eastAsia="Calibri" w:cs="Arial"/>
          <w:color w:val="000000"/>
          <w:lang w:val="en-GB" w:eastAsia="en-US"/>
        </w:rPr>
        <w:t>;</w:t>
      </w:r>
    </w:p>
    <w:p w:rsidR="006378A3" w:rsidRDefault="006378A3" w:rsidP="006378A3">
      <w:pPr>
        <w:numPr>
          <w:ilvl w:val="0"/>
          <w:numId w:val="5"/>
        </w:numPr>
        <w:autoSpaceDE w:val="0"/>
        <w:autoSpaceDN w:val="0"/>
        <w:adjustRightInd w:val="0"/>
        <w:spacing w:before="60" w:after="60" w:line="288" w:lineRule="auto"/>
        <w:ind w:left="1080"/>
        <w:contextualSpacing/>
        <w:jc w:val="both"/>
        <w:rPr>
          <w:rFonts w:eastAsia="Calibri" w:cs="Arial"/>
          <w:color w:val="000000"/>
          <w:lang w:val="en-GB" w:eastAsia="en-US"/>
        </w:rPr>
      </w:pPr>
      <w:r>
        <w:rPr>
          <w:rFonts w:eastAsia="Calibri" w:cs="Arial"/>
          <w:color w:val="000000"/>
          <w:lang w:val="en-GB" w:eastAsia="en-US"/>
        </w:rPr>
        <w:t>Gravimetric measurements - for particulate matter (PM</w:t>
      </w:r>
      <w:r w:rsidRPr="0088539B">
        <w:rPr>
          <w:rFonts w:eastAsia="Calibri" w:cs="Arial"/>
          <w:color w:val="000000"/>
          <w:vertAlign w:val="subscript"/>
          <w:lang w:val="en-GB" w:eastAsia="en-US"/>
        </w:rPr>
        <w:t>10</w:t>
      </w:r>
      <w:r>
        <w:rPr>
          <w:rFonts w:eastAsia="Calibri" w:cs="Arial"/>
          <w:color w:val="000000"/>
          <w:lang w:val="en-GB" w:eastAsia="en-US"/>
        </w:rPr>
        <w:t xml:space="preserve"> and PM</w:t>
      </w:r>
      <w:r w:rsidRPr="0088539B">
        <w:rPr>
          <w:rFonts w:eastAsia="Calibri" w:cs="Arial"/>
          <w:color w:val="000000"/>
          <w:vertAlign w:val="subscript"/>
          <w:lang w:val="en-GB" w:eastAsia="en-US"/>
        </w:rPr>
        <w:t>2,5</w:t>
      </w:r>
      <w:r>
        <w:rPr>
          <w:rFonts w:eastAsia="Calibri" w:cs="Arial"/>
          <w:color w:val="000000"/>
          <w:lang w:val="en-GB" w:eastAsia="en-US"/>
        </w:rPr>
        <w:t xml:space="preserve">); </w:t>
      </w:r>
    </w:p>
    <w:p w:rsidR="006378A3" w:rsidRDefault="006378A3" w:rsidP="006378A3">
      <w:pPr>
        <w:numPr>
          <w:ilvl w:val="0"/>
          <w:numId w:val="5"/>
        </w:numPr>
        <w:autoSpaceDE w:val="0"/>
        <w:autoSpaceDN w:val="0"/>
        <w:adjustRightInd w:val="0"/>
        <w:spacing w:before="60" w:after="60" w:line="288" w:lineRule="auto"/>
        <w:ind w:left="1080"/>
        <w:contextualSpacing/>
        <w:jc w:val="both"/>
        <w:rPr>
          <w:rFonts w:eastAsia="Calibri" w:cs="Arial"/>
          <w:color w:val="000000"/>
          <w:lang w:val="en-GB" w:eastAsia="en-US"/>
        </w:rPr>
      </w:pPr>
      <w:r>
        <w:rPr>
          <w:rFonts w:eastAsia="Calibri" w:cs="Arial"/>
          <w:color w:val="000000"/>
          <w:lang w:val="en-GB" w:eastAsia="en-US"/>
        </w:rPr>
        <w:t>Rainfall quality measured in EPA Botosani point, with the following pollutants monitored: pH, conductivity, alkalinity / acidity, hardness, SO</w:t>
      </w:r>
      <w:r>
        <w:rPr>
          <w:rFonts w:eastAsia="Calibri" w:cs="Arial"/>
          <w:color w:val="000000"/>
          <w:vertAlign w:val="subscript"/>
          <w:lang w:val="en-GB" w:eastAsia="en-US"/>
        </w:rPr>
        <w:t>4</w:t>
      </w:r>
      <w:r>
        <w:rPr>
          <w:rFonts w:eastAsia="Calibri" w:cs="Arial"/>
          <w:color w:val="000000"/>
          <w:vertAlign w:val="superscript"/>
          <w:lang w:val="en-GB" w:eastAsia="en-US"/>
        </w:rPr>
        <w:t>2-</w:t>
      </w:r>
      <w:r>
        <w:rPr>
          <w:rFonts w:eastAsia="Calibri" w:cs="Arial"/>
          <w:color w:val="000000"/>
          <w:lang w:val="en-GB" w:eastAsia="en-US"/>
        </w:rPr>
        <w:t>, NO</w:t>
      </w:r>
      <w:r>
        <w:rPr>
          <w:rFonts w:eastAsia="Calibri" w:cs="Arial"/>
          <w:color w:val="000000"/>
          <w:vertAlign w:val="superscript"/>
          <w:lang w:val="en-GB" w:eastAsia="en-US"/>
        </w:rPr>
        <w:t>2-</w:t>
      </w:r>
      <w:r>
        <w:rPr>
          <w:rFonts w:eastAsia="Calibri" w:cs="Arial"/>
          <w:color w:val="000000"/>
          <w:lang w:val="en-GB" w:eastAsia="en-US"/>
        </w:rPr>
        <w:t>, NO</w:t>
      </w:r>
      <w:r>
        <w:rPr>
          <w:rFonts w:eastAsia="Calibri" w:cs="Arial"/>
          <w:color w:val="000000"/>
          <w:vertAlign w:val="superscript"/>
          <w:lang w:val="en-GB" w:eastAsia="en-US"/>
        </w:rPr>
        <w:t>3-</w:t>
      </w:r>
      <w:r>
        <w:rPr>
          <w:rFonts w:eastAsia="Calibri" w:cs="Arial"/>
          <w:color w:val="000000"/>
          <w:lang w:val="en-GB" w:eastAsia="en-US"/>
        </w:rPr>
        <w:t>, NH</w:t>
      </w:r>
      <w:r>
        <w:rPr>
          <w:rFonts w:eastAsia="Calibri" w:cs="Arial"/>
          <w:color w:val="000000"/>
          <w:vertAlign w:val="superscript"/>
          <w:lang w:val="en-GB" w:eastAsia="en-US"/>
        </w:rPr>
        <w:t>4-</w:t>
      </w:r>
      <w:r>
        <w:rPr>
          <w:rFonts w:eastAsia="Calibri" w:cs="Arial"/>
          <w:color w:val="000000"/>
          <w:lang w:val="en-GB" w:eastAsia="en-US"/>
        </w:rPr>
        <w:t>, Cl, Ca</w:t>
      </w:r>
      <w:r>
        <w:rPr>
          <w:rFonts w:eastAsia="Calibri" w:cs="Arial"/>
          <w:color w:val="000000"/>
          <w:vertAlign w:val="superscript"/>
          <w:lang w:val="en-GB" w:eastAsia="en-US"/>
        </w:rPr>
        <w:t xml:space="preserve">2+ </w:t>
      </w:r>
      <w:r>
        <w:rPr>
          <w:rFonts w:eastAsia="Calibri" w:cs="Arial"/>
          <w:color w:val="000000"/>
          <w:lang w:val="en-GB" w:eastAsia="en-US"/>
        </w:rPr>
        <w:t>şi Mg</w:t>
      </w:r>
      <w:r>
        <w:rPr>
          <w:rFonts w:eastAsia="Calibri" w:cs="Arial"/>
          <w:color w:val="000000"/>
          <w:vertAlign w:val="superscript"/>
          <w:lang w:val="en-GB" w:eastAsia="en-US"/>
        </w:rPr>
        <w:t>2+</w:t>
      </w:r>
      <w:r>
        <w:rPr>
          <w:rFonts w:eastAsia="Calibri" w:cs="Arial"/>
          <w:color w:val="000000"/>
          <w:lang w:val="en-GB" w:eastAsia="en-US"/>
        </w:rPr>
        <w:t xml:space="preserve">. </w:t>
      </w:r>
    </w:p>
    <w:p w:rsidR="006378A3" w:rsidRDefault="006378A3" w:rsidP="006378A3">
      <w:pPr>
        <w:autoSpaceDE w:val="0"/>
        <w:autoSpaceDN w:val="0"/>
        <w:adjustRightInd w:val="0"/>
        <w:spacing w:before="60" w:after="60" w:line="288" w:lineRule="auto"/>
        <w:jc w:val="both"/>
        <w:rPr>
          <w:rFonts w:eastAsia="Calibri" w:cs="Arial"/>
          <w:color w:val="000000"/>
          <w:lang w:val="en-GB" w:eastAsia="en-US"/>
        </w:rPr>
      </w:pPr>
    </w:p>
    <w:p w:rsidR="006378A3" w:rsidRDefault="006378A3" w:rsidP="006378A3">
      <w:pPr>
        <w:spacing w:before="60" w:after="60" w:line="288" w:lineRule="auto"/>
        <w:ind w:firstLine="720"/>
        <w:jc w:val="both"/>
        <w:rPr>
          <w:rFonts w:eastAsia="Calibri" w:cs="Arial"/>
          <w:color w:val="000000"/>
          <w:lang w:val="en-GB" w:eastAsia="en-US"/>
        </w:rPr>
      </w:pPr>
      <w:r>
        <w:rPr>
          <w:rFonts w:eastAsia="Calibri" w:cs="Arial"/>
          <w:color w:val="000000"/>
          <w:lang w:val="en-GB" w:eastAsia="en-US"/>
        </w:rPr>
        <w:t xml:space="preserve">Urban background exposure station is placed in the residential area with high population density located at a sufficient distance from stationary or mobile sources and is designed to assess air quality. </w:t>
      </w:r>
    </w:p>
    <w:p w:rsidR="006378A3" w:rsidRDefault="006378A3" w:rsidP="006378A3">
      <w:pPr>
        <w:spacing w:before="60" w:after="60" w:line="288" w:lineRule="auto"/>
        <w:ind w:firstLine="720"/>
        <w:jc w:val="both"/>
        <w:rPr>
          <w:i/>
          <w:lang w:val="en-GB"/>
        </w:rPr>
      </w:pPr>
      <w:r>
        <w:rPr>
          <w:i/>
          <w:lang w:val="en-GB"/>
        </w:rPr>
        <w:t xml:space="preserve">Nitrogen oxides </w:t>
      </w:r>
    </w:p>
    <w:p w:rsidR="006378A3" w:rsidRDefault="006378A3" w:rsidP="006378A3">
      <w:pPr>
        <w:spacing w:before="60" w:after="60" w:line="288" w:lineRule="auto"/>
        <w:ind w:firstLine="720"/>
        <w:jc w:val="both"/>
        <w:rPr>
          <w:rFonts w:eastAsia="Calibri" w:cs="Arial"/>
          <w:color w:val="000000"/>
          <w:lang w:val="en-GB" w:eastAsia="en-US"/>
        </w:rPr>
      </w:pPr>
      <w:r>
        <w:rPr>
          <w:rFonts w:eastAsia="Calibri" w:cs="Arial"/>
          <w:color w:val="000000"/>
          <w:lang w:val="en-GB" w:eastAsia="en-US"/>
        </w:rPr>
        <w:t>In 2013 were made continuous measurements through automatic air quality monitoring stations (in Botosani). NOx analyser was defective.</w:t>
      </w:r>
    </w:p>
    <w:p w:rsidR="006378A3" w:rsidRDefault="006378A3" w:rsidP="006378A3">
      <w:pPr>
        <w:spacing w:before="60" w:after="60" w:line="288" w:lineRule="auto"/>
        <w:ind w:firstLine="630"/>
        <w:rPr>
          <w:rFonts w:eastAsia="Calibri" w:cs="Arial"/>
          <w:i/>
          <w:color w:val="000000"/>
          <w:lang w:val="en-GB" w:eastAsia="en-US"/>
        </w:rPr>
      </w:pPr>
      <w:r>
        <w:rPr>
          <w:bCs/>
          <w:i/>
          <w:lang w:val="en-GB"/>
        </w:rPr>
        <w:t>Sulphur dioxide</w:t>
      </w:r>
    </w:p>
    <w:p w:rsidR="006378A3" w:rsidRDefault="006378A3" w:rsidP="006378A3">
      <w:pPr>
        <w:spacing w:before="60" w:after="60" w:line="288" w:lineRule="auto"/>
        <w:ind w:firstLine="720"/>
        <w:jc w:val="both"/>
        <w:rPr>
          <w:rFonts w:eastAsia="Calibri" w:cs="Arial"/>
          <w:color w:val="000000"/>
          <w:lang w:val="en-GB" w:eastAsia="en-US"/>
        </w:rPr>
      </w:pPr>
      <w:r>
        <w:rPr>
          <w:rFonts w:eastAsia="Calibri" w:cs="Arial"/>
          <w:color w:val="000000"/>
          <w:lang w:val="en-GB" w:eastAsia="en-US"/>
        </w:rPr>
        <w:t>According to Law no.104/2011 on air quality, recorded sulphur dioxide values were well below the hourly limit (350μ/m</w:t>
      </w:r>
      <w:r>
        <w:rPr>
          <w:rFonts w:eastAsia="Calibri" w:cs="Arial"/>
          <w:color w:val="000000"/>
          <w:vertAlign w:val="superscript"/>
          <w:lang w:val="en-GB" w:eastAsia="en-US"/>
        </w:rPr>
        <w:t>3</w:t>
      </w:r>
      <w:r>
        <w:rPr>
          <w:rFonts w:eastAsia="Calibri" w:cs="Arial"/>
          <w:color w:val="000000"/>
          <w:lang w:val="en-GB" w:eastAsia="en-US"/>
        </w:rPr>
        <w:t>) and also in the daily limit value (125 μg/m</w:t>
      </w:r>
      <w:r>
        <w:rPr>
          <w:rFonts w:eastAsia="Calibri" w:cs="Arial"/>
          <w:color w:val="000000"/>
          <w:vertAlign w:val="superscript"/>
          <w:lang w:val="en-GB" w:eastAsia="en-US"/>
        </w:rPr>
        <w:t>3</w:t>
      </w:r>
      <w:r>
        <w:rPr>
          <w:rFonts w:eastAsia="Calibri" w:cs="Arial"/>
          <w:color w:val="000000"/>
          <w:lang w:val="en-GB" w:eastAsia="en-US"/>
        </w:rPr>
        <w:t>) for the protection of human health.</w:t>
      </w:r>
    </w:p>
    <w:p w:rsidR="006378A3" w:rsidRDefault="006378A3" w:rsidP="006378A3">
      <w:pPr>
        <w:spacing w:before="60" w:after="60" w:line="288" w:lineRule="auto"/>
        <w:ind w:firstLine="720"/>
        <w:jc w:val="both"/>
        <w:rPr>
          <w:rFonts w:eastAsia="Calibri" w:cs="Arial"/>
          <w:color w:val="000000"/>
          <w:lang w:val="en-GB" w:eastAsia="en-US"/>
        </w:rPr>
      </w:pPr>
      <w:r>
        <w:rPr>
          <w:rFonts w:eastAsia="Calibri" w:cs="Arial"/>
          <w:color w:val="000000"/>
          <w:lang w:val="en-GB" w:eastAsia="en-US"/>
        </w:rPr>
        <w:t>There was no exceeding of the alert threshold of 500 μg/m</w:t>
      </w:r>
      <w:r>
        <w:rPr>
          <w:rFonts w:eastAsia="Calibri" w:cs="Arial"/>
          <w:color w:val="000000"/>
          <w:vertAlign w:val="superscript"/>
          <w:lang w:val="en-GB" w:eastAsia="en-US"/>
        </w:rPr>
        <w:t>3</w:t>
      </w:r>
      <w:r>
        <w:rPr>
          <w:rFonts w:eastAsia="Calibri" w:cs="Arial"/>
          <w:color w:val="000000"/>
          <w:lang w:val="en-GB" w:eastAsia="en-US"/>
        </w:rPr>
        <w:t>, three consecutive hours measured.</w:t>
      </w:r>
    </w:p>
    <w:p w:rsidR="006378A3" w:rsidRDefault="006378A3" w:rsidP="006378A3">
      <w:pPr>
        <w:spacing w:before="60" w:after="60" w:line="288" w:lineRule="auto"/>
        <w:ind w:firstLine="630"/>
        <w:rPr>
          <w:rFonts w:eastAsia="Calibri" w:cs="Arial"/>
          <w:i/>
          <w:color w:val="000000"/>
          <w:lang w:val="en-GB" w:eastAsia="en-US"/>
        </w:rPr>
      </w:pPr>
      <w:r>
        <w:rPr>
          <w:rFonts w:eastAsia="Calibri" w:cs="Arial"/>
          <w:i/>
          <w:color w:val="000000"/>
          <w:lang w:val="en-GB" w:eastAsia="en-US"/>
        </w:rPr>
        <w:lastRenderedPageBreak/>
        <w:t>Particulate matter</w:t>
      </w:r>
    </w:p>
    <w:p w:rsidR="006378A3" w:rsidRDefault="006378A3" w:rsidP="006378A3">
      <w:pPr>
        <w:spacing w:before="60" w:after="60" w:line="288" w:lineRule="auto"/>
        <w:ind w:firstLine="720"/>
        <w:jc w:val="both"/>
        <w:rPr>
          <w:rFonts w:eastAsia="Calibri" w:cs="Arial"/>
          <w:color w:val="000000"/>
          <w:lang w:val="en-GB" w:eastAsia="en-US"/>
        </w:rPr>
      </w:pPr>
      <w:r>
        <w:rPr>
          <w:rFonts w:eastAsia="Calibri" w:cs="Arial"/>
          <w:color w:val="000000"/>
          <w:lang w:val="en-GB" w:eastAsia="en-US"/>
        </w:rPr>
        <w:t>In 2013, the frequency of exceeding the daily limit value for PM10 protection of human health (50 mg/m</w:t>
      </w:r>
      <w:r>
        <w:rPr>
          <w:rFonts w:eastAsia="Calibri" w:cs="Arial"/>
          <w:color w:val="000000"/>
          <w:vertAlign w:val="superscript"/>
          <w:lang w:val="en-GB" w:eastAsia="en-US"/>
        </w:rPr>
        <w:t>3</w:t>
      </w:r>
      <w:r>
        <w:rPr>
          <w:rFonts w:eastAsia="Calibri" w:cs="Arial"/>
          <w:color w:val="000000"/>
          <w:lang w:val="en-GB" w:eastAsia="en-US"/>
        </w:rPr>
        <w:t>) was 6.86% and 14.09% for PM</w:t>
      </w:r>
      <w:r>
        <w:rPr>
          <w:rFonts w:eastAsia="Calibri" w:cs="Arial"/>
          <w:color w:val="000000"/>
          <w:vertAlign w:val="subscript"/>
          <w:lang w:val="en-GB" w:eastAsia="en-US"/>
        </w:rPr>
        <w:t>10</w:t>
      </w:r>
      <w:r>
        <w:rPr>
          <w:rFonts w:eastAsia="Calibri" w:cs="Arial"/>
          <w:color w:val="000000"/>
          <w:lang w:val="en-GB" w:eastAsia="en-US"/>
        </w:rPr>
        <w:t xml:space="preserve"> nephelometry. During 2013 there were 23 breaches of particulate matter determined by the gravimetric method.</w:t>
      </w:r>
    </w:p>
    <w:p w:rsidR="006378A3" w:rsidRDefault="006378A3" w:rsidP="006378A3">
      <w:pPr>
        <w:spacing w:before="60" w:after="60" w:line="288" w:lineRule="auto"/>
        <w:ind w:firstLine="720"/>
        <w:jc w:val="both"/>
        <w:rPr>
          <w:rFonts w:eastAsia="Calibri" w:cs="Arial"/>
          <w:color w:val="000000"/>
          <w:lang w:val="en-GB" w:eastAsia="en-US"/>
        </w:rPr>
      </w:pPr>
      <w:r>
        <w:rPr>
          <w:rFonts w:eastAsia="Calibri" w:cs="Arial"/>
          <w:color w:val="000000"/>
          <w:lang w:val="en-GB" w:eastAsia="en-US"/>
        </w:rPr>
        <w:t>Encountered exceeding were due to: traffic, road works, thermal plants operation and weather conditions (atmospheric calm), who favoured keeping pollutants close to the ground.</w:t>
      </w:r>
    </w:p>
    <w:p w:rsidR="006378A3" w:rsidRDefault="006378A3" w:rsidP="006378A3">
      <w:pPr>
        <w:spacing w:before="60" w:after="60" w:line="288" w:lineRule="auto"/>
        <w:ind w:firstLine="720"/>
        <w:jc w:val="both"/>
        <w:rPr>
          <w:rFonts w:eastAsia="Calibri" w:cs="Arial"/>
          <w:color w:val="000000"/>
          <w:lang w:val="en-GB" w:eastAsia="en-US"/>
        </w:rPr>
      </w:pPr>
      <w:r>
        <w:rPr>
          <w:rFonts w:eastAsia="Calibri" w:cs="Arial"/>
          <w:color w:val="000000"/>
          <w:lang w:val="en-GB" w:eastAsia="en-US"/>
        </w:rPr>
        <w:t>In 2013 there were no accidental pollution with major impact on the environment and citizens.</w:t>
      </w:r>
    </w:p>
    <w:p w:rsidR="006378A3" w:rsidRDefault="006378A3" w:rsidP="006378A3">
      <w:pPr>
        <w:spacing w:before="60" w:after="60" w:line="288" w:lineRule="auto"/>
        <w:jc w:val="both"/>
        <w:rPr>
          <w:b/>
          <w:u w:val="single"/>
          <w:lang w:val="en-GB"/>
        </w:rPr>
      </w:pPr>
    </w:p>
    <w:p w:rsidR="006378A3" w:rsidRDefault="006378A3" w:rsidP="006378A3">
      <w:pPr>
        <w:numPr>
          <w:ilvl w:val="0"/>
          <w:numId w:val="3"/>
        </w:numPr>
        <w:spacing w:before="60" w:after="60" w:line="288" w:lineRule="auto"/>
        <w:jc w:val="both"/>
        <w:rPr>
          <w:b/>
          <w:lang w:val="en-GB"/>
        </w:rPr>
      </w:pPr>
      <w:r>
        <w:rPr>
          <w:b/>
          <w:lang w:val="en-GB"/>
        </w:rPr>
        <w:t>SOIL</w:t>
      </w:r>
    </w:p>
    <w:p w:rsidR="006378A3" w:rsidRDefault="006378A3" w:rsidP="006378A3">
      <w:pPr>
        <w:spacing w:before="60" w:after="60" w:line="288" w:lineRule="auto"/>
        <w:ind w:firstLine="720"/>
        <w:jc w:val="both"/>
        <w:rPr>
          <w:lang w:val="en-GB"/>
        </w:rPr>
      </w:pPr>
      <w:r>
        <w:rPr>
          <w:lang w:val="en-GB"/>
        </w:rPr>
        <w:t>According to data provided by the Department of Agriculture and Rural Development Botosani, changes in the distribution of land use categories in the period 2008 - 2013 were as follows:</w:t>
      </w:r>
    </w:p>
    <w:p w:rsidR="006378A3" w:rsidRDefault="006378A3" w:rsidP="006378A3">
      <w:pPr>
        <w:autoSpaceDE w:val="0"/>
        <w:autoSpaceDN w:val="0"/>
        <w:adjustRightInd w:val="0"/>
        <w:spacing w:before="60" w:after="60" w:line="288" w:lineRule="auto"/>
        <w:ind w:left="360"/>
        <w:jc w:val="center"/>
        <w:rPr>
          <w:b/>
          <w:bCs/>
          <w:iCs/>
          <w:sz w:val="22"/>
          <w:szCs w:val="22"/>
          <w:lang w:val="en-GB"/>
        </w:rPr>
      </w:pPr>
    </w:p>
    <w:p w:rsidR="006378A3" w:rsidRDefault="006378A3" w:rsidP="006378A3">
      <w:pPr>
        <w:autoSpaceDE w:val="0"/>
        <w:autoSpaceDN w:val="0"/>
        <w:adjustRightInd w:val="0"/>
        <w:spacing w:before="60" w:after="60" w:line="288" w:lineRule="auto"/>
        <w:ind w:left="360"/>
        <w:jc w:val="center"/>
        <w:rPr>
          <w:b/>
          <w:bCs/>
          <w:iCs/>
          <w:sz w:val="22"/>
          <w:szCs w:val="22"/>
          <w:lang w:val="en-GB"/>
        </w:rPr>
      </w:pPr>
      <w:r>
        <w:rPr>
          <w:b/>
          <w:bCs/>
          <w:iCs/>
          <w:sz w:val="22"/>
          <w:szCs w:val="22"/>
          <w:lang w:val="en-GB"/>
        </w:rPr>
        <w:t xml:space="preserve">             </w:t>
      </w:r>
    </w:p>
    <w:p w:rsidR="006378A3" w:rsidRDefault="006378A3" w:rsidP="006378A3">
      <w:pPr>
        <w:autoSpaceDE w:val="0"/>
        <w:autoSpaceDN w:val="0"/>
        <w:adjustRightInd w:val="0"/>
        <w:spacing w:before="60" w:after="60" w:line="288" w:lineRule="auto"/>
        <w:ind w:left="360"/>
        <w:jc w:val="center"/>
        <w:rPr>
          <w:b/>
          <w:bCs/>
          <w:iCs/>
          <w:sz w:val="22"/>
          <w:szCs w:val="22"/>
          <w:lang w:val="en-GB"/>
        </w:rPr>
      </w:pPr>
      <w:r>
        <w:rPr>
          <w:b/>
          <w:bCs/>
          <w:iCs/>
          <w:sz w:val="22"/>
          <w:szCs w:val="22"/>
          <w:lang w:val="en-GB"/>
        </w:rPr>
        <w:t xml:space="preserve"> </w:t>
      </w:r>
      <w:r>
        <w:rPr>
          <w:rFonts w:eastAsia="Calibri" w:cs="Arial"/>
          <w:b/>
          <w:bCs/>
          <w:i/>
          <w:sz w:val="22"/>
          <w:szCs w:val="22"/>
          <w:lang w:val="en-GB"/>
        </w:rPr>
        <w:t xml:space="preserve">Tabele 4.1.1  </w:t>
      </w:r>
      <w:r>
        <w:rPr>
          <w:rFonts w:eastAsia="Calibri" w:cs="Arial"/>
          <w:bCs/>
          <w:sz w:val="22"/>
          <w:szCs w:val="22"/>
          <w:lang w:val="en-GB"/>
        </w:rPr>
        <w:t>Distribution`s evolution of agricultural land by use</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
        <w:gridCol w:w="1696"/>
        <w:gridCol w:w="1012"/>
        <w:gridCol w:w="1012"/>
        <w:gridCol w:w="1012"/>
        <w:gridCol w:w="1012"/>
        <w:gridCol w:w="1012"/>
        <w:gridCol w:w="1012"/>
      </w:tblGrid>
      <w:tr w:rsidR="006378A3" w:rsidTr="002E01ED">
        <w:tc>
          <w:tcPr>
            <w:tcW w:w="424" w:type="dxa"/>
            <w:vMerge w:val="restart"/>
            <w:shd w:val="clear" w:color="auto" w:fill="auto"/>
            <w:vAlign w:val="center"/>
          </w:tcPr>
          <w:p w:rsidR="006378A3" w:rsidRDefault="006378A3" w:rsidP="002E01ED">
            <w:pPr>
              <w:spacing w:line="276" w:lineRule="auto"/>
              <w:jc w:val="center"/>
              <w:rPr>
                <w:rFonts w:eastAsia="Calibri" w:cs="Arial"/>
                <w:sz w:val="22"/>
                <w:szCs w:val="22"/>
                <w:lang w:val="en-GB" w:eastAsia="en-US"/>
              </w:rPr>
            </w:pPr>
          </w:p>
        </w:tc>
        <w:tc>
          <w:tcPr>
            <w:tcW w:w="1696" w:type="dxa"/>
            <w:vMerge w:val="restart"/>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Category of use</w:t>
            </w:r>
          </w:p>
        </w:tc>
        <w:tc>
          <w:tcPr>
            <w:tcW w:w="6072" w:type="dxa"/>
            <w:gridSpan w:val="6"/>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Area (ha)</w:t>
            </w:r>
          </w:p>
        </w:tc>
      </w:tr>
      <w:tr w:rsidR="006378A3" w:rsidTr="002E01ED">
        <w:tc>
          <w:tcPr>
            <w:tcW w:w="424" w:type="dxa"/>
            <w:vMerge/>
            <w:shd w:val="clear" w:color="auto" w:fill="auto"/>
            <w:vAlign w:val="center"/>
          </w:tcPr>
          <w:p w:rsidR="006378A3" w:rsidRDefault="006378A3" w:rsidP="002E01ED">
            <w:pPr>
              <w:spacing w:line="276" w:lineRule="auto"/>
              <w:jc w:val="center"/>
              <w:rPr>
                <w:rFonts w:eastAsia="Calibri" w:cs="Arial"/>
                <w:sz w:val="22"/>
                <w:szCs w:val="22"/>
                <w:lang w:val="en-GB" w:eastAsia="en-US"/>
              </w:rPr>
            </w:pPr>
          </w:p>
        </w:tc>
        <w:tc>
          <w:tcPr>
            <w:tcW w:w="1696" w:type="dxa"/>
            <w:vMerge/>
            <w:shd w:val="clear" w:color="auto" w:fill="auto"/>
            <w:vAlign w:val="center"/>
          </w:tcPr>
          <w:p w:rsidR="006378A3" w:rsidRDefault="006378A3" w:rsidP="002E01ED">
            <w:pPr>
              <w:spacing w:line="276" w:lineRule="auto"/>
              <w:jc w:val="center"/>
              <w:rPr>
                <w:rFonts w:eastAsia="Calibri" w:cs="Arial"/>
                <w:b/>
                <w:sz w:val="22"/>
                <w:szCs w:val="22"/>
                <w:lang w:val="en-GB" w:eastAsia="en-US"/>
              </w:rPr>
            </w:pPr>
          </w:p>
        </w:tc>
        <w:tc>
          <w:tcPr>
            <w:tcW w:w="1012"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2008</w:t>
            </w:r>
          </w:p>
        </w:tc>
        <w:tc>
          <w:tcPr>
            <w:tcW w:w="1012"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2009</w:t>
            </w:r>
          </w:p>
        </w:tc>
        <w:tc>
          <w:tcPr>
            <w:tcW w:w="1012"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2010</w:t>
            </w:r>
          </w:p>
        </w:tc>
        <w:tc>
          <w:tcPr>
            <w:tcW w:w="1012"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2011</w:t>
            </w:r>
          </w:p>
        </w:tc>
        <w:tc>
          <w:tcPr>
            <w:tcW w:w="1012"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2012</w:t>
            </w:r>
          </w:p>
        </w:tc>
        <w:tc>
          <w:tcPr>
            <w:tcW w:w="1012"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2013</w:t>
            </w:r>
          </w:p>
        </w:tc>
      </w:tr>
      <w:tr w:rsidR="006378A3" w:rsidTr="002E01ED">
        <w:tc>
          <w:tcPr>
            <w:tcW w:w="424"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w:t>
            </w:r>
          </w:p>
        </w:tc>
        <w:tc>
          <w:tcPr>
            <w:tcW w:w="1696"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Arable</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298,774</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298,762</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298,762</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298,739</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298,747</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298,742</w:t>
            </w:r>
          </w:p>
        </w:tc>
      </w:tr>
      <w:tr w:rsidR="006378A3" w:rsidTr="002E01ED">
        <w:tc>
          <w:tcPr>
            <w:tcW w:w="424"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w:t>
            </w:r>
          </w:p>
        </w:tc>
        <w:tc>
          <w:tcPr>
            <w:tcW w:w="1696"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 xml:space="preserve">Grassland </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75,381</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75,146</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75,146</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75,146</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75,146</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75,146</w:t>
            </w:r>
          </w:p>
        </w:tc>
      </w:tr>
      <w:tr w:rsidR="006378A3" w:rsidTr="002E01ED">
        <w:tc>
          <w:tcPr>
            <w:tcW w:w="424"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3</w:t>
            </w:r>
          </w:p>
        </w:tc>
        <w:tc>
          <w:tcPr>
            <w:tcW w:w="1696"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Meadows and natural grassland</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14,635</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14,635</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14,635</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14,635</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14,635</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14,635</w:t>
            </w:r>
          </w:p>
        </w:tc>
      </w:tr>
      <w:tr w:rsidR="006378A3" w:rsidTr="002E01ED">
        <w:tc>
          <w:tcPr>
            <w:tcW w:w="424"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4</w:t>
            </w:r>
          </w:p>
        </w:tc>
        <w:tc>
          <w:tcPr>
            <w:tcW w:w="1696"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Vineyards</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1,690</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1,690</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1,690</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1,690</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1,680</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1,680</w:t>
            </w:r>
          </w:p>
        </w:tc>
      </w:tr>
      <w:tr w:rsidR="006378A3" w:rsidTr="002E01ED">
        <w:tc>
          <w:tcPr>
            <w:tcW w:w="424"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5</w:t>
            </w:r>
          </w:p>
        </w:tc>
        <w:tc>
          <w:tcPr>
            <w:tcW w:w="1696"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Orchards</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2,559</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2,559</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2,559</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2,559</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2,559</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2,559</w:t>
            </w:r>
          </w:p>
        </w:tc>
      </w:tr>
      <w:tr w:rsidR="006378A3" w:rsidTr="002E01ED">
        <w:tc>
          <w:tcPr>
            <w:tcW w:w="2120" w:type="dxa"/>
            <w:gridSpan w:val="2"/>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Total land</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393,039</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392,762</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392,792</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392,769</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392,767</w:t>
            </w:r>
          </w:p>
        </w:tc>
        <w:tc>
          <w:tcPr>
            <w:tcW w:w="1012"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392,762</w:t>
            </w:r>
          </w:p>
        </w:tc>
      </w:tr>
    </w:tbl>
    <w:p w:rsidR="006378A3" w:rsidRDefault="006378A3" w:rsidP="006378A3">
      <w:pPr>
        <w:spacing w:before="60" w:after="60" w:line="288" w:lineRule="auto"/>
        <w:jc w:val="center"/>
        <w:rPr>
          <w:sz w:val="22"/>
          <w:szCs w:val="22"/>
          <w:lang w:val="en-GB"/>
        </w:rPr>
      </w:pPr>
    </w:p>
    <w:p w:rsidR="006378A3" w:rsidRDefault="006378A3" w:rsidP="006378A3">
      <w:pPr>
        <w:spacing w:before="60" w:after="60" w:line="288" w:lineRule="auto"/>
        <w:jc w:val="both"/>
        <w:rPr>
          <w:lang w:val="en-GB"/>
        </w:rPr>
      </w:pPr>
    </w:p>
    <w:p w:rsidR="006378A3" w:rsidRDefault="006378A3" w:rsidP="006378A3">
      <w:pPr>
        <w:spacing w:before="60" w:after="60" w:line="288" w:lineRule="auto"/>
        <w:ind w:firstLine="720"/>
        <w:jc w:val="both"/>
        <w:rPr>
          <w:lang w:val="en-GB"/>
        </w:rPr>
      </w:pPr>
      <w:r>
        <w:rPr>
          <w:lang w:val="en-GB"/>
        </w:rPr>
        <w:t>In relation to the suitability of field crops, arable land is grouped in 6 suitability classes which take into account the nature and intensity of restrictive factors for production. Situation in Botosani County in 2013, is presented below:</w:t>
      </w:r>
    </w:p>
    <w:p w:rsidR="006378A3" w:rsidRDefault="006378A3" w:rsidP="006378A3">
      <w:pPr>
        <w:spacing w:before="60" w:after="60" w:line="288" w:lineRule="auto"/>
        <w:ind w:firstLine="720"/>
        <w:jc w:val="both"/>
        <w:rPr>
          <w:lang w:val="en-GB"/>
        </w:rPr>
      </w:pPr>
    </w:p>
    <w:p w:rsidR="006378A3" w:rsidRDefault="006378A3" w:rsidP="006378A3">
      <w:pPr>
        <w:spacing w:before="60" w:after="60" w:line="288" w:lineRule="auto"/>
        <w:jc w:val="center"/>
        <w:rPr>
          <w:sz w:val="22"/>
          <w:szCs w:val="22"/>
          <w:lang w:val="en-GB"/>
        </w:rPr>
      </w:pPr>
      <w:r>
        <w:rPr>
          <w:b/>
          <w:i/>
          <w:sz w:val="22"/>
          <w:szCs w:val="22"/>
          <w:lang w:val="en-GB"/>
        </w:rPr>
        <w:t>Tabel  4.1.2</w:t>
      </w:r>
      <w:r>
        <w:rPr>
          <w:sz w:val="22"/>
          <w:szCs w:val="22"/>
          <w:lang w:val="en-GB"/>
        </w:rPr>
        <w:t xml:space="preserve"> Division of agricultural lands  depending on soil uses in Botoșani county</w:t>
      </w:r>
    </w:p>
    <w:tbl>
      <w:tblPr>
        <w:tblW w:w="84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1586"/>
        <w:gridCol w:w="681"/>
        <w:gridCol w:w="889"/>
        <w:gridCol w:w="1012"/>
        <w:gridCol w:w="1012"/>
        <w:gridCol w:w="889"/>
        <w:gridCol w:w="889"/>
        <w:gridCol w:w="424"/>
        <w:gridCol w:w="1012"/>
      </w:tblGrid>
      <w:tr w:rsidR="006378A3" w:rsidTr="002E01ED">
        <w:trPr>
          <w:jc w:val="center"/>
        </w:trPr>
        <w:tc>
          <w:tcPr>
            <w:tcW w:w="537" w:type="dxa"/>
            <w:vMerge w:val="restart"/>
            <w:shd w:val="clear" w:color="auto" w:fill="auto"/>
            <w:vAlign w:val="center"/>
          </w:tcPr>
          <w:p w:rsidR="006378A3" w:rsidRDefault="006378A3" w:rsidP="002E01ED">
            <w:pPr>
              <w:jc w:val="center"/>
              <w:rPr>
                <w:rFonts w:eastAsia="Calibri" w:cs="Arial"/>
                <w:b/>
                <w:sz w:val="22"/>
                <w:szCs w:val="22"/>
                <w:lang w:val="en-GB" w:eastAsia="en-US"/>
              </w:rPr>
            </w:pPr>
            <w:r>
              <w:rPr>
                <w:rFonts w:eastAsia="Calibri" w:cs="Arial"/>
                <w:b/>
                <w:sz w:val="22"/>
                <w:szCs w:val="22"/>
                <w:lang w:val="en-GB" w:eastAsia="en-US"/>
              </w:rPr>
              <w:t>No.</w:t>
            </w:r>
          </w:p>
        </w:tc>
        <w:tc>
          <w:tcPr>
            <w:tcW w:w="1459" w:type="dxa"/>
            <w:vMerge w:val="restart"/>
            <w:shd w:val="clear" w:color="auto" w:fill="auto"/>
            <w:vAlign w:val="center"/>
          </w:tcPr>
          <w:p w:rsidR="006378A3" w:rsidRDefault="006378A3" w:rsidP="002E01ED">
            <w:pPr>
              <w:jc w:val="center"/>
              <w:rPr>
                <w:rFonts w:eastAsia="Calibri" w:cs="Arial"/>
                <w:b/>
                <w:sz w:val="22"/>
                <w:szCs w:val="22"/>
                <w:lang w:val="en-GB" w:eastAsia="en-US"/>
              </w:rPr>
            </w:pPr>
            <w:r>
              <w:rPr>
                <w:rFonts w:eastAsia="Calibri" w:cs="Arial"/>
                <w:b/>
                <w:sz w:val="22"/>
                <w:szCs w:val="22"/>
                <w:lang w:val="en-GB" w:eastAsia="en-US"/>
              </w:rPr>
              <w:t>Specification</w:t>
            </w:r>
          </w:p>
        </w:tc>
        <w:tc>
          <w:tcPr>
            <w:tcW w:w="638" w:type="dxa"/>
            <w:vMerge w:val="restart"/>
            <w:shd w:val="clear" w:color="auto" w:fill="auto"/>
            <w:vAlign w:val="center"/>
          </w:tcPr>
          <w:p w:rsidR="006378A3" w:rsidRDefault="006378A3" w:rsidP="002E01ED">
            <w:pPr>
              <w:jc w:val="center"/>
              <w:rPr>
                <w:rFonts w:eastAsia="Calibri" w:cs="Arial"/>
                <w:b/>
                <w:sz w:val="22"/>
                <w:szCs w:val="22"/>
                <w:lang w:val="en-GB" w:eastAsia="en-US"/>
              </w:rPr>
            </w:pPr>
            <w:r>
              <w:rPr>
                <w:rFonts w:eastAsia="Calibri" w:cs="Arial"/>
                <w:b/>
                <w:sz w:val="22"/>
                <w:szCs w:val="22"/>
                <w:lang w:val="en-GB" w:eastAsia="en-US"/>
              </w:rPr>
              <w:t>M.U.</w:t>
            </w:r>
          </w:p>
        </w:tc>
        <w:tc>
          <w:tcPr>
            <w:tcW w:w="5772" w:type="dxa"/>
            <w:gridSpan w:val="7"/>
            <w:shd w:val="clear" w:color="auto" w:fill="auto"/>
            <w:vAlign w:val="center"/>
          </w:tcPr>
          <w:p w:rsidR="006378A3" w:rsidRDefault="006378A3" w:rsidP="002E01ED">
            <w:pPr>
              <w:jc w:val="center"/>
              <w:rPr>
                <w:rFonts w:eastAsia="Calibri" w:cs="Arial"/>
                <w:b/>
                <w:sz w:val="22"/>
                <w:szCs w:val="22"/>
                <w:lang w:val="en-GB" w:eastAsia="en-US"/>
              </w:rPr>
            </w:pPr>
            <w:r>
              <w:rPr>
                <w:rFonts w:eastAsia="Calibri" w:cs="Arial"/>
                <w:b/>
                <w:sz w:val="22"/>
                <w:szCs w:val="22"/>
                <w:lang w:val="en-GB" w:eastAsia="en-US"/>
              </w:rPr>
              <w:t xml:space="preserve">Soil Worthiness classes </w:t>
            </w:r>
          </w:p>
        </w:tc>
      </w:tr>
      <w:tr w:rsidR="006378A3" w:rsidTr="002E01ED">
        <w:trPr>
          <w:jc w:val="center"/>
        </w:trPr>
        <w:tc>
          <w:tcPr>
            <w:tcW w:w="537" w:type="dxa"/>
            <w:vMerge/>
            <w:shd w:val="clear" w:color="auto" w:fill="auto"/>
            <w:vAlign w:val="center"/>
          </w:tcPr>
          <w:p w:rsidR="006378A3" w:rsidRDefault="006378A3" w:rsidP="002E01ED">
            <w:pPr>
              <w:jc w:val="center"/>
              <w:rPr>
                <w:rFonts w:eastAsia="Calibri" w:cs="Arial"/>
                <w:b/>
                <w:sz w:val="22"/>
                <w:szCs w:val="22"/>
                <w:lang w:val="en-GB" w:eastAsia="en-US"/>
              </w:rPr>
            </w:pPr>
          </w:p>
        </w:tc>
        <w:tc>
          <w:tcPr>
            <w:tcW w:w="1459" w:type="dxa"/>
            <w:vMerge/>
            <w:shd w:val="clear" w:color="auto" w:fill="auto"/>
            <w:vAlign w:val="center"/>
          </w:tcPr>
          <w:p w:rsidR="006378A3" w:rsidRDefault="006378A3" w:rsidP="002E01ED">
            <w:pPr>
              <w:jc w:val="center"/>
              <w:rPr>
                <w:rFonts w:eastAsia="Calibri" w:cs="Arial"/>
                <w:b/>
                <w:sz w:val="22"/>
                <w:szCs w:val="22"/>
                <w:lang w:val="en-GB" w:eastAsia="en-US"/>
              </w:rPr>
            </w:pPr>
          </w:p>
        </w:tc>
        <w:tc>
          <w:tcPr>
            <w:tcW w:w="638" w:type="dxa"/>
            <w:vMerge/>
            <w:shd w:val="clear" w:color="auto" w:fill="auto"/>
            <w:vAlign w:val="center"/>
          </w:tcPr>
          <w:p w:rsidR="006378A3" w:rsidRDefault="006378A3" w:rsidP="002E01ED">
            <w:pPr>
              <w:jc w:val="center"/>
              <w:rPr>
                <w:rFonts w:eastAsia="Calibri" w:cs="Arial"/>
                <w:b/>
                <w:sz w:val="22"/>
                <w:szCs w:val="22"/>
                <w:lang w:val="en-GB" w:eastAsia="en-US"/>
              </w:rPr>
            </w:pPr>
          </w:p>
        </w:tc>
        <w:tc>
          <w:tcPr>
            <w:tcW w:w="827" w:type="dxa"/>
            <w:shd w:val="clear" w:color="auto" w:fill="auto"/>
            <w:vAlign w:val="center"/>
          </w:tcPr>
          <w:p w:rsidR="006378A3" w:rsidRDefault="006378A3" w:rsidP="002E01ED">
            <w:pPr>
              <w:jc w:val="center"/>
              <w:rPr>
                <w:rFonts w:eastAsia="Calibri" w:cs="Arial"/>
                <w:b/>
                <w:sz w:val="22"/>
                <w:szCs w:val="22"/>
                <w:lang w:val="en-GB" w:eastAsia="en-US"/>
              </w:rPr>
            </w:pPr>
            <w:r>
              <w:rPr>
                <w:rFonts w:eastAsia="Calibri" w:cs="Arial"/>
                <w:b/>
                <w:sz w:val="22"/>
                <w:szCs w:val="22"/>
                <w:lang w:val="en-GB" w:eastAsia="en-US"/>
              </w:rPr>
              <w:t>I</w:t>
            </w:r>
          </w:p>
        </w:tc>
        <w:tc>
          <w:tcPr>
            <w:tcW w:w="938" w:type="dxa"/>
            <w:shd w:val="clear" w:color="auto" w:fill="auto"/>
            <w:vAlign w:val="center"/>
          </w:tcPr>
          <w:p w:rsidR="006378A3" w:rsidRDefault="006378A3" w:rsidP="002E01ED">
            <w:pPr>
              <w:jc w:val="center"/>
              <w:rPr>
                <w:rFonts w:eastAsia="Calibri" w:cs="Arial"/>
                <w:b/>
                <w:sz w:val="22"/>
                <w:szCs w:val="22"/>
                <w:lang w:val="en-GB" w:eastAsia="en-US"/>
              </w:rPr>
            </w:pPr>
            <w:r>
              <w:rPr>
                <w:rFonts w:eastAsia="Calibri" w:cs="Arial"/>
                <w:b/>
                <w:sz w:val="22"/>
                <w:szCs w:val="22"/>
                <w:lang w:val="en-GB" w:eastAsia="en-US"/>
              </w:rPr>
              <w:t>II</w:t>
            </w:r>
          </w:p>
        </w:tc>
        <w:tc>
          <w:tcPr>
            <w:tcW w:w="938" w:type="dxa"/>
            <w:shd w:val="clear" w:color="auto" w:fill="auto"/>
            <w:vAlign w:val="center"/>
          </w:tcPr>
          <w:p w:rsidR="006378A3" w:rsidRDefault="006378A3" w:rsidP="002E01ED">
            <w:pPr>
              <w:jc w:val="center"/>
              <w:rPr>
                <w:rFonts w:eastAsia="Calibri" w:cs="Arial"/>
                <w:b/>
                <w:sz w:val="22"/>
                <w:szCs w:val="22"/>
                <w:lang w:val="en-GB" w:eastAsia="en-US"/>
              </w:rPr>
            </w:pPr>
            <w:r>
              <w:rPr>
                <w:rFonts w:eastAsia="Calibri" w:cs="Arial"/>
                <w:b/>
                <w:sz w:val="22"/>
                <w:szCs w:val="22"/>
                <w:lang w:val="en-GB" w:eastAsia="en-US"/>
              </w:rPr>
              <w:t>III</w:t>
            </w:r>
          </w:p>
        </w:tc>
        <w:tc>
          <w:tcPr>
            <w:tcW w:w="827" w:type="dxa"/>
            <w:shd w:val="clear" w:color="auto" w:fill="auto"/>
            <w:vAlign w:val="center"/>
          </w:tcPr>
          <w:p w:rsidR="006378A3" w:rsidRDefault="006378A3" w:rsidP="002E01ED">
            <w:pPr>
              <w:jc w:val="center"/>
              <w:rPr>
                <w:rFonts w:eastAsia="Calibri" w:cs="Arial"/>
                <w:b/>
                <w:sz w:val="22"/>
                <w:szCs w:val="22"/>
                <w:lang w:val="en-GB" w:eastAsia="en-US"/>
              </w:rPr>
            </w:pPr>
            <w:r>
              <w:rPr>
                <w:rFonts w:eastAsia="Calibri" w:cs="Arial"/>
                <w:b/>
                <w:sz w:val="22"/>
                <w:szCs w:val="22"/>
                <w:lang w:val="en-GB" w:eastAsia="en-US"/>
              </w:rPr>
              <w:t>IV</w:t>
            </w:r>
          </w:p>
        </w:tc>
        <w:tc>
          <w:tcPr>
            <w:tcW w:w="827" w:type="dxa"/>
            <w:shd w:val="clear" w:color="auto" w:fill="auto"/>
            <w:vAlign w:val="center"/>
          </w:tcPr>
          <w:p w:rsidR="006378A3" w:rsidRDefault="006378A3" w:rsidP="002E01ED">
            <w:pPr>
              <w:jc w:val="center"/>
              <w:rPr>
                <w:rFonts w:eastAsia="Calibri" w:cs="Arial"/>
                <w:b/>
                <w:sz w:val="22"/>
                <w:szCs w:val="22"/>
                <w:lang w:val="en-GB" w:eastAsia="en-US"/>
              </w:rPr>
            </w:pPr>
            <w:r>
              <w:rPr>
                <w:rFonts w:eastAsia="Calibri" w:cs="Arial"/>
                <w:b/>
                <w:sz w:val="22"/>
                <w:szCs w:val="22"/>
                <w:lang w:val="en-GB" w:eastAsia="en-US"/>
              </w:rPr>
              <w:t>V</w:t>
            </w:r>
          </w:p>
        </w:tc>
        <w:tc>
          <w:tcPr>
            <w:tcW w:w="405" w:type="dxa"/>
            <w:shd w:val="clear" w:color="auto" w:fill="auto"/>
            <w:vAlign w:val="center"/>
          </w:tcPr>
          <w:p w:rsidR="006378A3" w:rsidRDefault="006378A3" w:rsidP="002E01ED">
            <w:pPr>
              <w:jc w:val="center"/>
              <w:rPr>
                <w:rFonts w:eastAsia="Calibri" w:cs="Arial"/>
                <w:b/>
                <w:sz w:val="22"/>
                <w:szCs w:val="22"/>
                <w:lang w:val="en-GB" w:eastAsia="en-US"/>
              </w:rPr>
            </w:pPr>
            <w:r>
              <w:rPr>
                <w:rFonts w:eastAsia="Calibri" w:cs="Arial"/>
                <w:b/>
                <w:sz w:val="22"/>
                <w:szCs w:val="22"/>
                <w:lang w:val="en-GB" w:eastAsia="en-US"/>
              </w:rPr>
              <w:t>VI</w:t>
            </w:r>
          </w:p>
        </w:tc>
        <w:tc>
          <w:tcPr>
            <w:tcW w:w="1010" w:type="dxa"/>
            <w:shd w:val="clear" w:color="auto" w:fill="auto"/>
            <w:vAlign w:val="center"/>
          </w:tcPr>
          <w:p w:rsidR="006378A3" w:rsidRDefault="006378A3" w:rsidP="002E01ED">
            <w:pPr>
              <w:jc w:val="center"/>
              <w:rPr>
                <w:rFonts w:eastAsia="Calibri" w:cs="Arial"/>
                <w:b/>
                <w:sz w:val="22"/>
                <w:szCs w:val="22"/>
                <w:lang w:val="en-GB" w:eastAsia="en-US"/>
              </w:rPr>
            </w:pPr>
          </w:p>
        </w:tc>
      </w:tr>
      <w:tr w:rsidR="006378A3" w:rsidTr="002E01ED">
        <w:trPr>
          <w:jc w:val="center"/>
        </w:trPr>
        <w:tc>
          <w:tcPr>
            <w:tcW w:w="537" w:type="dxa"/>
            <w:shd w:val="clear" w:color="auto" w:fill="auto"/>
            <w:vAlign w:val="center"/>
          </w:tcPr>
          <w:p w:rsidR="006378A3" w:rsidRDefault="006378A3" w:rsidP="002E01ED">
            <w:pPr>
              <w:jc w:val="center"/>
              <w:rPr>
                <w:rFonts w:eastAsia="Calibri" w:cs="Arial"/>
                <w:sz w:val="22"/>
                <w:szCs w:val="22"/>
                <w:lang w:val="en-GB" w:eastAsia="en-US"/>
              </w:rPr>
            </w:pPr>
            <w:r>
              <w:rPr>
                <w:rFonts w:eastAsia="Calibri" w:cs="Arial"/>
                <w:sz w:val="22"/>
                <w:szCs w:val="22"/>
                <w:lang w:val="en-GB" w:eastAsia="en-US"/>
              </w:rPr>
              <w:t>1</w:t>
            </w:r>
          </w:p>
        </w:tc>
        <w:tc>
          <w:tcPr>
            <w:tcW w:w="145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Arable</w:t>
            </w:r>
          </w:p>
        </w:tc>
        <w:tc>
          <w:tcPr>
            <w:tcW w:w="638" w:type="dxa"/>
            <w:shd w:val="clear" w:color="auto" w:fill="auto"/>
            <w:vAlign w:val="center"/>
          </w:tcPr>
          <w:p w:rsidR="006378A3" w:rsidRDefault="006378A3" w:rsidP="002E01ED">
            <w:pPr>
              <w:jc w:val="center"/>
              <w:rPr>
                <w:rFonts w:eastAsia="Calibri" w:cs="Arial"/>
                <w:sz w:val="22"/>
                <w:szCs w:val="22"/>
                <w:lang w:val="en-GB" w:eastAsia="en-US"/>
              </w:rPr>
            </w:pP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14,379</w:t>
            </w:r>
          </w:p>
        </w:tc>
        <w:tc>
          <w:tcPr>
            <w:tcW w:w="938"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110,009</w:t>
            </w:r>
          </w:p>
        </w:tc>
        <w:tc>
          <w:tcPr>
            <w:tcW w:w="938"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119,055</w:t>
            </w: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36,973</w:t>
            </w: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18,331</w:t>
            </w:r>
          </w:p>
        </w:tc>
        <w:tc>
          <w:tcPr>
            <w:tcW w:w="405" w:type="dxa"/>
            <w:shd w:val="clear" w:color="auto" w:fill="auto"/>
            <w:vAlign w:val="center"/>
          </w:tcPr>
          <w:p w:rsidR="006378A3" w:rsidRDefault="006378A3" w:rsidP="002E01ED">
            <w:pPr>
              <w:jc w:val="center"/>
              <w:rPr>
                <w:rFonts w:eastAsia="Calibri" w:cs="Arial"/>
                <w:sz w:val="22"/>
                <w:szCs w:val="22"/>
                <w:lang w:val="en-GB" w:eastAsia="en-US"/>
              </w:rPr>
            </w:pPr>
            <w:r>
              <w:rPr>
                <w:rFonts w:eastAsia="Calibri" w:cs="Arial"/>
                <w:sz w:val="22"/>
                <w:szCs w:val="22"/>
                <w:lang w:val="en-GB" w:eastAsia="en-US"/>
              </w:rPr>
              <w:t>0</w:t>
            </w:r>
          </w:p>
        </w:tc>
        <w:tc>
          <w:tcPr>
            <w:tcW w:w="1010"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209,739</w:t>
            </w:r>
          </w:p>
        </w:tc>
      </w:tr>
      <w:tr w:rsidR="006378A3" w:rsidTr="002E01ED">
        <w:trPr>
          <w:jc w:val="center"/>
        </w:trPr>
        <w:tc>
          <w:tcPr>
            <w:tcW w:w="537" w:type="dxa"/>
            <w:shd w:val="clear" w:color="auto" w:fill="auto"/>
            <w:vAlign w:val="center"/>
          </w:tcPr>
          <w:p w:rsidR="006378A3" w:rsidRDefault="006378A3" w:rsidP="002E01ED">
            <w:pPr>
              <w:jc w:val="center"/>
              <w:rPr>
                <w:rFonts w:eastAsia="Calibri" w:cs="Arial"/>
                <w:sz w:val="22"/>
                <w:szCs w:val="22"/>
                <w:lang w:val="en-GB" w:eastAsia="en-US"/>
              </w:rPr>
            </w:pPr>
            <w:r>
              <w:rPr>
                <w:rFonts w:eastAsia="Calibri" w:cs="Arial"/>
                <w:sz w:val="22"/>
                <w:szCs w:val="22"/>
                <w:lang w:val="en-GB" w:eastAsia="en-US"/>
              </w:rPr>
              <w:t>2</w:t>
            </w:r>
          </w:p>
        </w:tc>
        <w:tc>
          <w:tcPr>
            <w:tcW w:w="145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 xml:space="preserve">Grassland </w:t>
            </w:r>
          </w:p>
        </w:tc>
        <w:tc>
          <w:tcPr>
            <w:tcW w:w="638" w:type="dxa"/>
            <w:shd w:val="clear" w:color="auto" w:fill="auto"/>
            <w:vAlign w:val="center"/>
          </w:tcPr>
          <w:p w:rsidR="006378A3" w:rsidRDefault="006378A3" w:rsidP="002E01ED">
            <w:pPr>
              <w:jc w:val="center"/>
              <w:rPr>
                <w:rFonts w:eastAsia="Calibri" w:cs="Arial"/>
                <w:sz w:val="22"/>
                <w:szCs w:val="22"/>
                <w:lang w:val="en-GB" w:eastAsia="en-US"/>
              </w:rPr>
            </w:pP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1,503</w:t>
            </w:r>
          </w:p>
        </w:tc>
        <w:tc>
          <w:tcPr>
            <w:tcW w:w="938"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12,775</w:t>
            </w:r>
          </w:p>
        </w:tc>
        <w:tc>
          <w:tcPr>
            <w:tcW w:w="938"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8,266</w:t>
            </w: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48,845</w:t>
            </w: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3,757</w:t>
            </w:r>
          </w:p>
        </w:tc>
        <w:tc>
          <w:tcPr>
            <w:tcW w:w="405" w:type="dxa"/>
            <w:shd w:val="clear" w:color="auto" w:fill="auto"/>
            <w:vAlign w:val="center"/>
          </w:tcPr>
          <w:p w:rsidR="006378A3" w:rsidRDefault="006378A3" w:rsidP="002E01ED">
            <w:pPr>
              <w:jc w:val="center"/>
              <w:rPr>
                <w:rFonts w:eastAsia="Calibri" w:cs="Arial"/>
                <w:sz w:val="22"/>
                <w:szCs w:val="22"/>
                <w:lang w:val="en-GB" w:eastAsia="en-US"/>
              </w:rPr>
            </w:pPr>
            <w:r>
              <w:rPr>
                <w:rFonts w:eastAsia="Calibri" w:cs="Arial"/>
                <w:sz w:val="22"/>
                <w:szCs w:val="22"/>
                <w:lang w:val="en-GB" w:eastAsia="en-US"/>
              </w:rPr>
              <w:t>0</w:t>
            </w:r>
          </w:p>
        </w:tc>
        <w:tc>
          <w:tcPr>
            <w:tcW w:w="1010"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75,146</w:t>
            </w:r>
          </w:p>
        </w:tc>
      </w:tr>
      <w:tr w:rsidR="006378A3" w:rsidTr="002E01ED">
        <w:trPr>
          <w:jc w:val="center"/>
        </w:trPr>
        <w:tc>
          <w:tcPr>
            <w:tcW w:w="537" w:type="dxa"/>
            <w:shd w:val="clear" w:color="auto" w:fill="auto"/>
            <w:vAlign w:val="center"/>
          </w:tcPr>
          <w:p w:rsidR="006378A3" w:rsidRDefault="006378A3" w:rsidP="002E01ED">
            <w:pPr>
              <w:jc w:val="center"/>
              <w:rPr>
                <w:rFonts w:eastAsia="Calibri" w:cs="Arial"/>
                <w:sz w:val="22"/>
                <w:szCs w:val="22"/>
                <w:lang w:val="en-GB" w:eastAsia="en-US"/>
              </w:rPr>
            </w:pPr>
            <w:r>
              <w:rPr>
                <w:rFonts w:eastAsia="Calibri" w:cs="Arial"/>
                <w:sz w:val="22"/>
                <w:szCs w:val="22"/>
                <w:lang w:val="en-GB" w:eastAsia="en-US"/>
              </w:rPr>
              <w:t>3</w:t>
            </w:r>
          </w:p>
        </w:tc>
        <w:tc>
          <w:tcPr>
            <w:tcW w:w="145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 xml:space="preserve">Meadows </w:t>
            </w:r>
          </w:p>
        </w:tc>
        <w:tc>
          <w:tcPr>
            <w:tcW w:w="638" w:type="dxa"/>
            <w:shd w:val="clear" w:color="auto" w:fill="auto"/>
            <w:vAlign w:val="center"/>
          </w:tcPr>
          <w:p w:rsidR="006378A3" w:rsidRDefault="006378A3" w:rsidP="002E01ED">
            <w:pPr>
              <w:jc w:val="center"/>
              <w:rPr>
                <w:rFonts w:eastAsia="Calibri" w:cs="Arial"/>
                <w:sz w:val="22"/>
                <w:szCs w:val="22"/>
                <w:lang w:val="en-GB" w:eastAsia="en-US"/>
              </w:rPr>
            </w:pP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293</w:t>
            </w:r>
          </w:p>
        </w:tc>
        <w:tc>
          <w:tcPr>
            <w:tcW w:w="938"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2,488</w:t>
            </w:r>
          </w:p>
        </w:tc>
        <w:tc>
          <w:tcPr>
            <w:tcW w:w="938"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1,609</w:t>
            </w: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9,513</w:t>
            </w: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732</w:t>
            </w:r>
          </w:p>
        </w:tc>
        <w:tc>
          <w:tcPr>
            <w:tcW w:w="405" w:type="dxa"/>
            <w:shd w:val="clear" w:color="auto" w:fill="auto"/>
            <w:vAlign w:val="center"/>
          </w:tcPr>
          <w:p w:rsidR="006378A3" w:rsidRDefault="006378A3" w:rsidP="002E01ED">
            <w:pPr>
              <w:jc w:val="center"/>
              <w:rPr>
                <w:rFonts w:eastAsia="Calibri" w:cs="Arial"/>
                <w:sz w:val="22"/>
                <w:szCs w:val="22"/>
                <w:lang w:val="en-GB" w:eastAsia="en-US"/>
              </w:rPr>
            </w:pPr>
            <w:r>
              <w:rPr>
                <w:rFonts w:eastAsia="Calibri" w:cs="Arial"/>
                <w:sz w:val="22"/>
                <w:szCs w:val="22"/>
                <w:lang w:val="en-GB" w:eastAsia="en-US"/>
              </w:rPr>
              <w:t>0</w:t>
            </w:r>
          </w:p>
        </w:tc>
        <w:tc>
          <w:tcPr>
            <w:tcW w:w="1010"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14,635</w:t>
            </w:r>
          </w:p>
        </w:tc>
      </w:tr>
      <w:tr w:rsidR="006378A3" w:rsidTr="002E01ED">
        <w:trPr>
          <w:jc w:val="center"/>
        </w:trPr>
        <w:tc>
          <w:tcPr>
            <w:tcW w:w="537" w:type="dxa"/>
            <w:shd w:val="clear" w:color="auto" w:fill="auto"/>
            <w:vAlign w:val="center"/>
          </w:tcPr>
          <w:p w:rsidR="006378A3" w:rsidRDefault="006378A3" w:rsidP="002E01ED">
            <w:pPr>
              <w:jc w:val="center"/>
              <w:rPr>
                <w:rFonts w:eastAsia="Calibri" w:cs="Arial"/>
                <w:sz w:val="22"/>
                <w:szCs w:val="22"/>
                <w:lang w:val="en-GB" w:eastAsia="en-US"/>
              </w:rPr>
            </w:pPr>
            <w:r>
              <w:rPr>
                <w:rFonts w:eastAsia="Calibri" w:cs="Arial"/>
                <w:sz w:val="22"/>
                <w:szCs w:val="22"/>
                <w:lang w:val="en-GB" w:eastAsia="en-US"/>
              </w:rPr>
              <w:t>4</w:t>
            </w:r>
          </w:p>
        </w:tc>
        <w:tc>
          <w:tcPr>
            <w:tcW w:w="145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Vineyards</w:t>
            </w:r>
          </w:p>
        </w:tc>
        <w:tc>
          <w:tcPr>
            <w:tcW w:w="638" w:type="dxa"/>
            <w:shd w:val="clear" w:color="auto" w:fill="auto"/>
            <w:vAlign w:val="center"/>
          </w:tcPr>
          <w:p w:rsidR="006378A3" w:rsidRDefault="006378A3" w:rsidP="002E01ED">
            <w:pPr>
              <w:jc w:val="center"/>
              <w:rPr>
                <w:rFonts w:eastAsia="Calibri" w:cs="Arial"/>
                <w:sz w:val="22"/>
                <w:szCs w:val="22"/>
                <w:lang w:val="en-GB" w:eastAsia="en-US"/>
              </w:rPr>
            </w:pP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0</w:t>
            </w:r>
          </w:p>
        </w:tc>
        <w:tc>
          <w:tcPr>
            <w:tcW w:w="938"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0</w:t>
            </w:r>
          </w:p>
        </w:tc>
        <w:tc>
          <w:tcPr>
            <w:tcW w:w="938"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23</w:t>
            </w: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600</w:t>
            </w: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1,067</w:t>
            </w:r>
          </w:p>
        </w:tc>
        <w:tc>
          <w:tcPr>
            <w:tcW w:w="405" w:type="dxa"/>
            <w:shd w:val="clear" w:color="auto" w:fill="auto"/>
            <w:vAlign w:val="center"/>
          </w:tcPr>
          <w:p w:rsidR="006378A3" w:rsidRDefault="006378A3" w:rsidP="002E01ED">
            <w:pPr>
              <w:jc w:val="center"/>
              <w:rPr>
                <w:rFonts w:eastAsia="Calibri" w:cs="Arial"/>
                <w:sz w:val="22"/>
                <w:szCs w:val="22"/>
                <w:lang w:val="en-GB" w:eastAsia="en-US"/>
              </w:rPr>
            </w:pPr>
            <w:r>
              <w:rPr>
                <w:rFonts w:eastAsia="Calibri" w:cs="Arial"/>
                <w:sz w:val="22"/>
                <w:szCs w:val="22"/>
                <w:lang w:val="en-GB" w:eastAsia="en-US"/>
              </w:rPr>
              <w:t>0</w:t>
            </w:r>
          </w:p>
        </w:tc>
        <w:tc>
          <w:tcPr>
            <w:tcW w:w="1010"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1,680</w:t>
            </w:r>
          </w:p>
        </w:tc>
      </w:tr>
      <w:tr w:rsidR="006378A3" w:rsidTr="002E01ED">
        <w:trPr>
          <w:jc w:val="center"/>
        </w:trPr>
        <w:tc>
          <w:tcPr>
            <w:tcW w:w="537" w:type="dxa"/>
            <w:shd w:val="clear" w:color="auto" w:fill="auto"/>
            <w:vAlign w:val="center"/>
          </w:tcPr>
          <w:p w:rsidR="006378A3" w:rsidRDefault="006378A3" w:rsidP="002E01ED">
            <w:pPr>
              <w:jc w:val="center"/>
              <w:rPr>
                <w:rFonts w:eastAsia="Calibri" w:cs="Arial"/>
                <w:sz w:val="22"/>
                <w:szCs w:val="22"/>
                <w:lang w:val="en-GB" w:eastAsia="en-US"/>
              </w:rPr>
            </w:pPr>
            <w:r>
              <w:rPr>
                <w:rFonts w:eastAsia="Calibri" w:cs="Arial"/>
                <w:sz w:val="22"/>
                <w:szCs w:val="22"/>
                <w:lang w:val="en-GB" w:eastAsia="en-US"/>
              </w:rPr>
              <w:t>5</w:t>
            </w:r>
          </w:p>
        </w:tc>
        <w:tc>
          <w:tcPr>
            <w:tcW w:w="145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Orchards</w:t>
            </w:r>
          </w:p>
        </w:tc>
        <w:tc>
          <w:tcPr>
            <w:tcW w:w="638" w:type="dxa"/>
            <w:shd w:val="clear" w:color="auto" w:fill="auto"/>
            <w:vAlign w:val="center"/>
          </w:tcPr>
          <w:p w:rsidR="006378A3" w:rsidRDefault="006378A3" w:rsidP="002E01ED">
            <w:pPr>
              <w:jc w:val="center"/>
              <w:rPr>
                <w:rFonts w:eastAsia="Calibri" w:cs="Arial"/>
                <w:sz w:val="22"/>
                <w:szCs w:val="22"/>
                <w:lang w:val="en-GB" w:eastAsia="en-US"/>
              </w:rPr>
            </w:pP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33</w:t>
            </w:r>
          </w:p>
        </w:tc>
        <w:tc>
          <w:tcPr>
            <w:tcW w:w="938"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395</w:t>
            </w:r>
          </w:p>
        </w:tc>
        <w:tc>
          <w:tcPr>
            <w:tcW w:w="938"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11</w:t>
            </w: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117</w:t>
            </w:r>
          </w:p>
        </w:tc>
        <w:tc>
          <w:tcPr>
            <w:tcW w:w="827"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2,003</w:t>
            </w:r>
          </w:p>
        </w:tc>
        <w:tc>
          <w:tcPr>
            <w:tcW w:w="405" w:type="dxa"/>
            <w:shd w:val="clear" w:color="auto" w:fill="auto"/>
            <w:vAlign w:val="center"/>
          </w:tcPr>
          <w:p w:rsidR="006378A3" w:rsidRDefault="006378A3" w:rsidP="002E01ED">
            <w:pPr>
              <w:jc w:val="center"/>
              <w:rPr>
                <w:rFonts w:eastAsia="Calibri" w:cs="Arial"/>
                <w:sz w:val="22"/>
                <w:szCs w:val="22"/>
                <w:lang w:val="en-GB" w:eastAsia="en-US"/>
              </w:rPr>
            </w:pPr>
            <w:r>
              <w:rPr>
                <w:rFonts w:eastAsia="Calibri" w:cs="Arial"/>
                <w:sz w:val="22"/>
                <w:szCs w:val="22"/>
                <w:lang w:val="en-GB" w:eastAsia="en-US"/>
              </w:rPr>
              <w:t>0</w:t>
            </w:r>
          </w:p>
        </w:tc>
        <w:tc>
          <w:tcPr>
            <w:tcW w:w="1010" w:type="dxa"/>
            <w:shd w:val="clear" w:color="auto" w:fill="auto"/>
            <w:vAlign w:val="center"/>
          </w:tcPr>
          <w:p w:rsidR="006378A3" w:rsidRDefault="006378A3" w:rsidP="002E01ED">
            <w:pPr>
              <w:jc w:val="right"/>
              <w:rPr>
                <w:rFonts w:eastAsia="Calibri" w:cs="Arial"/>
                <w:sz w:val="22"/>
                <w:szCs w:val="22"/>
                <w:lang w:val="en-GB" w:eastAsia="en-US"/>
              </w:rPr>
            </w:pPr>
            <w:r>
              <w:rPr>
                <w:rFonts w:eastAsia="Calibri" w:cs="Arial"/>
                <w:sz w:val="22"/>
                <w:szCs w:val="22"/>
                <w:lang w:val="en-GB" w:eastAsia="en-US"/>
              </w:rPr>
              <w:t>2,556</w:t>
            </w:r>
          </w:p>
        </w:tc>
      </w:tr>
      <w:tr w:rsidR="006378A3" w:rsidTr="002E01ED">
        <w:trPr>
          <w:jc w:val="center"/>
        </w:trPr>
        <w:tc>
          <w:tcPr>
            <w:tcW w:w="537" w:type="dxa"/>
            <w:shd w:val="clear" w:color="auto" w:fill="auto"/>
            <w:vAlign w:val="center"/>
          </w:tcPr>
          <w:p w:rsidR="006378A3" w:rsidRDefault="006378A3" w:rsidP="002E01ED">
            <w:pPr>
              <w:jc w:val="center"/>
              <w:rPr>
                <w:rFonts w:eastAsia="Calibri" w:cs="Arial"/>
                <w:b/>
                <w:sz w:val="22"/>
                <w:szCs w:val="22"/>
                <w:lang w:val="en-GB" w:eastAsia="en-US"/>
              </w:rPr>
            </w:pPr>
          </w:p>
        </w:tc>
        <w:tc>
          <w:tcPr>
            <w:tcW w:w="1459" w:type="dxa"/>
            <w:shd w:val="clear" w:color="auto" w:fill="auto"/>
            <w:vAlign w:val="center"/>
          </w:tcPr>
          <w:p w:rsidR="006378A3" w:rsidRDefault="006378A3" w:rsidP="002E01ED">
            <w:pPr>
              <w:jc w:val="center"/>
              <w:rPr>
                <w:rFonts w:eastAsia="Calibri" w:cs="Arial"/>
                <w:b/>
                <w:sz w:val="22"/>
                <w:szCs w:val="22"/>
                <w:lang w:val="en-GB" w:eastAsia="en-US"/>
              </w:rPr>
            </w:pPr>
          </w:p>
        </w:tc>
        <w:tc>
          <w:tcPr>
            <w:tcW w:w="638" w:type="dxa"/>
            <w:shd w:val="clear" w:color="auto" w:fill="auto"/>
            <w:vAlign w:val="center"/>
          </w:tcPr>
          <w:p w:rsidR="006378A3" w:rsidRDefault="006378A3" w:rsidP="002E01ED">
            <w:pPr>
              <w:jc w:val="center"/>
              <w:rPr>
                <w:rFonts w:eastAsia="Calibri" w:cs="Arial"/>
                <w:b/>
                <w:sz w:val="22"/>
                <w:szCs w:val="22"/>
                <w:lang w:val="en-GB" w:eastAsia="en-US"/>
              </w:rPr>
            </w:pPr>
          </w:p>
        </w:tc>
        <w:tc>
          <w:tcPr>
            <w:tcW w:w="827" w:type="dxa"/>
            <w:shd w:val="clear" w:color="auto" w:fill="auto"/>
            <w:vAlign w:val="center"/>
          </w:tcPr>
          <w:p w:rsidR="006378A3" w:rsidRDefault="006378A3" w:rsidP="002E01ED">
            <w:pPr>
              <w:jc w:val="right"/>
              <w:rPr>
                <w:rFonts w:eastAsia="Calibri" w:cs="Arial"/>
                <w:b/>
                <w:sz w:val="22"/>
                <w:szCs w:val="22"/>
                <w:lang w:val="en-GB" w:eastAsia="en-US"/>
              </w:rPr>
            </w:pPr>
            <w:r>
              <w:rPr>
                <w:rFonts w:eastAsia="Calibri" w:cs="Arial"/>
                <w:b/>
                <w:sz w:val="22"/>
                <w:szCs w:val="22"/>
                <w:lang w:val="en-GB" w:eastAsia="en-US"/>
              </w:rPr>
              <w:t>16,208</w:t>
            </w:r>
          </w:p>
        </w:tc>
        <w:tc>
          <w:tcPr>
            <w:tcW w:w="938" w:type="dxa"/>
            <w:shd w:val="clear" w:color="auto" w:fill="auto"/>
            <w:vAlign w:val="center"/>
          </w:tcPr>
          <w:p w:rsidR="006378A3" w:rsidRDefault="006378A3" w:rsidP="002E01ED">
            <w:pPr>
              <w:jc w:val="right"/>
              <w:rPr>
                <w:rFonts w:eastAsia="Calibri" w:cs="Arial"/>
                <w:b/>
                <w:sz w:val="22"/>
                <w:szCs w:val="22"/>
                <w:lang w:val="en-GB" w:eastAsia="en-US"/>
              </w:rPr>
            </w:pPr>
            <w:r>
              <w:rPr>
                <w:rFonts w:eastAsia="Calibri" w:cs="Arial"/>
                <w:b/>
                <w:sz w:val="22"/>
                <w:szCs w:val="22"/>
                <w:lang w:val="en-GB" w:eastAsia="en-US"/>
              </w:rPr>
              <w:t>125,667</w:t>
            </w:r>
          </w:p>
        </w:tc>
        <w:tc>
          <w:tcPr>
            <w:tcW w:w="938" w:type="dxa"/>
            <w:shd w:val="clear" w:color="auto" w:fill="auto"/>
            <w:vAlign w:val="center"/>
          </w:tcPr>
          <w:p w:rsidR="006378A3" w:rsidRDefault="006378A3" w:rsidP="002E01ED">
            <w:pPr>
              <w:jc w:val="right"/>
              <w:rPr>
                <w:rFonts w:eastAsia="Calibri" w:cs="Arial"/>
                <w:b/>
                <w:sz w:val="22"/>
                <w:szCs w:val="22"/>
                <w:lang w:val="en-GB" w:eastAsia="en-US"/>
              </w:rPr>
            </w:pPr>
            <w:r>
              <w:rPr>
                <w:rFonts w:eastAsia="Calibri" w:cs="Arial"/>
                <w:b/>
                <w:sz w:val="22"/>
                <w:szCs w:val="22"/>
                <w:lang w:val="en-GB" w:eastAsia="en-US"/>
              </w:rPr>
              <w:t>128,956</w:t>
            </w:r>
          </w:p>
        </w:tc>
        <w:tc>
          <w:tcPr>
            <w:tcW w:w="827" w:type="dxa"/>
            <w:shd w:val="clear" w:color="auto" w:fill="auto"/>
            <w:vAlign w:val="center"/>
          </w:tcPr>
          <w:p w:rsidR="006378A3" w:rsidRDefault="006378A3" w:rsidP="002E01ED">
            <w:pPr>
              <w:jc w:val="right"/>
              <w:rPr>
                <w:rFonts w:eastAsia="Calibri" w:cs="Arial"/>
                <w:b/>
                <w:sz w:val="22"/>
                <w:szCs w:val="22"/>
                <w:lang w:val="en-GB" w:eastAsia="en-US"/>
              </w:rPr>
            </w:pPr>
            <w:r>
              <w:rPr>
                <w:rFonts w:eastAsia="Calibri" w:cs="Arial"/>
                <w:b/>
                <w:sz w:val="22"/>
                <w:szCs w:val="22"/>
                <w:lang w:val="en-GB" w:eastAsia="en-US"/>
              </w:rPr>
              <w:t>96,048</w:t>
            </w:r>
          </w:p>
        </w:tc>
        <w:tc>
          <w:tcPr>
            <w:tcW w:w="827" w:type="dxa"/>
            <w:shd w:val="clear" w:color="auto" w:fill="auto"/>
            <w:vAlign w:val="center"/>
          </w:tcPr>
          <w:p w:rsidR="006378A3" w:rsidRDefault="006378A3" w:rsidP="002E01ED">
            <w:pPr>
              <w:jc w:val="right"/>
              <w:rPr>
                <w:rFonts w:eastAsia="Calibri" w:cs="Arial"/>
                <w:b/>
                <w:sz w:val="22"/>
                <w:szCs w:val="22"/>
                <w:lang w:val="en-GB" w:eastAsia="en-US"/>
              </w:rPr>
            </w:pPr>
            <w:r>
              <w:rPr>
                <w:rFonts w:eastAsia="Calibri" w:cs="Arial"/>
                <w:b/>
                <w:sz w:val="22"/>
                <w:szCs w:val="22"/>
                <w:lang w:val="en-GB" w:eastAsia="en-US"/>
              </w:rPr>
              <w:t>25,890</w:t>
            </w:r>
          </w:p>
        </w:tc>
        <w:tc>
          <w:tcPr>
            <w:tcW w:w="405" w:type="dxa"/>
            <w:shd w:val="clear" w:color="auto" w:fill="auto"/>
            <w:vAlign w:val="center"/>
          </w:tcPr>
          <w:p w:rsidR="006378A3" w:rsidRDefault="006378A3" w:rsidP="002E01ED">
            <w:pPr>
              <w:jc w:val="center"/>
              <w:rPr>
                <w:rFonts w:eastAsia="Calibri" w:cs="Arial"/>
                <w:b/>
                <w:sz w:val="22"/>
                <w:szCs w:val="22"/>
                <w:lang w:val="en-GB" w:eastAsia="en-US"/>
              </w:rPr>
            </w:pPr>
            <w:r>
              <w:rPr>
                <w:rFonts w:eastAsia="Calibri" w:cs="Arial"/>
                <w:b/>
                <w:sz w:val="22"/>
                <w:szCs w:val="22"/>
                <w:lang w:val="en-GB" w:eastAsia="en-US"/>
              </w:rPr>
              <w:t>0</w:t>
            </w:r>
          </w:p>
        </w:tc>
        <w:tc>
          <w:tcPr>
            <w:tcW w:w="1010" w:type="dxa"/>
            <w:shd w:val="clear" w:color="auto" w:fill="auto"/>
            <w:vAlign w:val="center"/>
          </w:tcPr>
          <w:p w:rsidR="006378A3" w:rsidRDefault="006378A3" w:rsidP="002E01ED">
            <w:pPr>
              <w:jc w:val="right"/>
              <w:rPr>
                <w:rFonts w:eastAsia="Calibri" w:cs="Arial"/>
                <w:b/>
                <w:sz w:val="22"/>
                <w:szCs w:val="22"/>
                <w:lang w:val="en-GB" w:eastAsia="en-US"/>
              </w:rPr>
            </w:pPr>
            <w:r>
              <w:rPr>
                <w:rFonts w:eastAsia="Calibri" w:cs="Arial"/>
                <w:b/>
                <w:sz w:val="22"/>
                <w:szCs w:val="22"/>
                <w:lang w:val="en-GB" w:eastAsia="en-US"/>
              </w:rPr>
              <w:t>392,769</w:t>
            </w:r>
          </w:p>
        </w:tc>
      </w:tr>
    </w:tbl>
    <w:p w:rsidR="006378A3" w:rsidRDefault="006378A3" w:rsidP="006378A3">
      <w:pPr>
        <w:spacing w:before="60" w:after="60" w:line="288" w:lineRule="auto"/>
        <w:jc w:val="both"/>
        <w:rPr>
          <w:lang w:val="en-GB"/>
        </w:rPr>
      </w:pPr>
    </w:p>
    <w:p w:rsidR="006378A3" w:rsidRDefault="006378A3" w:rsidP="006378A3">
      <w:pPr>
        <w:spacing w:before="60" w:after="60" w:line="288" w:lineRule="auto"/>
        <w:ind w:firstLine="720"/>
        <w:jc w:val="both"/>
        <w:rPr>
          <w:lang w:val="en-GB"/>
        </w:rPr>
      </w:pPr>
      <w:r>
        <w:rPr>
          <w:lang w:val="en-GB"/>
        </w:rPr>
        <w:t>During 2013, in Botosani County have not occurred major environment pollution accidents leading to soil contamination.</w:t>
      </w:r>
    </w:p>
    <w:p w:rsidR="006378A3" w:rsidRDefault="006378A3" w:rsidP="006378A3">
      <w:pPr>
        <w:spacing w:before="60" w:after="60" w:line="288" w:lineRule="auto"/>
        <w:jc w:val="both"/>
        <w:rPr>
          <w:lang w:val="en-GB"/>
        </w:rPr>
      </w:pPr>
    </w:p>
    <w:p w:rsidR="006378A3" w:rsidRDefault="006378A3" w:rsidP="006378A3">
      <w:pPr>
        <w:pStyle w:val="Heading1"/>
        <w:rPr>
          <w:rFonts w:ascii="Arial" w:hAnsi="Arial" w:cs="Arial"/>
          <w:sz w:val="24"/>
          <w:szCs w:val="24"/>
          <w:lang w:val="en-GB" w:eastAsia="ro-RO"/>
        </w:rPr>
      </w:pPr>
      <w:bookmarkStart w:id="13" w:name="_Toc419704925"/>
      <w:r>
        <w:rPr>
          <w:rFonts w:ascii="Arial" w:hAnsi="Arial" w:cs="Arial"/>
          <w:sz w:val="24"/>
          <w:szCs w:val="24"/>
          <w:lang w:val="en-GB" w:eastAsia="ro-RO"/>
        </w:rPr>
        <w:t>4.2. Maramureş County</w:t>
      </w:r>
      <w:bookmarkEnd w:id="13"/>
    </w:p>
    <w:p w:rsidR="006378A3" w:rsidRDefault="006378A3" w:rsidP="006378A3">
      <w:pPr>
        <w:spacing w:before="60" w:after="60" w:line="288" w:lineRule="auto"/>
        <w:jc w:val="both"/>
        <w:rPr>
          <w:b/>
          <w:u w:val="single"/>
          <w:lang w:val="en-GB"/>
        </w:rPr>
      </w:pPr>
    </w:p>
    <w:p w:rsidR="006378A3" w:rsidRDefault="006378A3" w:rsidP="006378A3">
      <w:pPr>
        <w:numPr>
          <w:ilvl w:val="0"/>
          <w:numId w:val="67"/>
        </w:numPr>
        <w:spacing w:after="200" w:line="276" w:lineRule="auto"/>
        <w:jc w:val="both"/>
        <w:rPr>
          <w:rFonts w:eastAsia="Calibri" w:cs="Arial"/>
          <w:b/>
          <w:lang w:val="en-GB"/>
        </w:rPr>
      </w:pPr>
      <w:r>
        <w:rPr>
          <w:rFonts w:eastAsia="Calibri" w:cs="Arial"/>
          <w:b/>
          <w:lang w:val="en-GB"/>
        </w:rPr>
        <w:t>AIR</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bCs/>
          <w:i/>
          <w:lang w:val="en-GB" w:eastAsia="x-none"/>
        </w:rPr>
      </w:pPr>
      <w:r>
        <w:rPr>
          <w:rFonts w:cs="Arial"/>
          <w:i/>
          <w:lang w:val="en-GB" w:eastAsia="x-none"/>
        </w:rPr>
        <w:t xml:space="preserve">Sulphur dioxide </w:t>
      </w:r>
      <w:r>
        <w:rPr>
          <w:rFonts w:cs="Arial"/>
          <w:bCs/>
          <w:i/>
          <w:lang w:val="en-GB" w:eastAsia="x-none"/>
        </w:rPr>
        <w:t>(SO</w:t>
      </w:r>
      <w:r>
        <w:rPr>
          <w:rFonts w:cs="Arial"/>
          <w:bCs/>
          <w:i/>
          <w:vertAlign w:val="subscript"/>
          <w:lang w:val="en-GB" w:eastAsia="x-none"/>
        </w:rPr>
        <w:t>2</w:t>
      </w:r>
      <w:r>
        <w:rPr>
          <w:rFonts w:cs="Arial"/>
          <w:bCs/>
          <w:i/>
          <w:lang w:val="en-GB" w:eastAsia="x-none"/>
        </w:rPr>
        <w:t>)</w:t>
      </w:r>
    </w:p>
    <w:p w:rsidR="006378A3" w:rsidRDefault="006378A3" w:rsidP="006378A3">
      <w:pPr>
        <w:autoSpaceDE w:val="0"/>
        <w:autoSpaceDN w:val="0"/>
        <w:adjustRightInd w:val="0"/>
        <w:spacing w:before="60" w:after="60" w:line="288" w:lineRule="auto"/>
        <w:ind w:firstLine="720"/>
        <w:jc w:val="both"/>
        <w:rPr>
          <w:rFonts w:eastAsia="Calibri" w:cs="Arial"/>
          <w:color w:val="000000"/>
          <w:lang w:val="en-GB" w:eastAsia="en-US"/>
        </w:rPr>
      </w:pPr>
      <w:r>
        <w:rPr>
          <w:rFonts w:eastAsia="Calibri" w:cs="Arial"/>
          <w:color w:val="000000"/>
          <w:lang w:val="en-GB" w:eastAsia="en-US"/>
        </w:rPr>
        <w:t>In 2013, from the analysis of inventory of emissions of pollutants into the atmosphere in the Maramures County the SO</w:t>
      </w:r>
      <w:r>
        <w:rPr>
          <w:rFonts w:eastAsia="Calibri" w:cs="Arial"/>
          <w:color w:val="000000"/>
          <w:vertAlign w:val="subscript"/>
          <w:lang w:val="en-GB" w:eastAsia="en-US"/>
        </w:rPr>
        <w:t>2</w:t>
      </w:r>
      <w:r>
        <w:rPr>
          <w:rFonts w:eastAsia="Calibri" w:cs="Arial"/>
          <w:color w:val="000000"/>
          <w:lang w:val="en-GB" w:eastAsia="en-US"/>
        </w:rPr>
        <w:t xml:space="preserve"> emissions didn’t result. Evolution for the annual emissions of the sulphur dioxide into the atmosphere over the past ten years is shown in </w:t>
      </w:r>
      <w:r>
        <w:rPr>
          <w:rFonts w:eastAsia="Calibri" w:cs="Arial"/>
          <w:b/>
          <w:color w:val="000000"/>
          <w:lang w:val="en-GB" w:eastAsia="en-US"/>
        </w:rPr>
        <w:t>Table 4.2.1:</w:t>
      </w:r>
    </w:p>
    <w:p w:rsidR="006378A3" w:rsidRDefault="006378A3" w:rsidP="006378A3">
      <w:pPr>
        <w:autoSpaceDE w:val="0"/>
        <w:autoSpaceDN w:val="0"/>
        <w:adjustRightInd w:val="0"/>
        <w:spacing w:before="60" w:after="60" w:line="288" w:lineRule="auto"/>
        <w:ind w:firstLine="720"/>
        <w:jc w:val="both"/>
        <w:rPr>
          <w:rFonts w:eastAsia="Calibri" w:cs="Arial"/>
          <w:color w:val="000000"/>
          <w:lang w:val="en-GB" w:eastAsia="en-US"/>
        </w:rPr>
      </w:pPr>
    </w:p>
    <w:p w:rsidR="006378A3" w:rsidRDefault="006378A3" w:rsidP="006378A3">
      <w:pPr>
        <w:autoSpaceDE w:val="0"/>
        <w:autoSpaceDN w:val="0"/>
        <w:adjustRightInd w:val="0"/>
        <w:spacing w:before="60" w:after="60" w:line="288" w:lineRule="auto"/>
        <w:ind w:left="360"/>
        <w:jc w:val="center"/>
        <w:rPr>
          <w:rFonts w:eastAsia="Calibri" w:cs="Arial"/>
          <w:b/>
          <w:bCs/>
          <w:i/>
          <w:sz w:val="22"/>
          <w:szCs w:val="22"/>
          <w:lang w:val="en-GB" w:eastAsia="en-US"/>
        </w:rPr>
      </w:pPr>
      <w:r>
        <w:rPr>
          <w:rFonts w:eastAsia="Calibri" w:cs="Arial"/>
          <w:b/>
          <w:bCs/>
          <w:i/>
          <w:sz w:val="22"/>
          <w:szCs w:val="22"/>
          <w:lang w:val="en-GB" w:eastAsia="en-US"/>
        </w:rPr>
        <w:t xml:space="preserve">Table 4.2.1 </w:t>
      </w:r>
      <w:r>
        <w:rPr>
          <w:rFonts w:eastAsia="Calibri" w:cs="Arial"/>
          <w:bCs/>
          <w:sz w:val="22"/>
          <w:szCs w:val="22"/>
          <w:lang w:val="en-GB" w:eastAsia="en-US"/>
        </w:rPr>
        <w:t>Annual emission of SO</w:t>
      </w:r>
      <w:r>
        <w:rPr>
          <w:rFonts w:eastAsia="Calibri" w:cs="Arial"/>
          <w:bCs/>
          <w:sz w:val="22"/>
          <w:szCs w:val="22"/>
          <w:vertAlign w:val="subscript"/>
          <w:lang w:val="en-GB" w:eastAsia="en-US"/>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709"/>
        <w:gridCol w:w="767"/>
        <w:gridCol w:w="767"/>
        <w:gridCol w:w="889"/>
        <w:gridCol w:w="889"/>
        <w:gridCol w:w="889"/>
        <w:gridCol w:w="889"/>
        <w:gridCol w:w="767"/>
        <w:gridCol w:w="709"/>
        <w:gridCol w:w="709"/>
      </w:tblGrid>
      <w:tr w:rsidR="006378A3" w:rsidTr="002E01ED">
        <w:trPr>
          <w:jc w:val="center"/>
        </w:trPr>
        <w:tc>
          <w:tcPr>
            <w:tcW w:w="1809"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Maramures county total</w:t>
            </w:r>
          </w:p>
        </w:tc>
        <w:tc>
          <w:tcPr>
            <w:tcW w:w="709"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2004</w:t>
            </w:r>
          </w:p>
        </w:tc>
        <w:tc>
          <w:tcPr>
            <w:tcW w:w="709"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2005</w:t>
            </w:r>
          </w:p>
        </w:tc>
        <w:tc>
          <w:tcPr>
            <w:tcW w:w="709"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2006</w:t>
            </w:r>
          </w:p>
        </w:tc>
        <w:tc>
          <w:tcPr>
            <w:tcW w:w="708"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2007</w:t>
            </w:r>
          </w:p>
        </w:tc>
        <w:tc>
          <w:tcPr>
            <w:tcW w:w="731"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2008</w:t>
            </w:r>
          </w:p>
        </w:tc>
        <w:tc>
          <w:tcPr>
            <w:tcW w:w="687"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2009</w:t>
            </w:r>
          </w:p>
        </w:tc>
        <w:tc>
          <w:tcPr>
            <w:tcW w:w="709"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2010</w:t>
            </w:r>
          </w:p>
        </w:tc>
        <w:tc>
          <w:tcPr>
            <w:tcW w:w="708"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2011</w:t>
            </w:r>
          </w:p>
        </w:tc>
        <w:tc>
          <w:tcPr>
            <w:tcW w:w="709"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2012</w:t>
            </w:r>
          </w:p>
        </w:tc>
        <w:tc>
          <w:tcPr>
            <w:tcW w:w="709"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2013</w:t>
            </w:r>
          </w:p>
        </w:tc>
      </w:tr>
      <w:tr w:rsidR="006378A3" w:rsidTr="002E01ED">
        <w:trPr>
          <w:jc w:val="center"/>
        </w:trPr>
        <w:tc>
          <w:tcPr>
            <w:tcW w:w="180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Annual emission SO</w:t>
            </w:r>
            <w:r>
              <w:rPr>
                <w:rFonts w:eastAsia="Calibri" w:cs="Arial"/>
                <w:sz w:val="22"/>
                <w:szCs w:val="22"/>
                <w:vertAlign w:val="subscript"/>
                <w:lang w:val="en-GB" w:eastAsia="en-US"/>
              </w:rPr>
              <w:t xml:space="preserve">2 </w:t>
            </w:r>
            <w:r>
              <w:rPr>
                <w:rFonts w:eastAsia="Calibri" w:cs="Arial"/>
                <w:sz w:val="22"/>
                <w:szCs w:val="22"/>
                <w:lang w:val="en-GB" w:eastAsia="en-US"/>
              </w:rPr>
              <w:t>(t/year)</w:t>
            </w:r>
          </w:p>
        </w:tc>
        <w:tc>
          <w:tcPr>
            <w:tcW w:w="70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726</w:t>
            </w:r>
          </w:p>
        </w:tc>
        <w:tc>
          <w:tcPr>
            <w:tcW w:w="70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618.8</w:t>
            </w:r>
          </w:p>
        </w:tc>
        <w:tc>
          <w:tcPr>
            <w:tcW w:w="70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353.5</w:t>
            </w:r>
          </w:p>
        </w:tc>
        <w:tc>
          <w:tcPr>
            <w:tcW w:w="708"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2426.2</w:t>
            </w:r>
          </w:p>
        </w:tc>
        <w:tc>
          <w:tcPr>
            <w:tcW w:w="731"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1098.5</w:t>
            </w:r>
          </w:p>
        </w:tc>
        <w:tc>
          <w:tcPr>
            <w:tcW w:w="687"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1197.9</w:t>
            </w:r>
          </w:p>
        </w:tc>
        <w:tc>
          <w:tcPr>
            <w:tcW w:w="70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1049.3</w:t>
            </w:r>
          </w:p>
        </w:tc>
        <w:tc>
          <w:tcPr>
            <w:tcW w:w="708"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481.4</w:t>
            </w:r>
          </w:p>
        </w:tc>
        <w:tc>
          <w:tcPr>
            <w:tcW w:w="70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2.76</w:t>
            </w:r>
          </w:p>
        </w:tc>
        <w:tc>
          <w:tcPr>
            <w:tcW w:w="709"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0</w:t>
            </w:r>
          </w:p>
        </w:tc>
      </w:tr>
    </w:tbl>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i/>
          <w:lang w:val="en-GB" w:eastAsia="x-none"/>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i/>
          <w:lang w:val="en-GB" w:eastAsia="x-none"/>
        </w:rPr>
      </w:pPr>
      <w:r>
        <w:rPr>
          <w:rFonts w:cs="Arial"/>
          <w:i/>
          <w:lang w:val="en-GB" w:eastAsia="x-none"/>
        </w:rPr>
        <w:t>Nitrogen oxides (NOx)</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eastAsia="Calibri" w:cs="Arial"/>
          <w:color w:val="000000"/>
          <w:lang w:val="en-GB" w:eastAsia="x-none"/>
        </w:rPr>
      </w:pPr>
      <w:r>
        <w:rPr>
          <w:rFonts w:eastAsia="Calibri" w:cs="Arial"/>
          <w:color w:val="000000"/>
          <w:lang w:val="en-GB" w:eastAsia="x-none"/>
        </w:rPr>
        <w:t xml:space="preserve">The main sources of emissions of nitrogen oxides are combustion in residential facilities and traffic. In 2013 the emissions resulted from the inventory of pollutant emissions into the atmosphere in the county of Maramures is 3107.87 tons of nitrogen oxides. Evolution for annual emissions of the nitrogen oxides in the atmosphere over the past ten years is shown in </w:t>
      </w:r>
      <w:r>
        <w:rPr>
          <w:rFonts w:eastAsia="Calibri" w:cs="Arial"/>
          <w:b/>
          <w:color w:val="000000"/>
          <w:lang w:val="en-GB" w:eastAsia="x-none"/>
        </w:rPr>
        <w:t>Table 4.2.2:</w:t>
      </w:r>
    </w:p>
    <w:p w:rsidR="006378A3" w:rsidRDefault="006378A3" w:rsidP="006378A3">
      <w:pPr>
        <w:spacing w:before="60" w:after="60" w:line="288" w:lineRule="auto"/>
        <w:ind w:firstLine="630"/>
        <w:jc w:val="both"/>
        <w:rPr>
          <w:rFonts w:eastAsia="Calibri" w:cs="Arial"/>
          <w:i/>
          <w:lang w:val="en-GB" w:eastAsia="en-US"/>
        </w:rPr>
      </w:pPr>
    </w:p>
    <w:p w:rsidR="006378A3" w:rsidRDefault="006378A3" w:rsidP="006378A3">
      <w:pPr>
        <w:autoSpaceDE w:val="0"/>
        <w:autoSpaceDN w:val="0"/>
        <w:adjustRightInd w:val="0"/>
        <w:spacing w:before="60" w:after="60" w:line="288" w:lineRule="auto"/>
        <w:ind w:left="360"/>
        <w:jc w:val="center"/>
        <w:rPr>
          <w:rFonts w:eastAsia="Calibri" w:cs="Arial"/>
          <w:b/>
          <w:bCs/>
          <w:i/>
          <w:lang w:val="en-GB" w:eastAsia="en-US"/>
        </w:rPr>
      </w:pPr>
      <w:r>
        <w:rPr>
          <w:rFonts w:eastAsia="Calibri" w:cs="Arial"/>
          <w:b/>
          <w:bCs/>
          <w:i/>
          <w:lang w:val="en-GB" w:eastAsia="en-US"/>
        </w:rPr>
        <w:t xml:space="preserve">Table 4.2.2   </w:t>
      </w:r>
      <w:r>
        <w:rPr>
          <w:rFonts w:eastAsia="Calibri" w:cs="Arial"/>
          <w:bCs/>
          <w:lang w:val="en-GB" w:eastAsia="en-US"/>
        </w:rPr>
        <w:t>Annual emission of NO</w:t>
      </w:r>
      <w:r>
        <w:rPr>
          <w:rFonts w:eastAsia="Calibri" w:cs="Arial"/>
          <w:bCs/>
          <w:vertAlign w:val="subscript"/>
          <w:lang w:val="en-GB" w:eastAsia="en-US"/>
        </w:rPr>
        <w:t>x</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709"/>
        <w:gridCol w:w="709"/>
        <w:gridCol w:w="828"/>
        <w:gridCol w:w="828"/>
        <w:gridCol w:w="828"/>
        <w:gridCol w:w="828"/>
        <w:gridCol w:w="828"/>
        <w:gridCol w:w="828"/>
        <w:gridCol w:w="828"/>
        <w:gridCol w:w="709"/>
      </w:tblGrid>
      <w:tr w:rsidR="006378A3" w:rsidTr="002E01ED">
        <w:trPr>
          <w:jc w:val="center"/>
        </w:trPr>
        <w:tc>
          <w:tcPr>
            <w:tcW w:w="18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Maramures county total</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2004</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2005</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2006</w:t>
            </w:r>
          </w:p>
        </w:tc>
        <w:tc>
          <w:tcPr>
            <w:tcW w:w="708"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2007</w:t>
            </w:r>
          </w:p>
        </w:tc>
        <w:tc>
          <w:tcPr>
            <w:tcW w:w="731"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2008</w:t>
            </w:r>
          </w:p>
        </w:tc>
        <w:tc>
          <w:tcPr>
            <w:tcW w:w="687"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2009</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2010</w:t>
            </w:r>
          </w:p>
        </w:tc>
        <w:tc>
          <w:tcPr>
            <w:tcW w:w="708"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2011</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2012</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2013</w:t>
            </w:r>
          </w:p>
        </w:tc>
      </w:tr>
      <w:tr w:rsidR="006378A3" w:rsidTr="002E01ED">
        <w:trPr>
          <w:trHeight w:val="236"/>
          <w:jc w:val="center"/>
        </w:trPr>
        <w:tc>
          <w:tcPr>
            <w:tcW w:w="18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Annual emission NO</w:t>
            </w:r>
            <w:r>
              <w:rPr>
                <w:rFonts w:eastAsia="Calibri" w:cs="Arial"/>
                <w:sz w:val="20"/>
                <w:szCs w:val="20"/>
                <w:vertAlign w:val="subscript"/>
                <w:lang w:val="en-GB" w:eastAsia="en-US"/>
              </w:rPr>
              <w:t xml:space="preserve">x </w:t>
            </w:r>
            <w:r>
              <w:rPr>
                <w:rFonts w:eastAsia="Calibri" w:cs="Arial"/>
                <w:sz w:val="20"/>
                <w:szCs w:val="20"/>
                <w:lang w:val="en-GB" w:eastAsia="en-US"/>
              </w:rPr>
              <w:t>(t/year)</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1983</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1741</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1680.3</w:t>
            </w:r>
          </w:p>
        </w:tc>
        <w:tc>
          <w:tcPr>
            <w:tcW w:w="708"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2470.2</w:t>
            </w:r>
          </w:p>
        </w:tc>
        <w:tc>
          <w:tcPr>
            <w:tcW w:w="731"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2873.9</w:t>
            </w:r>
          </w:p>
        </w:tc>
        <w:tc>
          <w:tcPr>
            <w:tcW w:w="687"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2253.5</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3199.3</w:t>
            </w:r>
          </w:p>
        </w:tc>
        <w:tc>
          <w:tcPr>
            <w:tcW w:w="708"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4130.7</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4048.9</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0</w:t>
            </w:r>
          </w:p>
        </w:tc>
      </w:tr>
    </w:tbl>
    <w:p w:rsidR="006378A3" w:rsidRDefault="006378A3" w:rsidP="006378A3">
      <w:pPr>
        <w:autoSpaceDE w:val="0"/>
        <w:autoSpaceDN w:val="0"/>
        <w:adjustRightInd w:val="0"/>
        <w:spacing w:before="60" w:after="60" w:line="288" w:lineRule="auto"/>
        <w:jc w:val="both"/>
        <w:rPr>
          <w:rFonts w:eastAsia="Calibri" w:cs="Arial"/>
          <w:color w:val="000000"/>
          <w:lang w:val="en-GB" w:eastAsia="en-US"/>
        </w:rPr>
      </w:pPr>
    </w:p>
    <w:p w:rsidR="006378A3" w:rsidRDefault="006378A3" w:rsidP="006378A3">
      <w:pPr>
        <w:spacing w:before="60" w:after="60" w:line="288" w:lineRule="auto"/>
        <w:ind w:firstLine="630"/>
        <w:jc w:val="both"/>
        <w:rPr>
          <w:rFonts w:eastAsia="Calibri" w:cs="Arial"/>
          <w:i/>
          <w:lang w:val="en-GB" w:eastAsia="en-US"/>
        </w:rPr>
      </w:pPr>
      <w:r>
        <w:rPr>
          <w:rFonts w:eastAsia="Calibri" w:cs="Arial"/>
          <w:i/>
          <w:lang w:val="en-GB" w:eastAsia="en-US"/>
        </w:rPr>
        <w:t>Particulate matter</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20"/>
        <w:jc w:val="both"/>
        <w:rPr>
          <w:rFonts w:cs="Arial"/>
          <w:lang w:val="en-GB" w:eastAsia="x-none"/>
        </w:rPr>
      </w:pPr>
      <w:r>
        <w:rPr>
          <w:rFonts w:cs="Arial"/>
          <w:lang w:val="en-GB" w:eastAsia="x-none"/>
        </w:rPr>
        <w:t xml:space="preserve">The main sources of particulate emissions come from burning residential sector (especially thermal power plants that use that type of fuel </w:t>
      </w:r>
      <w:r w:rsidRPr="002E01ED">
        <w:rPr>
          <w:rFonts w:cs="Arial"/>
          <w:lang w:val="en-GB" w:eastAsia="x-none"/>
        </w:rPr>
        <w:t>wood and wood waste) and the production of asphalt and asphalt roads and from woodworking.</w:t>
      </w:r>
      <w:r w:rsidRPr="002E01ED">
        <w:t xml:space="preserve"> </w:t>
      </w:r>
      <w:r w:rsidRPr="002E01ED">
        <w:rPr>
          <w:rFonts w:cs="Arial"/>
          <w:lang w:val="en-GB" w:eastAsia="x-none"/>
        </w:rPr>
        <w:t>The emission of particulate matter was inventoried from road traffic, but that is much lower than in other sectors.</w:t>
      </w:r>
    </w:p>
    <w:p w:rsidR="006378A3" w:rsidRDefault="006378A3" w:rsidP="006378A3">
      <w:pPr>
        <w:spacing w:before="60" w:after="60" w:line="288" w:lineRule="auto"/>
        <w:ind w:firstLine="720"/>
        <w:jc w:val="both"/>
        <w:rPr>
          <w:rFonts w:eastAsia="Calibri" w:cs="Arial"/>
          <w:color w:val="000000"/>
          <w:lang w:val="en-GB" w:eastAsia="en-US"/>
        </w:rPr>
      </w:pPr>
      <w:r>
        <w:rPr>
          <w:rFonts w:eastAsia="Calibri" w:cs="Arial"/>
          <w:color w:val="000000"/>
          <w:lang w:val="en-GB" w:eastAsia="en-US"/>
        </w:rPr>
        <w:t>In the year 2013,   8,104 tons of total suspended particulate emissions were inventoried (22.6 % from industry and 77.4 % from institutional residential combustion, including emissions from the combustion of firewood in households).</w:t>
      </w:r>
    </w:p>
    <w:p w:rsidR="006378A3" w:rsidRDefault="006378A3" w:rsidP="006378A3">
      <w:pPr>
        <w:spacing w:before="60" w:after="60" w:line="288" w:lineRule="auto"/>
        <w:ind w:firstLine="720"/>
        <w:jc w:val="both"/>
        <w:rPr>
          <w:rFonts w:eastAsia="Calibri" w:cs="Arial"/>
          <w:color w:val="000000"/>
          <w:lang w:val="en-GB" w:eastAsia="en-US"/>
        </w:rPr>
      </w:pPr>
      <w:r>
        <w:rPr>
          <w:rFonts w:eastAsia="Calibri" w:cs="Arial"/>
          <w:color w:val="000000"/>
          <w:lang w:val="en-GB" w:eastAsia="en-US"/>
        </w:rPr>
        <w:t>Evolution for annual emissions of the total particulate matter during 2004-2013 is presented in Table 4.2.3:</w:t>
      </w:r>
    </w:p>
    <w:p w:rsidR="006378A3" w:rsidRDefault="006378A3" w:rsidP="006378A3">
      <w:pPr>
        <w:autoSpaceDE w:val="0"/>
        <w:autoSpaceDN w:val="0"/>
        <w:adjustRightInd w:val="0"/>
        <w:spacing w:before="60" w:after="60" w:line="288" w:lineRule="auto"/>
        <w:ind w:firstLine="720"/>
        <w:jc w:val="both"/>
        <w:rPr>
          <w:rFonts w:eastAsia="Calibri" w:cs="Arial"/>
          <w:color w:val="000000"/>
          <w:lang w:val="en-GB" w:eastAsia="en-US"/>
        </w:rPr>
      </w:pPr>
    </w:p>
    <w:p w:rsidR="006378A3" w:rsidRDefault="006378A3" w:rsidP="006378A3">
      <w:pPr>
        <w:autoSpaceDE w:val="0"/>
        <w:autoSpaceDN w:val="0"/>
        <w:adjustRightInd w:val="0"/>
        <w:spacing w:before="60" w:after="60" w:line="288" w:lineRule="auto"/>
        <w:ind w:left="360"/>
        <w:jc w:val="both"/>
        <w:rPr>
          <w:rFonts w:eastAsia="Calibri" w:cs="Arial"/>
          <w:b/>
          <w:bCs/>
          <w:i/>
          <w:lang w:val="en-GB" w:eastAsia="en-US"/>
        </w:rPr>
      </w:pPr>
      <w:r>
        <w:rPr>
          <w:rFonts w:eastAsia="Calibri" w:cs="Arial"/>
          <w:b/>
          <w:bCs/>
          <w:i/>
          <w:lang w:val="en-GB" w:eastAsia="en-US"/>
        </w:rPr>
        <w:t xml:space="preserve">Table 4.2.3 </w:t>
      </w:r>
      <w:r>
        <w:rPr>
          <w:rFonts w:eastAsia="Calibri" w:cs="Arial"/>
          <w:bCs/>
          <w:lang w:val="en-GB" w:eastAsia="en-US"/>
        </w:rPr>
        <w:t>Annual emission of particulate matter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828"/>
        <w:gridCol w:w="828"/>
        <w:gridCol w:w="828"/>
        <w:gridCol w:w="708"/>
        <w:gridCol w:w="828"/>
        <w:gridCol w:w="828"/>
        <w:gridCol w:w="828"/>
        <w:gridCol w:w="828"/>
        <w:gridCol w:w="828"/>
        <w:gridCol w:w="709"/>
      </w:tblGrid>
      <w:tr w:rsidR="006378A3" w:rsidTr="002E01ED">
        <w:tc>
          <w:tcPr>
            <w:tcW w:w="18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 xml:space="preserve">Maramures </w:t>
            </w:r>
            <w:r>
              <w:rPr>
                <w:rFonts w:eastAsia="Calibri" w:cs="Arial"/>
                <w:b/>
                <w:sz w:val="20"/>
                <w:szCs w:val="20"/>
                <w:lang w:val="en-GB" w:eastAsia="en-US"/>
              </w:rPr>
              <w:lastRenderedPageBreak/>
              <w:t>county total</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lastRenderedPageBreak/>
              <w:t>2004</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2005</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2006</w:t>
            </w:r>
          </w:p>
        </w:tc>
        <w:tc>
          <w:tcPr>
            <w:tcW w:w="708"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2007</w:t>
            </w:r>
          </w:p>
        </w:tc>
        <w:tc>
          <w:tcPr>
            <w:tcW w:w="731"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2008</w:t>
            </w:r>
          </w:p>
        </w:tc>
        <w:tc>
          <w:tcPr>
            <w:tcW w:w="687"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2009</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2010</w:t>
            </w:r>
          </w:p>
        </w:tc>
        <w:tc>
          <w:tcPr>
            <w:tcW w:w="708"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2011</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2012</w:t>
            </w:r>
          </w:p>
        </w:tc>
        <w:tc>
          <w:tcPr>
            <w:tcW w:w="709"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2013</w:t>
            </w:r>
          </w:p>
        </w:tc>
      </w:tr>
      <w:tr w:rsidR="006378A3" w:rsidTr="002E01ED">
        <w:tc>
          <w:tcPr>
            <w:tcW w:w="18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lastRenderedPageBreak/>
              <w:t>Annual emission PM</w:t>
            </w:r>
            <w:r>
              <w:rPr>
                <w:rFonts w:eastAsia="Calibri" w:cs="Arial"/>
                <w:sz w:val="20"/>
                <w:szCs w:val="20"/>
                <w:vertAlign w:val="subscript"/>
                <w:lang w:val="en-GB" w:eastAsia="en-US"/>
              </w:rPr>
              <w:t xml:space="preserve"> </w:t>
            </w:r>
            <w:r>
              <w:rPr>
                <w:rFonts w:eastAsia="Calibri" w:cs="Arial"/>
                <w:sz w:val="20"/>
                <w:szCs w:val="20"/>
                <w:lang w:val="en-GB" w:eastAsia="en-US"/>
              </w:rPr>
              <w:t>(t/year)</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1696.4</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2020.9</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2255.5</w:t>
            </w:r>
          </w:p>
        </w:tc>
        <w:tc>
          <w:tcPr>
            <w:tcW w:w="708"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1524</w:t>
            </w:r>
          </w:p>
        </w:tc>
        <w:tc>
          <w:tcPr>
            <w:tcW w:w="731"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1125.2</w:t>
            </w:r>
          </w:p>
        </w:tc>
        <w:tc>
          <w:tcPr>
            <w:tcW w:w="687"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1691.6</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3262.8</w:t>
            </w:r>
          </w:p>
        </w:tc>
        <w:tc>
          <w:tcPr>
            <w:tcW w:w="708"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1398.2</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3355.5</w:t>
            </w:r>
          </w:p>
        </w:tc>
        <w:tc>
          <w:tcPr>
            <w:tcW w:w="709"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8104</w:t>
            </w:r>
          </w:p>
        </w:tc>
      </w:tr>
    </w:tbl>
    <w:p w:rsidR="006378A3" w:rsidRDefault="006378A3" w:rsidP="006378A3">
      <w:pPr>
        <w:spacing w:before="60" w:after="60" w:line="288" w:lineRule="auto"/>
        <w:jc w:val="both"/>
        <w:rPr>
          <w:rFonts w:eastAsia="Calibri" w:cs="Arial"/>
          <w:color w:val="000000"/>
          <w:lang w:val="en-GB" w:eastAsia="en-US"/>
        </w:rPr>
      </w:pPr>
    </w:p>
    <w:p w:rsidR="006378A3" w:rsidRDefault="006378A3" w:rsidP="006378A3">
      <w:pPr>
        <w:spacing w:before="60" w:after="60" w:line="288" w:lineRule="auto"/>
        <w:ind w:firstLine="720"/>
        <w:jc w:val="both"/>
        <w:rPr>
          <w:rFonts w:eastAsia="Calibri" w:cs="Arial"/>
          <w:lang w:val="en-GB" w:eastAsia="en-US"/>
        </w:rPr>
      </w:pPr>
      <w:r>
        <w:rPr>
          <w:rFonts w:eastAsia="Calibri" w:cs="Arial"/>
          <w:lang w:val="en-GB" w:eastAsia="en-US"/>
        </w:rPr>
        <w:t>Air quality monitoring in Baia Mare agglomeration was done by 5 automatic stations and a manual networking.</w:t>
      </w:r>
    </w:p>
    <w:p w:rsidR="006378A3" w:rsidRDefault="006378A3" w:rsidP="006378A3">
      <w:pPr>
        <w:spacing w:before="60" w:after="60" w:line="288" w:lineRule="auto"/>
        <w:ind w:firstLine="720"/>
        <w:jc w:val="both"/>
        <w:rPr>
          <w:rFonts w:eastAsia="Calibri" w:cs="Arial"/>
          <w:b/>
          <w:lang w:val="en-GB" w:eastAsia="en-US"/>
        </w:rPr>
      </w:pPr>
      <w:r>
        <w:rPr>
          <w:rFonts w:eastAsia="Calibri" w:cs="Arial"/>
          <w:lang w:val="en-GB" w:eastAsia="en-US"/>
        </w:rPr>
        <w:t xml:space="preserve">The statistics data for 2013 recorded at the automatic monitoring stations in Baia Mare agglomeration are shown in </w:t>
      </w:r>
      <w:r>
        <w:rPr>
          <w:rFonts w:eastAsia="Calibri" w:cs="Arial"/>
          <w:b/>
          <w:lang w:val="en-GB" w:eastAsia="en-US"/>
        </w:rPr>
        <w:t>Table 4.2.4.</w:t>
      </w:r>
    </w:p>
    <w:p w:rsidR="006378A3" w:rsidRDefault="006378A3" w:rsidP="006378A3">
      <w:pPr>
        <w:spacing w:before="60" w:after="60" w:line="288" w:lineRule="auto"/>
        <w:ind w:firstLine="720"/>
        <w:jc w:val="both"/>
        <w:rPr>
          <w:rFonts w:eastAsia="Calibri"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ourier New" w:hAnsi="Courier New"/>
          <w:sz w:val="20"/>
          <w:szCs w:val="20"/>
          <w:lang w:val="en-GB" w:eastAsia="x-none"/>
        </w:rPr>
      </w:pPr>
      <w:r>
        <w:rPr>
          <w:rFonts w:eastAsia="Calibri" w:cs="Arial"/>
          <w:b/>
          <w:bCs/>
          <w:i/>
          <w:lang w:val="en-GB" w:eastAsia="x-none"/>
        </w:rPr>
        <w:t xml:space="preserve">Table 4.2.4 </w:t>
      </w:r>
      <w:r>
        <w:rPr>
          <w:rFonts w:cs="Arial"/>
          <w:b/>
          <w:bCs/>
          <w:i/>
          <w:lang w:val="en-GB" w:eastAsia="x-none"/>
        </w:rPr>
        <w:t xml:space="preserve">- </w:t>
      </w:r>
      <w:r>
        <w:rPr>
          <w:rFonts w:eastAsia="Calibri" w:cs="Arial"/>
          <w:bCs/>
          <w:lang w:val="en-GB" w:eastAsia="x-none"/>
        </w:rPr>
        <w:t>Relevant data regarding performance of automatic air quality networking in Baia Mare agglomeration – 2013 year</w:t>
      </w:r>
    </w:p>
    <w:p w:rsidR="006378A3" w:rsidRDefault="006378A3" w:rsidP="006378A3">
      <w:pPr>
        <w:spacing w:before="60" w:after="60" w:line="288" w:lineRule="auto"/>
        <w:jc w:val="both"/>
        <w:rPr>
          <w:rFonts w:eastAsia="Calibri" w:cs="Arial"/>
          <w:lang w:val="en-GB" w:eastAsia="en-US"/>
        </w:rPr>
      </w:pPr>
      <w:r>
        <w:rPr>
          <w:rFonts w:eastAsia="Calibri" w:cs="Arial"/>
          <w:lang w:val="en-GB" w:eastAsia="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758"/>
        <w:gridCol w:w="759"/>
        <w:gridCol w:w="839"/>
        <w:gridCol w:w="756"/>
        <w:gridCol w:w="1177"/>
        <w:gridCol w:w="753"/>
        <w:gridCol w:w="753"/>
        <w:gridCol w:w="756"/>
        <w:gridCol w:w="755"/>
        <w:gridCol w:w="753"/>
        <w:gridCol w:w="756"/>
        <w:gridCol w:w="757"/>
      </w:tblGrid>
      <w:tr w:rsidR="006378A3" w:rsidTr="002E01ED">
        <w:tc>
          <w:tcPr>
            <w:tcW w:w="757"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City</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 xml:space="preserve">Station </w:t>
            </w: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Station type</w:t>
            </w: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Pollutant type</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No.</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The annual average concentration</w:t>
            </w:r>
          </w:p>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µg/m</w:t>
            </w:r>
            <w:r>
              <w:rPr>
                <w:rFonts w:eastAsia="Calibri" w:cs="Arial"/>
                <w:sz w:val="16"/>
                <w:szCs w:val="16"/>
                <w:vertAlign w:val="superscript"/>
                <w:lang w:val="en-GB" w:eastAsia="en-US"/>
              </w:rPr>
              <w:t>3</w:t>
            </w:r>
          </w:p>
        </w:tc>
        <w:tc>
          <w:tcPr>
            <w:tcW w:w="758" w:type="dxa"/>
            <w:vMerge w:val="restart"/>
            <w:tcBorders>
              <w:top w:val="nil"/>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7212</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30.6</w:t>
            </w:r>
          </w:p>
        </w:tc>
      </w:tr>
      <w:tr w:rsidR="006378A3" w:rsidTr="002E01ED">
        <w:tc>
          <w:tcPr>
            <w:tcW w:w="757" w:type="dxa"/>
            <w:vMerge w:val="restart"/>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Baia Mare</w:t>
            </w:r>
          </w:p>
        </w:tc>
        <w:tc>
          <w:tcPr>
            <w:tcW w:w="758" w:type="dxa"/>
            <w:vMerge w:val="restart"/>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MM1</w:t>
            </w:r>
          </w:p>
        </w:tc>
        <w:tc>
          <w:tcPr>
            <w:tcW w:w="759" w:type="dxa"/>
            <w:vMerge w:val="restart"/>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r>
              <w:rPr>
                <w:rFonts w:eastAsia="Calibri" w:cs="Arial"/>
                <w:sz w:val="16"/>
                <w:szCs w:val="16"/>
                <w:lang w:val="en-GB" w:eastAsia="en-US"/>
              </w:rPr>
              <w:t>traffic</w:t>
            </w: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7776</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7.2</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val="restart"/>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val="restart"/>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val="restart"/>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4197</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3.75</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334</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7.2</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208</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21.6</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8024</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22.9</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324</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27.1</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5862</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0.16</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324</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0.015</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4490</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2.46</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324</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0.36</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325</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21.2</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val="restart"/>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MM4</w:t>
            </w:r>
          </w:p>
        </w:tc>
        <w:tc>
          <w:tcPr>
            <w:tcW w:w="758" w:type="dxa"/>
            <w:vMerge w:val="restart"/>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r>
              <w:rPr>
                <w:rFonts w:eastAsia="Calibri" w:cs="Arial"/>
                <w:sz w:val="16"/>
                <w:szCs w:val="16"/>
                <w:lang w:val="en-GB" w:eastAsia="en-US"/>
              </w:rPr>
              <w:t>Industry</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3466</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6.1</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324</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0.015</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148</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6.1</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264</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0.32</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1852</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11.0</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val="restart"/>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MM2</w:t>
            </w:r>
          </w:p>
        </w:tc>
        <w:tc>
          <w:tcPr>
            <w:tcW w:w="759" w:type="dxa"/>
            <w:vMerge w:val="restart"/>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r>
              <w:rPr>
                <w:rFonts w:eastAsia="Calibri" w:cs="Arial"/>
                <w:sz w:val="16"/>
                <w:szCs w:val="16"/>
                <w:lang w:val="en-GB" w:eastAsia="en-US"/>
              </w:rPr>
              <w:t>Urban exposure</w:t>
            </w: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6577</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4.1</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2248</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0.30</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281</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4.1</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2965</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31.5</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6965</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20.1</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98</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24.8</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6697</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0.22</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100</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22.3</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7045</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33.6</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100</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0.035</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86</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0.66</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315</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21.3</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val="restart"/>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MM5</w:t>
            </w:r>
          </w:p>
        </w:tc>
        <w:tc>
          <w:tcPr>
            <w:tcW w:w="758" w:type="dxa"/>
            <w:vMerge w:val="restart"/>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r>
              <w:rPr>
                <w:rFonts w:eastAsia="Calibri" w:cs="Arial"/>
                <w:sz w:val="16"/>
                <w:szCs w:val="16"/>
                <w:lang w:val="en-GB" w:eastAsia="en-US"/>
              </w:rPr>
              <w:t>Industry</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3205</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6.6</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273</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20.1</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134</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6.6</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301</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18.7</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2674</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11.0</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287</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0.016</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3020</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0.31</w:t>
            </w:r>
          </w:p>
        </w:tc>
      </w:tr>
      <w:tr w:rsidR="006378A3" w:rsidTr="002E01ED">
        <w:trPr>
          <w:trHeight w:val="56"/>
        </w:trPr>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266</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0.36</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3498</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39.6</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val="restart"/>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MM3</w:t>
            </w:r>
          </w:p>
        </w:tc>
        <w:tc>
          <w:tcPr>
            <w:tcW w:w="759" w:type="dxa"/>
            <w:vMerge w:val="restart"/>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r>
              <w:rPr>
                <w:rFonts w:eastAsia="Calibri" w:cs="Arial"/>
                <w:sz w:val="16"/>
                <w:szCs w:val="16"/>
                <w:lang w:val="en-GB" w:eastAsia="en-US"/>
              </w:rPr>
              <w:t>Residential exposure</w:t>
            </w: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7119</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5.5</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126</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27.2</w:t>
            </w:r>
          </w:p>
        </w:tc>
      </w:tr>
      <w:tr w:rsidR="006378A3" w:rsidTr="002E01ED">
        <w:trPr>
          <w:trHeight w:val="1001"/>
        </w:trPr>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308</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5.5</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120</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27.1</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227</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6.4</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120</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0.027</w:t>
            </w:r>
          </w:p>
        </w:tc>
      </w:tr>
      <w:tr w:rsidR="006378A3" w:rsidTr="002E01ED">
        <w:tc>
          <w:tcPr>
            <w:tcW w:w="757"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9" w:type="dxa"/>
            <w:vMerge/>
            <w:shd w:val="clear" w:color="auto" w:fill="auto"/>
            <w:textDirection w:val="btLr"/>
            <w:vAlign w:val="center"/>
          </w:tcPr>
          <w:p w:rsidR="006378A3" w:rsidRDefault="006378A3" w:rsidP="002E01ED">
            <w:pPr>
              <w:spacing w:line="276" w:lineRule="auto"/>
              <w:ind w:left="113" w:right="113"/>
              <w:jc w:val="center"/>
              <w:rPr>
                <w:rFonts w:eastAsia="Calibri" w:cs="Arial"/>
                <w:sz w:val="16"/>
                <w:szCs w:val="16"/>
                <w:lang w:val="en-GB" w:eastAsia="en-US"/>
              </w:rPr>
            </w:pPr>
          </w:p>
        </w:tc>
        <w:tc>
          <w:tcPr>
            <w:tcW w:w="759"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7067</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0.27</w:t>
            </w:r>
          </w:p>
        </w:tc>
        <w:tc>
          <w:tcPr>
            <w:tcW w:w="758" w:type="dxa"/>
            <w:vMerge/>
            <w:tcBorders>
              <w:bottom w:val="nil"/>
            </w:tcBorders>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vMerge/>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112</w:t>
            </w:r>
          </w:p>
        </w:tc>
        <w:tc>
          <w:tcPr>
            <w:tcW w:w="758" w:type="dxa"/>
            <w:shd w:val="clear" w:color="auto" w:fill="auto"/>
            <w:vAlign w:val="center"/>
          </w:tcPr>
          <w:p w:rsidR="006378A3" w:rsidRDefault="006378A3" w:rsidP="002E01ED">
            <w:pPr>
              <w:spacing w:line="276" w:lineRule="auto"/>
              <w:jc w:val="center"/>
              <w:rPr>
                <w:rFonts w:eastAsia="Calibri" w:cs="Arial"/>
                <w:sz w:val="16"/>
                <w:szCs w:val="16"/>
                <w:lang w:val="en-GB" w:eastAsia="en-US"/>
              </w:rPr>
            </w:pPr>
            <w:r>
              <w:rPr>
                <w:rFonts w:eastAsia="Calibri" w:cs="Arial"/>
                <w:sz w:val="16"/>
                <w:szCs w:val="16"/>
                <w:lang w:val="en-GB" w:eastAsia="en-US"/>
              </w:rPr>
              <w:t>0.61</w:t>
            </w:r>
          </w:p>
        </w:tc>
      </w:tr>
    </w:tbl>
    <w:p w:rsidR="006378A3" w:rsidRDefault="006378A3" w:rsidP="006378A3">
      <w:pPr>
        <w:spacing w:before="60" w:after="60" w:line="288" w:lineRule="auto"/>
        <w:jc w:val="both"/>
        <w:rPr>
          <w:rFonts w:eastAsia="Calibri" w:cs="Arial"/>
          <w:lang w:val="en-GB" w:eastAsia="en-US"/>
        </w:rPr>
      </w:pPr>
    </w:p>
    <w:p w:rsidR="006378A3" w:rsidRDefault="006378A3" w:rsidP="006378A3">
      <w:pPr>
        <w:spacing w:before="60" w:after="60" w:line="288" w:lineRule="auto"/>
        <w:jc w:val="both"/>
        <w:rPr>
          <w:rFonts w:eastAsia="Calibri" w:cs="Arial"/>
          <w:lang w:val="en-GB" w:eastAsia="en-US"/>
        </w:rPr>
      </w:pPr>
    </w:p>
    <w:p w:rsidR="006378A3" w:rsidRDefault="006378A3" w:rsidP="006378A3">
      <w:pPr>
        <w:spacing w:before="60" w:after="60" w:line="288" w:lineRule="auto"/>
        <w:jc w:val="both"/>
        <w:rPr>
          <w:rFonts w:eastAsia="Calibri"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i/>
          <w:lang w:val="en-GB" w:eastAsia="x-none"/>
        </w:rPr>
      </w:pPr>
      <w:r>
        <w:rPr>
          <w:rFonts w:cs="Arial"/>
          <w:i/>
          <w:lang w:val="en-GB" w:eastAsia="x-none"/>
        </w:rPr>
        <w:t>Nitrogen oxides (NOx)</w:t>
      </w:r>
    </w:p>
    <w:p w:rsidR="006378A3" w:rsidRDefault="006378A3" w:rsidP="006378A3">
      <w:pPr>
        <w:spacing w:before="60" w:after="60" w:line="288" w:lineRule="auto"/>
        <w:ind w:firstLine="720"/>
        <w:jc w:val="both"/>
        <w:rPr>
          <w:rFonts w:eastAsia="Calibri" w:cs="Arial"/>
          <w:lang w:val="en-GB" w:eastAsia="en-US"/>
        </w:rPr>
      </w:pPr>
    </w:p>
    <w:p w:rsidR="006378A3" w:rsidRDefault="006378A3" w:rsidP="006378A3">
      <w:pPr>
        <w:spacing w:before="60" w:after="60" w:line="288" w:lineRule="auto"/>
        <w:ind w:firstLine="720"/>
        <w:jc w:val="both"/>
        <w:rPr>
          <w:rFonts w:eastAsia="Calibri" w:cs="Arial"/>
          <w:lang w:val="en-GB" w:eastAsia="en-US"/>
        </w:rPr>
      </w:pPr>
      <w:r>
        <w:rPr>
          <w:rFonts w:eastAsia="Calibri" w:cs="Arial"/>
          <w:lang w:val="en-GB" w:eastAsia="en-US"/>
        </w:rPr>
        <w:t>Compared to the limit values ​​stipulated in Law 104/2011, for an averaging time of 1 year ( VL = 40 µg/m</w:t>
      </w:r>
      <w:r>
        <w:rPr>
          <w:rFonts w:eastAsia="Calibri" w:cs="Arial"/>
          <w:vertAlign w:val="superscript"/>
          <w:lang w:val="en-GB" w:eastAsia="en-US"/>
        </w:rPr>
        <w:t>3</w:t>
      </w:r>
      <w:r>
        <w:rPr>
          <w:rFonts w:eastAsia="Calibri" w:cs="Arial"/>
          <w:lang w:val="en-GB" w:eastAsia="en-US"/>
        </w:rPr>
        <w:t>), annual average concentrations recorded in 2013 were between 6.4 µg/m</w:t>
      </w:r>
      <w:r>
        <w:rPr>
          <w:rFonts w:eastAsia="Calibri" w:cs="Arial"/>
          <w:vertAlign w:val="superscript"/>
          <w:lang w:val="en-GB" w:eastAsia="en-US"/>
        </w:rPr>
        <w:t>3</w:t>
      </w:r>
      <w:r>
        <w:rPr>
          <w:rFonts w:eastAsia="Calibri" w:cs="Arial"/>
          <w:lang w:val="en-GB" w:eastAsia="en-US"/>
        </w:rPr>
        <w:t xml:space="preserve"> at MM3 station and 22.9 µg/m</w:t>
      </w:r>
      <w:r>
        <w:rPr>
          <w:rFonts w:eastAsia="Calibri" w:cs="Arial"/>
          <w:vertAlign w:val="superscript"/>
          <w:lang w:val="en-GB" w:eastAsia="en-US"/>
        </w:rPr>
        <w:t>3</w:t>
      </w:r>
      <w:r>
        <w:rPr>
          <w:rFonts w:eastAsia="Calibri" w:cs="Arial"/>
          <w:lang w:val="en-GB" w:eastAsia="en-US"/>
        </w:rPr>
        <w:t xml:space="preserve"> at MM1 station. There was no exceedance for annual and hourly limit value, maintaining the same trend of development as in the previous year.</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i/>
          <w:lang w:val="en-GB" w:eastAsia="x-none"/>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bCs/>
          <w:i/>
          <w:lang w:val="en-GB" w:eastAsia="x-none"/>
        </w:rPr>
      </w:pPr>
      <w:r>
        <w:rPr>
          <w:rFonts w:cs="Arial"/>
          <w:i/>
          <w:lang w:val="en-GB" w:eastAsia="x-none"/>
        </w:rPr>
        <w:lastRenderedPageBreak/>
        <w:t xml:space="preserve">Sulphur dioxide </w:t>
      </w:r>
      <w:r>
        <w:rPr>
          <w:rFonts w:cs="Arial"/>
          <w:bCs/>
          <w:i/>
          <w:lang w:val="en-GB" w:eastAsia="x-none"/>
        </w:rPr>
        <w:t>(SO</w:t>
      </w:r>
      <w:r>
        <w:rPr>
          <w:rFonts w:cs="Arial"/>
          <w:bCs/>
          <w:i/>
          <w:vertAlign w:val="subscript"/>
          <w:lang w:val="en-GB" w:eastAsia="x-none"/>
        </w:rPr>
        <w:t>2</w:t>
      </w:r>
      <w:r>
        <w:rPr>
          <w:rFonts w:cs="Arial"/>
          <w:bCs/>
          <w:i/>
          <w:lang w:val="en-GB" w:eastAsia="x-none"/>
        </w:rPr>
        <w:t>)</w:t>
      </w:r>
    </w:p>
    <w:p w:rsidR="006378A3" w:rsidRDefault="006378A3" w:rsidP="006378A3">
      <w:pPr>
        <w:spacing w:before="60" w:after="60" w:line="288" w:lineRule="auto"/>
        <w:ind w:firstLine="630"/>
        <w:jc w:val="both"/>
        <w:rPr>
          <w:rFonts w:eastAsia="Calibri" w:cs="Arial"/>
          <w:lang w:val="en-GB" w:eastAsia="en-US"/>
        </w:rPr>
      </w:pPr>
      <w:r>
        <w:rPr>
          <w:rFonts w:eastAsia="Calibri" w:cs="Arial"/>
          <w:lang w:val="en-GB" w:eastAsia="en-US"/>
        </w:rPr>
        <w:t>Reported to the accepted limit values stipulated in Law 104/2011 on ambient air quality for sulphur dioxide (350 µg/m</w:t>
      </w:r>
      <w:r>
        <w:rPr>
          <w:rFonts w:eastAsia="Calibri" w:cs="Arial"/>
          <w:vertAlign w:val="superscript"/>
          <w:lang w:val="en-GB" w:eastAsia="en-US"/>
        </w:rPr>
        <w:t>3</w:t>
      </w:r>
      <w:r>
        <w:rPr>
          <w:rFonts w:eastAsia="Calibri" w:cs="Arial"/>
          <w:lang w:val="en-GB" w:eastAsia="en-US"/>
        </w:rPr>
        <w:t xml:space="preserve"> hourly average concentrations and 125 µg/m</w:t>
      </w:r>
      <w:r>
        <w:rPr>
          <w:rFonts w:eastAsia="Calibri" w:cs="Arial"/>
          <w:vertAlign w:val="superscript"/>
          <w:lang w:val="en-GB" w:eastAsia="en-US"/>
        </w:rPr>
        <w:t>3</w:t>
      </w:r>
      <w:r>
        <w:rPr>
          <w:rFonts w:eastAsia="Calibri" w:cs="Arial"/>
          <w:lang w:val="en-GB" w:eastAsia="en-US"/>
        </w:rPr>
        <w:t xml:space="preserve"> daily mean concentrations) in year 2013 there were no exceedance in these 5 stations.</w:t>
      </w:r>
    </w:p>
    <w:p w:rsidR="006378A3" w:rsidRDefault="006378A3" w:rsidP="006378A3">
      <w:pPr>
        <w:spacing w:before="60" w:after="60" w:line="288" w:lineRule="auto"/>
        <w:ind w:firstLine="630"/>
        <w:jc w:val="both"/>
        <w:rPr>
          <w:rFonts w:eastAsia="Calibri" w:cs="Arial"/>
          <w:lang w:val="en-GB" w:eastAsia="en-US"/>
        </w:rPr>
      </w:pPr>
      <w:r>
        <w:rPr>
          <w:rFonts w:eastAsia="Calibri" w:cs="Arial"/>
          <w:lang w:val="en-GB" w:eastAsia="en-US"/>
        </w:rPr>
        <w:t>The annual average values ​​determined were between 4.1 µg/m</w:t>
      </w:r>
      <w:r>
        <w:rPr>
          <w:rFonts w:eastAsia="Calibri" w:cs="Arial"/>
          <w:vertAlign w:val="superscript"/>
          <w:lang w:val="en-GB" w:eastAsia="en-US"/>
        </w:rPr>
        <w:t>3</w:t>
      </w:r>
      <w:r>
        <w:rPr>
          <w:rFonts w:eastAsia="Calibri" w:cs="Arial"/>
          <w:lang w:val="en-GB" w:eastAsia="en-US"/>
        </w:rPr>
        <w:t xml:space="preserve"> at MM2 and 7.2 µg/m</w:t>
      </w:r>
      <w:r>
        <w:rPr>
          <w:rFonts w:eastAsia="Calibri" w:cs="Arial"/>
          <w:vertAlign w:val="superscript"/>
          <w:lang w:val="en-GB" w:eastAsia="en-US"/>
        </w:rPr>
        <w:t>3</w:t>
      </w:r>
      <w:r>
        <w:rPr>
          <w:rFonts w:eastAsia="Calibri" w:cs="Arial"/>
          <w:lang w:val="en-GB" w:eastAsia="en-US"/>
        </w:rPr>
        <w:t xml:space="preserve"> at MM1 station.</w:t>
      </w:r>
    </w:p>
    <w:p w:rsidR="006378A3" w:rsidRDefault="006378A3" w:rsidP="006378A3">
      <w:pPr>
        <w:spacing w:before="60" w:after="60" w:line="288" w:lineRule="auto"/>
        <w:ind w:firstLine="630"/>
        <w:jc w:val="both"/>
        <w:rPr>
          <w:rFonts w:eastAsia="Calibri" w:cs="Arial"/>
          <w:lang w:val="en-GB" w:eastAsia="en-US"/>
        </w:rPr>
      </w:pPr>
    </w:p>
    <w:p w:rsidR="006378A3" w:rsidRDefault="006378A3" w:rsidP="006378A3">
      <w:pPr>
        <w:spacing w:before="60" w:after="60" w:line="288" w:lineRule="auto"/>
        <w:ind w:firstLine="720"/>
        <w:jc w:val="both"/>
        <w:rPr>
          <w:rFonts w:eastAsia="Calibri" w:cs="Arial"/>
          <w:i/>
          <w:lang w:val="en-GB" w:eastAsia="en-US"/>
        </w:rPr>
      </w:pPr>
      <w:r>
        <w:rPr>
          <w:rFonts w:eastAsia="Calibri" w:cs="Arial"/>
          <w:i/>
          <w:lang w:val="en-GB" w:eastAsia="en-US"/>
        </w:rPr>
        <w:t>Particulate matter</w:t>
      </w:r>
    </w:p>
    <w:p w:rsidR="006378A3" w:rsidRDefault="006378A3" w:rsidP="006378A3">
      <w:pPr>
        <w:spacing w:before="60" w:after="60" w:line="288" w:lineRule="auto"/>
        <w:ind w:firstLine="720"/>
        <w:jc w:val="both"/>
        <w:rPr>
          <w:rFonts w:eastAsia="Calibri" w:cs="Arial"/>
          <w:i/>
          <w:lang w:val="en-GB" w:eastAsia="en-US"/>
        </w:rPr>
      </w:pPr>
      <w:r>
        <w:rPr>
          <w:rFonts w:eastAsia="Calibri" w:cs="Arial"/>
          <w:i/>
          <w:lang w:val="en-GB" w:eastAsia="en-US"/>
        </w:rPr>
        <w:t>In 2013 gravimetric and automatic determinations were made for PM</w:t>
      </w:r>
      <w:r w:rsidRPr="0088539B">
        <w:rPr>
          <w:rFonts w:eastAsia="Calibri" w:cs="Arial"/>
          <w:i/>
          <w:vertAlign w:val="subscript"/>
          <w:lang w:val="en-GB" w:eastAsia="en-US"/>
        </w:rPr>
        <w:t>10</w:t>
      </w:r>
      <w:r>
        <w:rPr>
          <w:rFonts w:eastAsia="Calibri" w:cs="Arial"/>
          <w:i/>
          <w:lang w:val="en-GB" w:eastAsia="en-US"/>
        </w:rPr>
        <w:t xml:space="preserve"> at all stations and gravimetric determination were conducted for PM</w:t>
      </w:r>
      <w:r w:rsidRPr="0088539B">
        <w:rPr>
          <w:rFonts w:eastAsia="Calibri" w:cs="Arial"/>
          <w:i/>
          <w:vertAlign w:val="subscript"/>
          <w:lang w:val="en-GB" w:eastAsia="en-US"/>
        </w:rPr>
        <w:t xml:space="preserve">2.5 </w:t>
      </w:r>
      <w:r>
        <w:rPr>
          <w:rFonts w:eastAsia="Calibri" w:cs="Arial"/>
          <w:i/>
          <w:vertAlign w:val="subscript"/>
          <w:lang w:val="en-GB" w:eastAsia="en-US"/>
        </w:rPr>
        <w:t xml:space="preserve"> </w:t>
      </w:r>
      <w:r w:rsidRPr="0088539B">
        <w:rPr>
          <w:rFonts w:eastAsia="Calibri" w:cs="Arial"/>
          <w:i/>
          <w:lang w:val="en-GB" w:eastAsia="en-US"/>
        </w:rPr>
        <w:t>at</w:t>
      </w:r>
      <w:r>
        <w:rPr>
          <w:rFonts w:eastAsia="Calibri" w:cs="Arial"/>
          <w:i/>
          <w:lang w:val="en-GB" w:eastAsia="en-US"/>
        </w:rPr>
        <w:t xml:space="preserve"> MM2 station.</w:t>
      </w:r>
    </w:p>
    <w:p w:rsidR="006378A3" w:rsidRDefault="006378A3" w:rsidP="006378A3">
      <w:pPr>
        <w:spacing w:before="60" w:after="60" w:line="288" w:lineRule="auto"/>
        <w:ind w:firstLine="720"/>
        <w:jc w:val="both"/>
        <w:rPr>
          <w:rFonts w:eastAsia="Calibri" w:cs="Arial"/>
          <w:i/>
          <w:lang w:val="en-GB" w:eastAsia="en-US"/>
        </w:rPr>
      </w:pPr>
      <w:r>
        <w:rPr>
          <w:rFonts w:eastAsia="Calibri" w:cs="Arial"/>
          <w:i/>
          <w:lang w:val="en-GB" w:eastAsia="en-US"/>
        </w:rPr>
        <w:t>Periods of lack of data is due to technical problems during the 5 stations. Since June 2013 MM4 and MM5 stations have not worked, they being stopped indefinitely.</w:t>
      </w:r>
    </w:p>
    <w:p w:rsidR="006378A3" w:rsidRDefault="006378A3" w:rsidP="006378A3">
      <w:pPr>
        <w:spacing w:before="60" w:after="60" w:line="288" w:lineRule="auto"/>
        <w:ind w:firstLine="720"/>
        <w:jc w:val="both"/>
        <w:rPr>
          <w:rFonts w:eastAsia="Calibri" w:cs="Arial"/>
          <w:lang w:val="en-GB" w:eastAsia="en-US"/>
        </w:rPr>
      </w:pPr>
      <w:r>
        <w:rPr>
          <w:rFonts w:eastAsia="Calibri" w:cs="Arial"/>
          <w:lang w:val="en-GB" w:eastAsia="en-US"/>
        </w:rPr>
        <w:t>Average annual concentration for PM</w:t>
      </w:r>
      <w:r w:rsidRPr="0088539B">
        <w:rPr>
          <w:rFonts w:eastAsia="Calibri" w:cs="Arial"/>
          <w:vertAlign w:val="subscript"/>
          <w:lang w:val="en-GB" w:eastAsia="en-US"/>
        </w:rPr>
        <w:t>10</w:t>
      </w:r>
      <w:r>
        <w:rPr>
          <w:rFonts w:eastAsia="Calibri" w:cs="Arial"/>
          <w:lang w:val="en-GB" w:eastAsia="en-US"/>
        </w:rPr>
        <w:t xml:space="preserve"> resulted from measurements using nephelometric method is between 21.3 µg/m</w:t>
      </w:r>
      <w:r>
        <w:rPr>
          <w:rFonts w:eastAsia="Calibri" w:cs="Arial"/>
          <w:vertAlign w:val="superscript"/>
          <w:lang w:val="en-GB" w:eastAsia="en-US"/>
        </w:rPr>
        <w:t>3</w:t>
      </w:r>
      <w:r>
        <w:rPr>
          <w:rFonts w:eastAsia="Calibri" w:cs="Arial"/>
          <w:lang w:val="en-GB" w:eastAsia="en-US"/>
        </w:rPr>
        <w:t xml:space="preserve"> at MM2 and 27.2µg/m</w:t>
      </w:r>
      <w:r>
        <w:rPr>
          <w:rFonts w:eastAsia="Calibri" w:cs="Arial"/>
          <w:vertAlign w:val="superscript"/>
          <w:lang w:val="en-GB" w:eastAsia="en-US"/>
        </w:rPr>
        <w:t>3</w:t>
      </w:r>
      <w:r>
        <w:rPr>
          <w:rFonts w:eastAsia="Calibri" w:cs="Arial"/>
          <w:lang w:val="en-GB" w:eastAsia="en-US"/>
        </w:rPr>
        <w:t xml:space="preserve"> at MM5 station; there were no exceedance of the annual limit value.</w:t>
      </w:r>
    </w:p>
    <w:p w:rsidR="006378A3" w:rsidRDefault="006378A3" w:rsidP="006378A3">
      <w:pPr>
        <w:spacing w:before="60" w:after="60" w:line="288" w:lineRule="auto"/>
        <w:ind w:firstLine="720"/>
        <w:jc w:val="both"/>
        <w:rPr>
          <w:rFonts w:eastAsia="Calibri" w:cs="Arial"/>
          <w:lang w:val="en-GB" w:eastAsia="en-US"/>
        </w:rPr>
      </w:pPr>
      <w:r>
        <w:rPr>
          <w:rFonts w:eastAsia="Calibri" w:cs="Arial"/>
          <w:lang w:val="en-GB" w:eastAsia="en-US"/>
        </w:rPr>
        <w:t>For PM</w:t>
      </w:r>
      <w:r w:rsidRPr="0088539B">
        <w:rPr>
          <w:rFonts w:eastAsia="Calibri" w:cs="Arial"/>
          <w:vertAlign w:val="subscript"/>
          <w:lang w:val="en-GB" w:eastAsia="en-US"/>
        </w:rPr>
        <w:t>10</w:t>
      </w:r>
      <w:r>
        <w:rPr>
          <w:rFonts w:eastAsia="Calibri" w:cs="Arial"/>
          <w:lang w:val="en-GB" w:eastAsia="en-US"/>
        </w:rPr>
        <w:t xml:space="preserve"> gravimetric determinations mean annual values renged between 20,1 μg/m</w:t>
      </w:r>
      <w:r w:rsidRPr="0088539B">
        <w:rPr>
          <w:rFonts w:eastAsia="Calibri" w:cs="Arial"/>
          <w:vertAlign w:val="superscript"/>
          <w:lang w:val="en-GB" w:eastAsia="en-US"/>
        </w:rPr>
        <w:t>3</w:t>
      </w:r>
      <w:r>
        <w:rPr>
          <w:rFonts w:eastAsia="Calibri" w:cs="Arial"/>
          <w:lang w:val="en-GB" w:eastAsia="en-US"/>
        </w:rPr>
        <w:t xml:space="preserve"> at MM2 station andi 27,1 μg/m3 at MM3 and MM5 stations without exceeding the annual limit value.</w:t>
      </w:r>
    </w:p>
    <w:p w:rsidR="006378A3" w:rsidRDefault="006378A3" w:rsidP="006378A3">
      <w:pPr>
        <w:spacing w:before="60" w:after="60" w:line="288" w:lineRule="auto"/>
        <w:ind w:firstLine="720"/>
        <w:jc w:val="both"/>
        <w:rPr>
          <w:rFonts w:eastAsia="Calibri" w:cs="Arial"/>
          <w:lang w:val="en-GB" w:eastAsia="en-US"/>
        </w:rPr>
      </w:pPr>
      <w:r>
        <w:rPr>
          <w:rFonts w:eastAsia="Calibri" w:cs="Arial"/>
          <w:lang w:val="en-GB" w:eastAsia="en-US"/>
        </w:rPr>
        <w:t>Average daily concentrations values higher than the limit value of  50 mg / m3 were recorded mainly due to the fuel combustion for residential heating in winter only.</w:t>
      </w:r>
    </w:p>
    <w:p w:rsidR="006378A3" w:rsidRDefault="006378A3" w:rsidP="006378A3">
      <w:pPr>
        <w:spacing w:before="60" w:after="60" w:line="288" w:lineRule="auto"/>
        <w:ind w:firstLine="720"/>
        <w:jc w:val="both"/>
        <w:rPr>
          <w:rFonts w:eastAsia="Calibri" w:cs="Arial"/>
          <w:lang w:val="en-GB" w:eastAsia="en-US"/>
        </w:rPr>
      </w:pPr>
      <w:r>
        <w:rPr>
          <w:rFonts w:eastAsia="Calibri" w:cs="Arial"/>
          <w:lang w:val="en-GB" w:eastAsia="en-US"/>
        </w:rPr>
        <w:t>Compared to the 35 average daily concentrations values higher than the limit value of 50 mg / m3 accepted, no exceedances were recorded (MM1 stop - 6 overruns; MM2 station - 7 overruns; MM3 Station - 30 exceedances; MM4 station - free overruns; MM5 station - 5 overruns).</w:t>
      </w:r>
    </w:p>
    <w:p w:rsidR="006378A3" w:rsidRDefault="006378A3" w:rsidP="006378A3">
      <w:pPr>
        <w:spacing w:before="60" w:after="60" w:line="288" w:lineRule="auto"/>
        <w:ind w:firstLine="720"/>
        <w:jc w:val="both"/>
        <w:rPr>
          <w:rFonts w:eastAsia="Calibri" w:cs="Arial"/>
          <w:lang w:val="en-GB" w:eastAsia="en-US"/>
        </w:rPr>
      </w:pPr>
      <w:r>
        <w:rPr>
          <w:rFonts w:eastAsia="Calibri" w:cs="Arial"/>
          <w:lang w:val="en-GB" w:eastAsia="en-US"/>
        </w:rPr>
        <w:t xml:space="preserve">In 2013 there was no accidental pollution, with major impact on the environment and citizens. </w:t>
      </w:r>
    </w:p>
    <w:p w:rsidR="006378A3" w:rsidRDefault="006378A3" w:rsidP="006378A3">
      <w:pPr>
        <w:spacing w:before="60" w:after="60" w:line="288" w:lineRule="auto"/>
        <w:ind w:firstLine="720"/>
        <w:jc w:val="both"/>
        <w:rPr>
          <w:rFonts w:eastAsia="Calibri" w:cs="Arial"/>
          <w:color w:val="000000"/>
          <w:lang w:val="en-GB" w:eastAsia="en-US"/>
        </w:rPr>
      </w:pPr>
    </w:p>
    <w:p w:rsidR="006378A3" w:rsidRDefault="006378A3" w:rsidP="006378A3">
      <w:pPr>
        <w:autoSpaceDE w:val="0"/>
        <w:autoSpaceDN w:val="0"/>
        <w:adjustRightInd w:val="0"/>
        <w:spacing w:before="60" w:after="60" w:line="288" w:lineRule="auto"/>
        <w:ind w:firstLine="720"/>
        <w:jc w:val="both"/>
        <w:rPr>
          <w:rFonts w:eastAsia="Calibri" w:cs="Arial"/>
          <w:color w:val="000000"/>
          <w:lang w:val="en-GB" w:eastAsia="en-US"/>
        </w:rPr>
      </w:pPr>
      <w:r>
        <w:rPr>
          <w:rFonts w:eastAsia="Calibri" w:cs="Arial"/>
          <w:color w:val="000000"/>
          <w:lang w:val="en-GB" w:eastAsia="en-US"/>
        </w:rPr>
        <w:t>thousand m</w:t>
      </w:r>
      <w:r>
        <w:rPr>
          <w:rFonts w:eastAsia="Calibri" w:cs="Arial"/>
          <w:color w:val="000000"/>
          <w:vertAlign w:val="superscript"/>
          <w:lang w:val="en-GB" w:eastAsia="en-US"/>
        </w:rPr>
        <w:t>3</w:t>
      </w:r>
      <w:r>
        <w:rPr>
          <w:rFonts w:eastAsia="Calibri" w:cs="Arial"/>
          <w:color w:val="000000"/>
          <w:lang w:val="en-GB" w:eastAsia="en-US"/>
        </w:rPr>
        <w:t xml:space="preserve">. </w:t>
      </w:r>
    </w:p>
    <w:p w:rsidR="006378A3" w:rsidRDefault="006378A3" w:rsidP="006378A3">
      <w:pPr>
        <w:numPr>
          <w:ilvl w:val="0"/>
          <w:numId w:val="3"/>
        </w:numPr>
        <w:spacing w:before="60" w:after="60" w:line="288" w:lineRule="auto"/>
        <w:jc w:val="both"/>
        <w:rPr>
          <w:rFonts w:eastAsia="Calibri" w:cs="Arial"/>
          <w:b/>
          <w:lang w:val="en-GB" w:eastAsia="en-US"/>
        </w:rPr>
      </w:pPr>
      <w:r>
        <w:rPr>
          <w:rFonts w:eastAsia="Calibri" w:cs="Arial"/>
          <w:b/>
          <w:lang w:val="en-GB" w:eastAsia="en-US"/>
        </w:rPr>
        <w:t>SOIL</w:t>
      </w:r>
    </w:p>
    <w:p w:rsidR="006378A3" w:rsidRDefault="006378A3" w:rsidP="006378A3">
      <w:pPr>
        <w:spacing w:before="60" w:after="60" w:line="288" w:lineRule="auto"/>
        <w:ind w:firstLine="720"/>
        <w:jc w:val="both"/>
        <w:rPr>
          <w:rFonts w:eastAsia="Calibri" w:cs="Arial"/>
          <w:lang w:val="en-GB" w:eastAsia="en-US"/>
        </w:rPr>
      </w:pPr>
    </w:p>
    <w:p w:rsidR="006378A3" w:rsidRDefault="006378A3" w:rsidP="006378A3">
      <w:pPr>
        <w:spacing w:before="60" w:after="60" w:line="288" w:lineRule="auto"/>
        <w:ind w:firstLine="720"/>
        <w:jc w:val="both"/>
        <w:rPr>
          <w:rFonts w:eastAsia="Calibri" w:cs="Arial"/>
          <w:lang w:val="en-GB" w:eastAsia="en-US"/>
        </w:rPr>
      </w:pPr>
      <w:r>
        <w:rPr>
          <w:rFonts w:eastAsia="Calibri" w:cs="Arial"/>
          <w:lang w:val="en-GB" w:eastAsia="en-US"/>
        </w:rPr>
        <w:t>Evolution of the distribution of agricultural land in Maramures County during 2009 - 2013 is presented in Table 4.2.5.</w:t>
      </w:r>
    </w:p>
    <w:p w:rsidR="006378A3" w:rsidRDefault="006378A3" w:rsidP="006378A3">
      <w:pPr>
        <w:spacing w:before="60" w:after="60" w:line="288" w:lineRule="auto"/>
        <w:ind w:firstLine="720"/>
        <w:jc w:val="both"/>
        <w:rPr>
          <w:rFonts w:eastAsia="Calibri"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ascii="Courier New" w:hAnsi="Courier New"/>
          <w:sz w:val="22"/>
          <w:szCs w:val="22"/>
          <w:lang w:val="en-GB" w:eastAsia="x-none"/>
        </w:rPr>
      </w:pPr>
      <w:r>
        <w:rPr>
          <w:rFonts w:cs="Arial"/>
          <w:b/>
          <w:i/>
          <w:sz w:val="22"/>
          <w:szCs w:val="22"/>
          <w:lang w:val="en-GB" w:eastAsia="x-none"/>
        </w:rPr>
        <w:t>Table4.2.5</w:t>
      </w:r>
      <w:r>
        <w:rPr>
          <w:rFonts w:cs="Arial"/>
          <w:b/>
          <w:sz w:val="22"/>
          <w:szCs w:val="22"/>
          <w:lang w:val="en-GB" w:eastAsia="x-none"/>
        </w:rPr>
        <w:t xml:space="preserve"> </w:t>
      </w:r>
      <w:r>
        <w:rPr>
          <w:rFonts w:eastAsia="Calibri" w:cs="Arial"/>
          <w:color w:val="000000"/>
          <w:sz w:val="22"/>
          <w:szCs w:val="22"/>
          <w:lang w:val="en-GB" w:eastAsia="x-none"/>
        </w:rPr>
        <w:t>Distribution of agricultural land in Maramures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1408"/>
        <w:gridCol w:w="1408"/>
        <w:gridCol w:w="1408"/>
        <w:gridCol w:w="1440"/>
        <w:gridCol w:w="1408"/>
        <w:gridCol w:w="1408"/>
      </w:tblGrid>
      <w:tr w:rsidR="006378A3" w:rsidTr="002E01ED">
        <w:tc>
          <w:tcPr>
            <w:tcW w:w="590" w:type="dxa"/>
            <w:vMerge w:val="restart"/>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No.</w:t>
            </w:r>
          </w:p>
        </w:tc>
        <w:tc>
          <w:tcPr>
            <w:tcW w:w="1408" w:type="dxa"/>
            <w:vMerge w:val="restart"/>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Usage class</w:t>
            </w:r>
          </w:p>
        </w:tc>
        <w:tc>
          <w:tcPr>
            <w:tcW w:w="7040" w:type="dxa"/>
            <w:gridSpan w:val="5"/>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Aria, ha</w:t>
            </w:r>
          </w:p>
        </w:tc>
      </w:tr>
      <w:tr w:rsidR="006378A3" w:rsidTr="002E01ED">
        <w:tc>
          <w:tcPr>
            <w:tcW w:w="590" w:type="dxa"/>
            <w:vMerge/>
            <w:shd w:val="clear" w:color="auto" w:fill="auto"/>
            <w:vAlign w:val="center"/>
          </w:tcPr>
          <w:p w:rsidR="006378A3" w:rsidRDefault="006378A3" w:rsidP="002E01ED">
            <w:pPr>
              <w:spacing w:line="276" w:lineRule="auto"/>
              <w:jc w:val="center"/>
              <w:rPr>
                <w:rFonts w:eastAsia="Calibri" w:cs="Arial"/>
                <w:b/>
                <w:sz w:val="22"/>
                <w:szCs w:val="22"/>
                <w:lang w:val="en-GB" w:eastAsia="en-US"/>
              </w:rPr>
            </w:pPr>
          </w:p>
        </w:tc>
        <w:tc>
          <w:tcPr>
            <w:tcW w:w="1408" w:type="dxa"/>
            <w:vMerge/>
            <w:shd w:val="clear" w:color="auto" w:fill="auto"/>
            <w:vAlign w:val="center"/>
          </w:tcPr>
          <w:p w:rsidR="006378A3" w:rsidRDefault="006378A3" w:rsidP="002E01ED">
            <w:pPr>
              <w:spacing w:line="276" w:lineRule="auto"/>
              <w:jc w:val="center"/>
              <w:rPr>
                <w:rFonts w:eastAsia="Calibri" w:cs="Arial"/>
                <w:b/>
                <w:sz w:val="22"/>
                <w:szCs w:val="22"/>
                <w:lang w:val="en-GB" w:eastAsia="en-US"/>
              </w:rPr>
            </w:pPr>
          </w:p>
        </w:tc>
        <w:tc>
          <w:tcPr>
            <w:tcW w:w="1408"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2009</w:t>
            </w:r>
          </w:p>
        </w:tc>
        <w:tc>
          <w:tcPr>
            <w:tcW w:w="1408"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2010</w:t>
            </w:r>
          </w:p>
        </w:tc>
        <w:tc>
          <w:tcPr>
            <w:tcW w:w="1408"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2011</w:t>
            </w:r>
          </w:p>
        </w:tc>
        <w:tc>
          <w:tcPr>
            <w:tcW w:w="1408"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2012</w:t>
            </w:r>
          </w:p>
        </w:tc>
        <w:tc>
          <w:tcPr>
            <w:tcW w:w="1408" w:type="dxa"/>
            <w:shd w:val="clear" w:color="auto" w:fill="auto"/>
            <w:vAlign w:val="center"/>
          </w:tcPr>
          <w:p w:rsidR="006378A3" w:rsidRDefault="006378A3" w:rsidP="002E01ED">
            <w:pPr>
              <w:spacing w:line="276" w:lineRule="auto"/>
              <w:jc w:val="center"/>
              <w:rPr>
                <w:rFonts w:eastAsia="Calibri" w:cs="Arial"/>
                <w:b/>
                <w:sz w:val="22"/>
                <w:szCs w:val="22"/>
                <w:lang w:val="en-GB" w:eastAsia="en-US"/>
              </w:rPr>
            </w:pPr>
            <w:r>
              <w:rPr>
                <w:rFonts w:eastAsia="Calibri" w:cs="Arial"/>
                <w:b/>
                <w:sz w:val="22"/>
                <w:szCs w:val="22"/>
                <w:lang w:val="en-GB" w:eastAsia="en-US"/>
              </w:rPr>
              <w:t>2013</w:t>
            </w:r>
          </w:p>
        </w:tc>
      </w:tr>
      <w:tr w:rsidR="006378A3" w:rsidTr="002E01ED">
        <w:tc>
          <w:tcPr>
            <w:tcW w:w="590"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1</w:t>
            </w:r>
          </w:p>
        </w:tc>
        <w:tc>
          <w:tcPr>
            <w:tcW w:w="1408"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Arable</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83795</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83784</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82855</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81619</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81206</w:t>
            </w:r>
          </w:p>
        </w:tc>
      </w:tr>
      <w:tr w:rsidR="006378A3" w:rsidTr="002E01ED">
        <w:tc>
          <w:tcPr>
            <w:tcW w:w="590"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2</w:t>
            </w:r>
          </w:p>
        </w:tc>
        <w:tc>
          <w:tcPr>
            <w:tcW w:w="1408"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 xml:space="preserve">Grassland </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99734</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98279</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96495</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96654</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96888</w:t>
            </w:r>
          </w:p>
        </w:tc>
      </w:tr>
      <w:tr w:rsidR="006378A3" w:rsidTr="002E01ED">
        <w:tc>
          <w:tcPr>
            <w:tcW w:w="590"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3</w:t>
            </w:r>
          </w:p>
        </w:tc>
        <w:tc>
          <w:tcPr>
            <w:tcW w:w="1408"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 xml:space="preserve">Meadows </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119935</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119730</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120260</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120658</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120937</w:t>
            </w:r>
          </w:p>
        </w:tc>
      </w:tr>
      <w:tr w:rsidR="006378A3" w:rsidTr="002E01ED">
        <w:tc>
          <w:tcPr>
            <w:tcW w:w="590"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4</w:t>
            </w:r>
          </w:p>
        </w:tc>
        <w:tc>
          <w:tcPr>
            <w:tcW w:w="1408"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Vineyards</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243</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243</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243</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248</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243</w:t>
            </w:r>
          </w:p>
        </w:tc>
      </w:tr>
      <w:tr w:rsidR="006378A3" w:rsidTr="002E01ED">
        <w:tc>
          <w:tcPr>
            <w:tcW w:w="590"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5</w:t>
            </w:r>
          </w:p>
        </w:tc>
        <w:tc>
          <w:tcPr>
            <w:tcW w:w="1408" w:type="dxa"/>
            <w:shd w:val="clear" w:color="auto" w:fill="auto"/>
            <w:vAlign w:val="center"/>
          </w:tcPr>
          <w:p w:rsidR="006378A3" w:rsidRDefault="006378A3" w:rsidP="002E01ED">
            <w:pPr>
              <w:spacing w:line="276" w:lineRule="auto"/>
              <w:jc w:val="center"/>
              <w:rPr>
                <w:rFonts w:eastAsia="Calibri" w:cs="Arial"/>
                <w:sz w:val="22"/>
                <w:szCs w:val="22"/>
                <w:lang w:val="en-GB" w:eastAsia="en-US"/>
              </w:rPr>
            </w:pPr>
            <w:r>
              <w:rPr>
                <w:rFonts w:eastAsia="Calibri" w:cs="Arial"/>
                <w:sz w:val="22"/>
                <w:szCs w:val="22"/>
                <w:lang w:val="en-GB" w:eastAsia="en-US"/>
              </w:rPr>
              <w:t>Orchards</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6590</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6304</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6339306192</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6199</w:t>
            </w:r>
          </w:p>
        </w:tc>
        <w:tc>
          <w:tcPr>
            <w:tcW w:w="1408" w:type="dxa"/>
            <w:shd w:val="clear" w:color="auto" w:fill="auto"/>
            <w:vAlign w:val="center"/>
          </w:tcPr>
          <w:p w:rsidR="006378A3" w:rsidRDefault="006378A3" w:rsidP="002E01ED">
            <w:pPr>
              <w:spacing w:line="276" w:lineRule="auto"/>
              <w:jc w:val="right"/>
              <w:rPr>
                <w:rFonts w:eastAsia="Calibri" w:cs="Arial"/>
                <w:sz w:val="22"/>
                <w:szCs w:val="22"/>
                <w:lang w:val="en-GB" w:eastAsia="en-US"/>
              </w:rPr>
            </w:pPr>
            <w:r>
              <w:rPr>
                <w:rFonts w:eastAsia="Calibri" w:cs="Arial"/>
                <w:sz w:val="22"/>
                <w:szCs w:val="22"/>
                <w:lang w:val="en-GB" w:eastAsia="en-US"/>
              </w:rPr>
              <w:t>6254</w:t>
            </w:r>
          </w:p>
        </w:tc>
      </w:tr>
      <w:tr w:rsidR="006378A3" w:rsidTr="002E01ED">
        <w:tc>
          <w:tcPr>
            <w:tcW w:w="1998" w:type="dxa"/>
            <w:gridSpan w:val="2"/>
            <w:shd w:val="clear" w:color="auto" w:fill="auto"/>
            <w:vAlign w:val="center"/>
          </w:tcPr>
          <w:p w:rsidR="006378A3" w:rsidRDefault="006378A3" w:rsidP="002E01ED">
            <w:pPr>
              <w:spacing w:line="276" w:lineRule="auto"/>
              <w:jc w:val="center"/>
              <w:rPr>
                <w:rFonts w:eastAsia="Calibri" w:cs="Arial"/>
                <w:b/>
                <w:sz w:val="22"/>
                <w:szCs w:val="22"/>
                <w:lang w:val="en-GB" w:eastAsia="en-US"/>
              </w:rPr>
            </w:pPr>
          </w:p>
        </w:tc>
        <w:tc>
          <w:tcPr>
            <w:tcW w:w="1408" w:type="dxa"/>
            <w:shd w:val="clear" w:color="auto" w:fill="auto"/>
            <w:vAlign w:val="center"/>
          </w:tcPr>
          <w:p w:rsidR="006378A3" w:rsidRDefault="006378A3" w:rsidP="002E01ED">
            <w:pPr>
              <w:spacing w:line="276" w:lineRule="auto"/>
              <w:jc w:val="right"/>
              <w:rPr>
                <w:rFonts w:eastAsia="Calibri" w:cs="Arial"/>
                <w:b/>
                <w:sz w:val="22"/>
                <w:szCs w:val="22"/>
                <w:lang w:val="en-GB" w:eastAsia="en-US"/>
              </w:rPr>
            </w:pPr>
            <w:r>
              <w:rPr>
                <w:rFonts w:eastAsia="Calibri" w:cs="Arial"/>
                <w:b/>
                <w:sz w:val="22"/>
                <w:szCs w:val="22"/>
                <w:lang w:val="en-GB" w:eastAsia="en-US"/>
              </w:rPr>
              <w:t>31297</w:t>
            </w:r>
          </w:p>
        </w:tc>
        <w:tc>
          <w:tcPr>
            <w:tcW w:w="1408" w:type="dxa"/>
            <w:shd w:val="clear" w:color="auto" w:fill="auto"/>
            <w:vAlign w:val="center"/>
          </w:tcPr>
          <w:p w:rsidR="006378A3" w:rsidRDefault="006378A3" w:rsidP="002E01ED">
            <w:pPr>
              <w:spacing w:line="276" w:lineRule="auto"/>
              <w:jc w:val="right"/>
              <w:rPr>
                <w:rFonts w:eastAsia="Calibri" w:cs="Arial"/>
                <w:b/>
                <w:sz w:val="22"/>
                <w:szCs w:val="22"/>
                <w:lang w:val="en-GB" w:eastAsia="en-US"/>
              </w:rPr>
            </w:pPr>
            <w:r>
              <w:rPr>
                <w:rFonts w:eastAsia="Calibri" w:cs="Arial"/>
                <w:b/>
                <w:sz w:val="22"/>
                <w:szCs w:val="22"/>
                <w:lang w:val="en-GB" w:eastAsia="en-US"/>
              </w:rPr>
              <w:t>309325</w:t>
            </w:r>
          </w:p>
        </w:tc>
        <w:tc>
          <w:tcPr>
            <w:tcW w:w="1408" w:type="dxa"/>
            <w:shd w:val="clear" w:color="auto" w:fill="auto"/>
            <w:vAlign w:val="center"/>
          </w:tcPr>
          <w:p w:rsidR="006378A3" w:rsidRDefault="006378A3" w:rsidP="002E01ED">
            <w:pPr>
              <w:spacing w:line="276" w:lineRule="auto"/>
              <w:jc w:val="right"/>
              <w:rPr>
                <w:rFonts w:eastAsia="Calibri" w:cs="Arial"/>
                <w:b/>
                <w:sz w:val="22"/>
                <w:szCs w:val="22"/>
                <w:lang w:val="en-GB" w:eastAsia="en-US"/>
              </w:rPr>
            </w:pPr>
          </w:p>
        </w:tc>
        <w:tc>
          <w:tcPr>
            <w:tcW w:w="1408" w:type="dxa"/>
            <w:shd w:val="clear" w:color="auto" w:fill="auto"/>
            <w:vAlign w:val="center"/>
          </w:tcPr>
          <w:p w:rsidR="006378A3" w:rsidRDefault="006378A3" w:rsidP="002E01ED">
            <w:pPr>
              <w:spacing w:line="276" w:lineRule="auto"/>
              <w:jc w:val="right"/>
              <w:rPr>
                <w:rFonts w:eastAsia="Calibri" w:cs="Arial"/>
                <w:b/>
                <w:sz w:val="22"/>
                <w:szCs w:val="22"/>
                <w:lang w:val="en-GB" w:eastAsia="en-US"/>
              </w:rPr>
            </w:pPr>
            <w:r>
              <w:rPr>
                <w:rFonts w:eastAsia="Calibri" w:cs="Arial"/>
                <w:b/>
                <w:sz w:val="22"/>
                <w:szCs w:val="22"/>
                <w:lang w:val="en-GB" w:eastAsia="en-US"/>
              </w:rPr>
              <w:t>305373</w:t>
            </w:r>
          </w:p>
        </w:tc>
        <w:tc>
          <w:tcPr>
            <w:tcW w:w="1408" w:type="dxa"/>
            <w:shd w:val="clear" w:color="auto" w:fill="auto"/>
            <w:vAlign w:val="center"/>
          </w:tcPr>
          <w:p w:rsidR="006378A3" w:rsidRDefault="006378A3" w:rsidP="002E01ED">
            <w:pPr>
              <w:spacing w:line="276" w:lineRule="auto"/>
              <w:jc w:val="right"/>
              <w:rPr>
                <w:rFonts w:eastAsia="Calibri" w:cs="Arial"/>
                <w:b/>
                <w:sz w:val="22"/>
                <w:szCs w:val="22"/>
                <w:lang w:val="en-GB" w:eastAsia="en-US"/>
              </w:rPr>
            </w:pPr>
            <w:r>
              <w:rPr>
                <w:rFonts w:eastAsia="Calibri" w:cs="Arial"/>
                <w:b/>
                <w:sz w:val="22"/>
                <w:szCs w:val="22"/>
                <w:lang w:val="en-GB" w:eastAsia="en-US"/>
              </w:rPr>
              <w:t>305528</w:t>
            </w:r>
          </w:p>
        </w:tc>
      </w:tr>
    </w:tbl>
    <w:p w:rsidR="006378A3" w:rsidRDefault="006378A3" w:rsidP="006378A3">
      <w:pPr>
        <w:spacing w:before="60" w:after="60" w:line="288" w:lineRule="auto"/>
        <w:ind w:firstLine="630"/>
        <w:jc w:val="both"/>
        <w:rPr>
          <w:rFonts w:eastAsia="Calibri" w:cs="Arial"/>
          <w:lang w:val="en-GB" w:eastAsia="en-US"/>
        </w:rPr>
      </w:pPr>
    </w:p>
    <w:p w:rsidR="006378A3" w:rsidRDefault="006378A3" w:rsidP="006378A3">
      <w:pPr>
        <w:spacing w:before="60" w:after="60" w:line="288" w:lineRule="auto"/>
        <w:ind w:firstLine="630"/>
        <w:jc w:val="both"/>
        <w:rPr>
          <w:rFonts w:eastAsia="Calibri" w:cs="Arial"/>
          <w:lang w:val="en-GB" w:eastAsia="en-US"/>
        </w:rPr>
      </w:pPr>
      <w:r>
        <w:rPr>
          <w:rFonts w:eastAsia="Calibri" w:cs="Arial"/>
          <w:lang w:val="en-GB" w:eastAsia="en-US"/>
        </w:rPr>
        <w:t>Compared to 2012, there was a slight improvement of the surface, according to the categorization of the total agricultural use, this having a positive impact on the environment.</w:t>
      </w:r>
    </w:p>
    <w:p w:rsidR="006378A3" w:rsidRDefault="006378A3" w:rsidP="006378A3">
      <w:pPr>
        <w:spacing w:before="60" w:after="60" w:line="288" w:lineRule="auto"/>
        <w:ind w:firstLine="720"/>
        <w:jc w:val="both"/>
        <w:rPr>
          <w:rFonts w:eastAsia="Calibri" w:cs="Arial"/>
          <w:lang w:val="en-GB" w:eastAsia="en-US"/>
        </w:rPr>
      </w:pPr>
      <w:r>
        <w:rPr>
          <w:rFonts w:eastAsia="Calibri" w:cs="Arial"/>
          <w:lang w:val="en-GB" w:eastAsia="en-US"/>
        </w:rPr>
        <w:t>In 2013 year, in Maramures County there was no accidental pollution of soil.</w:t>
      </w:r>
    </w:p>
    <w:p w:rsidR="006378A3" w:rsidRDefault="006378A3" w:rsidP="006378A3">
      <w:pPr>
        <w:spacing w:before="60" w:after="60" w:line="288" w:lineRule="auto"/>
        <w:jc w:val="both"/>
        <w:rPr>
          <w:sz w:val="23"/>
          <w:szCs w:val="23"/>
          <w:lang w:val="en-GB"/>
        </w:rPr>
      </w:pPr>
    </w:p>
    <w:p w:rsidR="006378A3" w:rsidRDefault="006378A3" w:rsidP="006378A3">
      <w:pPr>
        <w:pStyle w:val="Heading1"/>
        <w:rPr>
          <w:rFonts w:ascii="Arial" w:hAnsi="Arial" w:cs="Arial"/>
          <w:sz w:val="24"/>
          <w:szCs w:val="24"/>
          <w:lang w:val="en-GB" w:eastAsia="ro-RO"/>
        </w:rPr>
      </w:pPr>
      <w:bookmarkStart w:id="14" w:name="_Toc419704926"/>
      <w:r>
        <w:rPr>
          <w:rFonts w:ascii="Arial" w:hAnsi="Arial" w:cs="Arial"/>
          <w:sz w:val="24"/>
          <w:szCs w:val="24"/>
          <w:lang w:val="en-GB" w:eastAsia="ro-RO"/>
        </w:rPr>
        <w:t>4.3. Satu Mare County</w:t>
      </w:r>
      <w:bookmarkEnd w:id="14"/>
    </w:p>
    <w:p w:rsidR="006378A3" w:rsidRDefault="006378A3" w:rsidP="006378A3">
      <w:pPr>
        <w:spacing w:before="60" w:after="60" w:line="288" w:lineRule="auto"/>
        <w:jc w:val="both"/>
        <w:rPr>
          <w:b/>
          <w:lang w:val="en-GB"/>
        </w:rPr>
      </w:pPr>
    </w:p>
    <w:p w:rsidR="006378A3" w:rsidRDefault="006378A3" w:rsidP="006378A3">
      <w:pPr>
        <w:numPr>
          <w:ilvl w:val="0"/>
          <w:numId w:val="1"/>
        </w:numPr>
        <w:spacing w:before="60" w:after="60" w:line="288" w:lineRule="auto"/>
        <w:jc w:val="both"/>
        <w:rPr>
          <w:rFonts w:eastAsia="Calibri" w:cs="Arial"/>
          <w:b/>
          <w:lang w:val="en-GB" w:eastAsia="en-US"/>
        </w:rPr>
      </w:pPr>
      <w:r>
        <w:rPr>
          <w:rFonts w:eastAsia="Calibri" w:cs="Arial"/>
          <w:b/>
          <w:lang w:val="en-GB" w:eastAsia="en-US"/>
        </w:rPr>
        <w:t>AIR</w:t>
      </w:r>
    </w:p>
    <w:p w:rsidR="006378A3" w:rsidRDefault="006378A3" w:rsidP="006378A3">
      <w:pPr>
        <w:spacing w:before="60" w:after="60" w:line="288" w:lineRule="auto"/>
        <w:ind w:firstLine="720"/>
        <w:jc w:val="both"/>
        <w:rPr>
          <w:rFonts w:eastAsia="Calibri" w:cs="Arial"/>
          <w:b/>
          <w:bCs/>
          <w:lang w:val="en-GB" w:eastAsia="en-US"/>
        </w:rPr>
      </w:pPr>
      <w:r>
        <w:rPr>
          <w:rFonts w:eastAsia="Calibri" w:cs="Arial"/>
          <w:lang w:val="en-GB" w:eastAsia="en-US"/>
        </w:rPr>
        <w:t xml:space="preserve"> </w:t>
      </w:r>
      <w:r>
        <w:rPr>
          <w:rFonts w:eastAsia="Calibri" w:cs="Arial"/>
          <w:bCs/>
          <w:i/>
          <w:lang w:val="en-GB" w:eastAsia="en-US"/>
        </w:rPr>
        <w:t>Sulphur dioxide (SO</w:t>
      </w:r>
      <w:r>
        <w:rPr>
          <w:rFonts w:eastAsia="Calibri" w:cs="Arial"/>
          <w:bCs/>
          <w:i/>
          <w:vertAlign w:val="subscript"/>
          <w:lang w:val="en-GB" w:eastAsia="en-US"/>
        </w:rPr>
        <w:t>2</w:t>
      </w:r>
      <w:r>
        <w:rPr>
          <w:rFonts w:eastAsia="Calibri" w:cs="Arial"/>
          <w:bCs/>
          <w:i/>
          <w:lang w:val="en-GB" w:eastAsia="en-US"/>
        </w:rPr>
        <w:t>)</w:t>
      </w:r>
      <w:r>
        <w:rPr>
          <w:rFonts w:eastAsia="Calibri" w:cs="Arial"/>
          <w:b/>
          <w:bCs/>
          <w:lang w:val="en-GB" w:eastAsia="en-US"/>
        </w:rPr>
        <w:t xml:space="preserve"> </w:t>
      </w:r>
    </w:p>
    <w:p w:rsidR="006378A3" w:rsidRDefault="006378A3" w:rsidP="006378A3">
      <w:pPr>
        <w:spacing w:before="60" w:after="60" w:line="288" w:lineRule="auto"/>
        <w:jc w:val="both"/>
        <w:rPr>
          <w:rFonts w:eastAsia="Calibri" w:cs="Arial"/>
          <w:lang w:val="en-GB" w:eastAsia="en-US"/>
        </w:rPr>
      </w:pPr>
      <w:r>
        <w:rPr>
          <w:rFonts w:eastAsia="Calibri" w:cs="Arial"/>
          <w:lang w:val="en-GB" w:eastAsia="en-US"/>
        </w:rPr>
        <w:t>In 2013, in Satu Mare County at development of emission inventory based on Corinair factors, were obtained a total of 408.5 tons of SO</w:t>
      </w:r>
      <w:r>
        <w:rPr>
          <w:rFonts w:eastAsia="Calibri" w:cs="Arial"/>
          <w:vertAlign w:val="subscript"/>
          <w:lang w:val="en-GB" w:eastAsia="en-US"/>
        </w:rPr>
        <w:t>2</w:t>
      </w:r>
      <w:r>
        <w:rPr>
          <w:rFonts w:eastAsia="Calibri" w:cs="Arial"/>
          <w:lang w:val="en-GB" w:eastAsia="en-US"/>
        </w:rPr>
        <w:t xml:space="preserve"> emitted comparing with 108.3 tons in 2012.</w:t>
      </w:r>
    </w:p>
    <w:p w:rsidR="006378A3" w:rsidRDefault="006378A3" w:rsidP="006378A3">
      <w:pPr>
        <w:spacing w:before="60" w:after="60" w:line="288" w:lineRule="auto"/>
        <w:jc w:val="both"/>
        <w:rPr>
          <w:rFonts w:eastAsia="Calibri" w:cs="Arial"/>
          <w:lang w:val="en-GB" w:eastAsia="en-US"/>
        </w:rPr>
      </w:pPr>
    </w:p>
    <w:p w:rsidR="006378A3" w:rsidRDefault="006378A3" w:rsidP="006378A3">
      <w:pPr>
        <w:autoSpaceDE w:val="0"/>
        <w:autoSpaceDN w:val="0"/>
        <w:adjustRightInd w:val="0"/>
        <w:spacing w:before="60" w:after="60" w:line="288" w:lineRule="auto"/>
        <w:ind w:left="360"/>
        <w:jc w:val="both"/>
        <w:rPr>
          <w:rFonts w:eastAsia="Calibri" w:cs="Arial"/>
          <w:b/>
          <w:bCs/>
          <w:i/>
          <w:sz w:val="22"/>
          <w:szCs w:val="22"/>
          <w:lang w:val="en-GB" w:eastAsia="en-US"/>
        </w:rPr>
      </w:pPr>
      <w:r>
        <w:rPr>
          <w:rFonts w:eastAsia="Calibri" w:cs="Arial"/>
          <w:b/>
          <w:bCs/>
          <w:i/>
          <w:sz w:val="22"/>
          <w:szCs w:val="22"/>
          <w:lang w:val="en-GB" w:eastAsia="en-US"/>
        </w:rPr>
        <w:t xml:space="preserve">Table 4.3.1 </w:t>
      </w:r>
      <w:r>
        <w:rPr>
          <w:rFonts w:eastAsia="Calibri" w:cs="Arial"/>
          <w:bCs/>
          <w:sz w:val="22"/>
          <w:szCs w:val="22"/>
          <w:lang w:val="en-GB" w:eastAsia="en-US"/>
        </w:rPr>
        <w:t>Annual quantities of sulphur dioxide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7"/>
        <w:gridCol w:w="865"/>
        <w:gridCol w:w="864"/>
        <w:gridCol w:w="864"/>
        <w:gridCol w:w="864"/>
        <w:gridCol w:w="865"/>
        <w:gridCol w:w="844"/>
        <w:gridCol w:w="844"/>
        <w:gridCol w:w="833"/>
        <w:gridCol w:w="817"/>
        <w:gridCol w:w="786"/>
        <w:gridCol w:w="704"/>
      </w:tblGrid>
      <w:tr w:rsidR="006378A3" w:rsidTr="002E01ED">
        <w:tc>
          <w:tcPr>
            <w:tcW w:w="705"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Year</w:t>
            </w:r>
          </w:p>
        </w:tc>
        <w:tc>
          <w:tcPr>
            <w:tcW w:w="865"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2003</w:t>
            </w:r>
          </w:p>
        </w:tc>
        <w:tc>
          <w:tcPr>
            <w:tcW w:w="864"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2004</w:t>
            </w:r>
          </w:p>
        </w:tc>
        <w:tc>
          <w:tcPr>
            <w:tcW w:w="864"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2005</w:t>
            </w:r>
          </w:p>
        </w:tc>
        <w:tc>
          <w:tcPr>
            <w:tcW w:w="864"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2006</w:t>
            </w:r>
          </w:p>
        </w:tc>
        <w:tc>
          <w:tcPr>
            <w:tcW w:w="865"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2007</w:t>
            </w:r>
          </w:p>
        </w:tc>
        <w:tc>
          <w:tcPr>
            <w:tcW w:w="844"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2008</w:t>
            </w:r>
          </w:p>
        </w:tc>
        <w:tc>
          <w:tcPr>
            <w:tcW w:w="844"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2009</w:t>
            </w:r>
          </w:p>
        </w:tc>
        <w:tc>
          <w:tcPr>
            <w:tcW w:w="833"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2010</w:t>
            </w:r>
          </w:p>
        </w:tc>
        <w:tc>
          <w:tcPr>
            <w:tcW w:w="817" w:type="dxa"/>
            <w:shd w:val="clear" w:color="auto" w:fill="auto"/>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2011</w:t>
            </w:r>
          </w:p>
        </w:tc>
        <w:tc>
          <w:tcPr>
            <w:tcW w:w="786"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2012</w:t>
            </w:r>
          </w:p>
        </w:tc>
        <w:tc>
          <w:tcPr>
            <w:tcW w:w="704" w:type="dxa"/>
            <w:shd w:val="clear" w:color="auto" w:fill="auto"/>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2103</w:t>
            </w:r>
          </w:p>
        </w:tc>
      </w:tr>
      <w:tr w:rsidR="006378A3" w:rsidTr="002E01ED">
        <w:trPr>
          <w:trHeight w:val="537"/>
        </w:trPr>
        <w:tc>
          <w:tcPr>
            <w:tcW w:w="705"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SO2 Annual emission</w:t>
            </w:r>
          </w:p>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(t/year)</w:t>
            </w:r>
          </w:p>
        </w:tc>
        <w:tc>
          <w:tcPr>
            <w:tcW w:w="865"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1309.9</w:t>
            </w:r>
          </w:p>
        </w:tc>
        <w:tc>
          <w:tcPr>
            <w:tcW w:w="864"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1364.7</w:t>
            </w:r>
          </w:p>
        </w:tc>
        <w:tc>
          <w:tcPr>
            <w:tcW w:w="864"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1060.6</w:t>
            </w:r>
          </w:p>
        </w:tc>
        <w:tc>
          <w:tcPr>
            <w:tcW w:w="864"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1348.2</w:t>
            </w:r>
          </w:p>
        </w:tc>
        <w:tc>
          <w:tcPr>
            <w:tcW w:w="865"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2163.8</w:t>
            </w:r>
          </w:p>
        </w:tc>
        <w:tc>
          <w:tcPr>
            <w:tcW w:w="844"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763.4</w:t>
            </w:r>
          </w:p>
        </w:tc>
        <w:tc>
          <w:tcPr>
            <w:tcW w:w="844"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715.4</w:t>
            </w:r>
          </w:p>
        </w:tc>
        <w:tc>
          <w:tcPr>
            <w:tcW w:w="833"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39.5</w:t>
            </w:r>
          </w:p>
        </w:tc>
        <w:tc>
          <w:tcPr>
            <w:tcW w:w="817"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59.036</w:t>
            </w:r>
          </w:p>
        </w:tc>
        <w:tc>
          <w:tcPr>
            <w:tcW w:w="786"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109.3</w:t>
            </w:r>
          </w:p>
        </w:tc>
        <w:tc>
          <w:tcPr>
            <w:tcW w:w="704"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408.5</w:t>
            </w:r>
          </w:p>
        </w:tc>
      </w:tr>
    </w:tbl>
    <w:p w:rsidR="006378A3" w:rsidRDefault="006378A3" w:rsidP="006378A3">
      <w:pPr>
        <w:spacing w:before="60" w:after="60" w:line="288" w:lineRule="auto"/>
        <w:jc w:val="both"/>
        <w:rPr>
          <w:rFonts w:eastAsia="Calibri" w:cs="Arial"/>
          <w:b/>
          <w:lang w:val="en-GB" w:eastAsia="en-US"/>
        </w:rPr>
      </w:pPr>
    </w:p>
    <w:p w:rsidR="006378A3" w:rsidRDefault="006378A3" w:rsidP="006378A3">
      <w:pPr>
        <w:spacing w:before="60" w:after="60" w:line="288" w:lineRule="auto"/>
        <w:ind w:firstLine="720"/>
        <w:jc w:val="both"/>
        <w:rPr>
          <w:rFonts w:eastAsia="Calibri" w:cs="Arial"/>
          <w:lang w:val="en-GB" w:eastAsia="en-US"/>
        </w:rPr>
      </w:pPr>
      <w:r>
        <w:rPr>
          <w:rFonts w:eastAsia="Calibri" w:cs="Arial"/>
          <w:lang w:val="en-GB" w:eastAsia="en-US"/>
        </w:rPr>
        <w:t xml:space="preserve">The main activities which result in significant amounts of emissions of sulphur dioxide are related to road transport activities, combustion in manufacturing industry and non-industrial combustion plants. </w:t>
      </w:r>
    </w:p>
    <w:p w:rsidR="006378A3" w:rsidRDefault="006378A3" w:rsidP="006378A3">
      <w:pPr>
        <w:spacing w:before="60" w:after="60" w:line="288" w:lineRule="auto"/>
        <w:ind w:firstLine="720"/>
        <w:jc w:val="both"/>
        <w:rPr>
          <w:rFonts w:eastAsia="Calibri" w:cs="Arial"/>
          <w:lang w:val="en-GB" w:eastAsia="en-US"/>
        </w:rPr>
      </w:pPr>
    </w:p>
    <w:p w:rsidR="006378A3" w:rsidRDefault="006378A3" w:rsidP="006378A3">
      <w:pPr>
        <w:spacing w:before="60" w:after="60" w:line="288" w:lineRule="auto"/>
        <w:ind w:firstLine="720"/>
        <w:jc w:val="both"/>
        <w:rPr>
          <w:rFonts w:eastAsia="Calibri" w:cs="Arial"/>
          <w:i/>
          <w:lang w:val="en-GB" w:eastAsia="en-US"/>
        </w:rPr>
      </w:pPr>
      <w:r>
        <w:rPr>
          <w:rFonts w:eastAsia="Calibri" w:cs="Arial"/>
          <w:i/>
          <w:lang w:val="en-GB" w:eastAsia="en-US"/>
        </w:rPr>
        <w:t>Nitrogen oxides (NO</w:t>
      </w:r>
      <w:r>
        <w:rPr>
          <w:rFonts w:eastAsia="Calibri" w:cs="Arial"/>
          <w:i/>
          <w:vertAlign w:val="subscript"/>
          <w:lang w:val="en-GB" w:eastAsia="en-US"/>
        </w:rPr>
        <w:t>x</w:t>
      </w:r>
      <w:r>
        <w:rPr>
          <w:rFonts w:eastAsia="Calibri" w:cs="Arial"/>
          <w:i/>
          <w:lang w:val="en-GB" w:eastAsia="en-US"/>
        </w:rPr>
        <w:t xml:space="preserve">) </w:t>
      </w:r>
    </w:p>
    <w:p w:rsidR="006378A3" w:rsidRDefault="006378A3" w:rsidP="006378A3">
      <w:pPr>
        <w:spacing w:before="60" w:after="60" w:line="288" w:lineRule="auto"/>
        <w:jc w:val="both"/>
        <w:rPr>
          <w:rFonts w:eastAsia="Calibri" w:cs="Arial"/>
          <w:lang w:val="en-GB" w:eastAsia="en-US"/>
        </w:rPr>
      </w:pPr>
      <w:r>
        <w:rPr>
          <w:rFonts w:eastAsia="Calibri" w:cs="Arial"/>
          <w:lang w:val="en-GB" w:eastAsia="en-US"/>
        </w:rPr>
        <w:t>The total quantities of nitrogen oxides emissions in 2013 are 3014 tons / year of which 1346 tons come from road traffic.</w:t>
      </w:r>
    </w:p>
    <w:p w:rsidR="006378A3" w:rsidRDefault="006378A3" w:rsidP="006378A3">
      <w:pPr>
        <w:spacing w:before="60" w:after="60" w:line="288" w:lineRule="auto"/>
        <w:jc w:val="both"/>
        <w:rPr>
          <w:rFonts w:eastAsia="Calibri" w:cs="Arial"/>
          <w:lang w:val="en-GB" w:eastAsia="en-US"/>
        </w:rPr>
      </w:pPr>
    </w:p>
    <w:p w:rsidR="006378A3" w:rsidRDefault="006378A3" w:rsidP="006378A3">
      <w:pPr>
        <w:autoSpaceDE w:val="0"/>
        <w:autoSpaceDN w:val="0"/>
        <w:adjustRightInd w:val="0"/>
        <w:spacing w:before="60" w:after="60" w:line="288" w:lineRule="auto"/>
        <w:ind w:left="360"/>
        <w:jc w:val="both"/>
        <w:rPr>
          <w:rFonts w:eastAsia="Calibri" w:cs="Arial"/>
          <w:b/>
          <w:bCs/>
          <w:i/>
          <w:sz w:val="22"/>
          <w:szCs w:val="22"/>
          <w:lang w:val="en-GB" w:eastAsia="en-US"/>
        </w:rPr>
      </w:pPr>
      <w:r>
        <w:rPr>
          <w:rFonts w:eastAsia="Calibri" w:cs="Arial"/>
          <w:b/>
          <w:bCs/>
          <w:i/>
          <w:sz w:val="22"/>
          <w:szCs w:val="22"/>
          <w:lang w:val="en-GB" w:eastAsia="en-US"/>
        </w:rPr>
        <w:t xml:space="preserve">Table 4.3.2 - </w:t>
      </w:r>
      <w:r>
        <w:rPr>
          <w:rFonts w:eastAsia="Calibri" w:cs="Arial"/>
          <w:bCs/>
          <w:sz w:val="22"/>
          <w:szCs w:val="22"/>
          <w:lang w:val="en-GB" w:eastAsia="en-US"/>
        </w:rPr>
        <w:t>Annual quantities of nitrogen oxides (tons/year)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7"/>
        <w:gridCol w:w="865"/>
        <w:gridCol w:w="864"/>
        <w:gridCol w:w="864"/>
        <w:gridCol w:w="864"/>
        <w:gridCol w:w="865"/>
        <w:gridCol w:w="844"/>
        <w:gridCol w:w="844"/>
        <w:gridCol w:w="833"/>
        <w:gridCol w:w="817"/>
        <w:gridCol w:w="786"/>
        <w:gridCol w:w="704"/>
      </w:tblGrid>
      <w:tr w:rsidR="006378A3" w:rsidTr="002E01ED">
        <w:tc>
          <w:tcPr>
            <w:tcW w:w="705"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Year</w:t>
            </w:r>
          </w:p>
        </w:tc>
        <w:tc>
          <w:tcPr>
            <w:tcW w:w="865"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2003</w:t>
            </w:r>
          </w:p>
        </w:tc>
        <w:tc>
          <w:tcPr>
            <w:tcW w:w="864"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2004</w:t>
            </w:r>
          </w:p>
        </w:tc>
        <w:tc>
          <w:tcPr>
            <w:tcW w:w="864"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2005</w:t>
            </w:r>
          </w:p>
        </w:tc>
        <w:tc>
          <w:tcPr>
            <w:tcW w:w="864"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2006</w:t>
            </w:r>
          </w:p>
        </w:tc>
        <w:tc>
          <w:tcPr>
            <w:tcW w:w="865"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2007</w:t>
            </w:r>
          </w:p>
        </w:tc>
        <w:tc>
          <w:tcPr>
            <w:tcW w:w="844"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2008</w:t>
            </w:r>
          </w:p>
        </w:tc>
        <w:tc>
          <w:tcPr>
            <w:tcW w:w="844"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2009</w:t>
            </w:r>
          </w:p>
        </w:tc>
        <w:tc>
          <w:tcPr>
            <w:tcW w:w="833"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2010</w:t>
            </w:r>
          </w:p>
        </w:tc>
        <w:tc>
          <w:tcPr>
            <w:tcW w:w="817" w:type="dxa"/>
            <w:shd w:val="clear" w:color="auto" w:fill="auto"/>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2011</w:t>
            </w:r>
          </w:p>
        </w:tc>
        <w:tc>
          <w:tcPr>
            <w:tcW w:w="786"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2012</w:t>
            </w:r>
          </w:p>
        </w:tc>
        <w:tc>
          <w:tcPr>
            <w:tcW w:w="704" w:type="dxa"/>
            <w:shd w:val="clear" w:color="auto" w:fill="auto"/>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2103</w:t>
            </w:r>
          </w:p>
        </w:tc>
      </w:tr>
      <w:tr w:rsidR="006378A3" w:rsidTr="002E01ED">
        <w:tc>
          <w:tcPr>
            <w:tcW w:w="705" w:type="dxa"/>
            <w:shd w:val="clear" w:color="auto" w:fill="auto"/>
            <w:vAlign w:val="center"/>
          </w:tcPr>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NOx Annual emission</w:t>
            </w:r>
          </w:p>
          <w:p w:rsidR="006378A3" w:rsidRDefault="006378A3" w:rsidP="002E01ED">
            <w:pPr>
              <w:spacing w:line="276" w:lineRule="auto"/>
              <w:jc w:val="center"/>
              <w:rPr>
                <w:rFonts w:eastAsia="Calibri" w:cs="Arial"/>
                <w:b/>
                <w:sz w:val="18"/>
                <w:szCs w:val="18"/>
                <w:lang w:val="en-GB" w:eastAsia="en-US"/>
              </w:rPr>
            </w:pPr>
            <w:r>
              <w:rPr>
                <w:rFonts w:eastAsia="Calibri" w:cs="Arial"/>
                <w:b/>
                <w:sz w:val="18"/>
                <w:szCs w:val="18"/>
                <w:lang w:val="en-GB" w:eastAsia="en-US"/>
              </w:rPr>
              <w:t>(t/year)</w:t>
            </w:r>
          </w:p>
        </w:tc>
        <w:tc>
          <w:tcPr>
            <w:tcW w:w="865"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130</w:t>
            </w:r>
          </w:p>
        </w:tc>
        <w:tc>
          <w:tcPr>
            <w:tcW w:w="864"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1364.7</w:t>
            </w:r>
          </w:p>
        </w:tc>
        <w:tc>
          <w:tcPr>
            <w:tcW w:w="864"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1060.6</w:t>
            </w:r>
          </w:p>
        </w:tc>
        <w:tc>
          <w:tcPr>
            <w:tcW w:w="864"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1348.2</w:t>
            </w:r>
          </w:p>
        </w:tc>
        <w:tc>
          <w:tcPr>
            <w:tcW w:w="865"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2163.8</w:t>
            </w:r>
          </w:p>
        </w:tc>
        <w:tc>
          <w:tcPr>
            <w:tcW w:w="844"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2451.5</w:t>
            </w:r>
          </w:p>
        </w:tc>
        <w:tc>
          <w:tcPr>
            <w:tcW w:w="844"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2587.3</w:t>
            </w:r>
          </w:p>
        </w:tc>
        <w:tc>
          <w:tcPr>
            <w:tcW w:w="833"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368.8</w:t>
            </w:r>
          </w:p>
        </w:tc>
        <w:tc>
          <w:tcPr>
            <w:tcW w:w="817" w:type="dxa"/>
            <w:shd w:val="clear" w:color="auto" w:fill="auto"/>
          </w:tcPr>
          <w:p w:rsidR="006378A3" w:rsidRDefault="006378A3" w:rsidP="002E01ED">
            <w:pPr>
              <w:jc w:val="center"/>
              <w:rPr>
                <w:rFonts w:eastAsia="Calibri" w:cs="Arial"/>
                <w:sz w:val="18"/>
                <w:szCs w:val="18"/>
                <w:lang w:val="en-GB" w:eastAsia="en-US"/>
              </w:rPr>
            </w:pPr>
          </w:p>
          <w:p w:rsidR="006378A3" w:rsidRDefault="006378A3" w:rsidP="002E01ED">
            <w:pPr>
              <w:jc w:val="center"/>
              <w:rPr>
                <w:rFonts w:eastAsia="Calibri" w:cs="Arial"/>
                <w:sz w:val="18"/>
                <w:szCs w:val="18"/>
                <w:lang w:val="en-GB" w:eastAsia="en-US"/>
              </w:rPr>
            </w:pPr>
          </w:p>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428</w:t>
            </w:r>
          </w:p>
        </w:tc>
        <w:tc>
          <w:tcPr>
            <w:tcW w:w="786" w:type="dxa"/>
            <w:shd w:val="clear" w:color="auto" w:fill="auto"/>
            <w:vAlign w:val="center"/>
          </w:tcPr>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458.08</w:t>
            </w:r>
          </w:p>
        </w:tc>
        <w:tc>
          <w:tcPr>
            <w:tcW w:w="704" w:type="dxa"/>
            <w:shd w:val="clear" w:color="auto" w:fill="auto"/>
          </w:tcPr>
          <w:p w:rsidR="006378A3" w:rsidRDefault="006378A3" w:rsidP="002E01ED">
            <w:pPr>
              <w:jc w:val="center"/>
              <w:rPr>
                <w:rFonts w:eastAsia="Calibri" w:cs="Arial"/>
                <w:sz w:val="18"/>
                <w:szCs w:val="18"/>
                <w:lang w:val="en-GB" w:eastAsia="en-US"/>
              </w:rPr>
            </w:pPr>
          </w:p>
          <w:p w:rsidR="006378A3" w:rsidRDefault="006378A3" w:rsidP="002E01ED">
            <w:pPr>
              <w:jc w:val="center"/>
              <w:rPr>
                <w:rFonts w:eastAsia="Calibri" w:cs="Arial"/>
                <w:sz w:val="18"/>
                <w:szCs w:val="18"/>
                <w:lang w:val="en-GB" w:eastAsia="en-US"/>
              </w:rPr>
            </w:pPr>
          </w:p>
          <w:p w:rsidR="006378A3" w:rsidRDefault="006378A3" w:rsidP="002E01ED">
            <w:pPr>
              <w:jc w:val="center"/>
              <w:rPr>
                <w:rFonts w:eastAsia="Calibri" w:cs="Arial"/>
                <w:sz w:val="18"/>
                <w:szCs w:val="18"/>
                <w:lang w:val="en-GB" w:eastAsia="en-US"/>
              </w:rPr>
            </w:pPr>
            <w:r>
              <w:rPr>
                <w:rFonts w:eastAsia="Calibri" w:cs="Arial"/>
                <w:sz w:val="18"/>
                <w:szCs w:val="18"/>
                <w:lang w:val="en-GB" w:eastAsia="en-US"/>
              </w:rPr>
              <w:t>3014</w:t>
            </w:r>
          </w:p>
        </w:tc>
      </w:tr>
    </w:tbl>
    <w:p w:rsidR="006378A3" w:rsidRDefault="006378A3" w:rsidP="006378A3">
      <w:pPr>
        <w:spacing w:before="60" w:after="60" w:line="288" w:lineRule="auto"/>
        <w:ind w:left="1440" w:firstLine="720"/>
        <w:jc w:val="both"/>
        <w:rPr>
          <w:rFonts w:eastAsia="Calibri" w:cs="Arial"/>
          <w:b/>
          <w:i/>
          <w:lang w:val="en-GB" w:eastAsia="en-US"/>
        </w:rPr>
      </w:pPr>
      <w:r>
        <w:rPr>
          <w:rFonts w:eastAsia="Calibri" w:cs="Arial"/>
          <w:b/>
          <w:i/>
          <w:lang w:val="en-GB" w:eastAsia="en-US"/>
        </w:rPr>
        <w:t xml:space="preserve">         </w:t>
      </w: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r>
        <w:rPr>
          <w:rFonts w:eastAsia="Calibri" w:cs="Arial"/>
          <w:lang w:val="en-GB" w:eastAsia="en-US"/>
        </w:rPr>
        <w:t>In the year 2013, in Satu Mare County, the air quality was monitored through automated stations monitoring air quality that are part of the National Network for Monitoring Air Quality.</w:t>
      </w: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r>
        <w:rPr>
          <w:rFonts w:eastAsia="Calibri" w:cs="Arial"/>
          <w:lang w:val="en-GB" w:eastAsia="en-US"/>
        </w:rPr>
        <w:t xml:space="preserve"> In 2008 an urban background station was placed in Satu Mare  - SM1 and in 2009 a suburban station / traffic was placed in Carei - SM2.</w:t>
      </w:r>
    </w:p>
    <w:p w:rsidR="006378A3" w:rsidRDefault="006378A3" w:rsidP="006378A3">
      <w:pPr>
        <w:autoSpaceDE w:val="0"/>
        <w:autoSpaceDN w:val="0"/>
        <w:adjustRightInd w:val="0"/>
        <w:spacing w:before="60" w:after="60" w:line="288" w:lineRule="auto"/>
        <w:jc w:val="both"/>
        <w:rPr>
          <w:rFonts w:eastAsia="Calibri" w:cs="Arial"/>
          <w:bCs/>
          <w:i/>
          <w:lang w:val="en-GB" w:eastAsia="en-US"/>
        </w:rPr>
      </w:pPr>
    </w:p>
    <w:p w:rsidR="006378A3" w:rsidRDefault="006378A3" w:rsidP="006378A3">
      <w:pPr>
        <w:autoSpaceDE w:val="0"/>
        <w:autoSpaceDN w:val="0"/>
        <w:adjustRightInd w:val="0"/>
        <w:spacing w:before="60" w:after="60" w:line="288" w:lineRule="auto"/>
        <w:ind w:firstLine="720"/>
        <w:jc w:val="both"/>
        <w:rPr>
          <w:rFonts w:eastAsia="Calibri" w:cs="Arial"/>
          <w:bCs/>
          <w:i/>
          <w:lang w:val="en-GB" w:eastAsia="en-US"/>
        </w:rPr>
      </w:pPr>
      <w:r>
        <w:rPr>
          <w:rFonts w:eastAsia="Calibri" w:cs="Arial"/>
          <w:bCs/>
          <w:i/>
          <w:lang w:val="en-GB" w:eastAsia="en-US"/>
        </w:rPr>
        <w:t>Sulphur dioxide (SO</w:t>
      </w:r>
      <w:r>
        <w:rPr>
          <w:rFonts w:eastAsia="Calibri" w:cs="Arial"/>
          <w:bCs/>
          <w:i/>
          <w:vertAlign w:val="subscript"/>
          <w:lang w:val="en-GB" w:eastAsia="en-US"/>
        </w:rPr>
        <w:t>2</w:t>
      </w:r>
      <w:r>
        <w:rPr>
          <w:rFonts w:eastAsia="Calibri" w:cs="Arial"/>
          <w:bCs/>
          <w:i/>
          <w:lang w:val="en-GB" w:eastAsia="en-US"/>
        </w:rPr>
        <w:t xml:space="preserve">) </w:t>
      </w: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r>
        <w:rPr>
          <w:rFonts w:eastAsia="Calibri" w:cs="Arial"/>
          <w:lang w:val="en-GB" w:eastAsia="en-US"/>
        </w:rPr>
        <w:t>In Satu Mare, at the SM1 station the average annual value was 6.58 μg /m</w:t>
      </w:r>
      <w:r>
        <w:rPr>
          <w:rFonts w:eastAsia="Calibri" w:cs="Arial"/>
          <w:vertAlign w:val="superscript"/>
          <w:lang w:val="en-GB" w:eastAsia="en-US"/>
        </w:rPr>
        <w:t>3</w:t>
      </w:r>
      <w:r>
        <w:rPr>
          <w:rFonts w:eastAsia="Calibri" w:cs="Arial"/>
          <w:lang w:val="en-GB" w:eastAsia="en-US"/>
        </w:rPr>
        <w:t xml:space="preserve">, with an 80.0% data capture. The values from ​​SM2 station present a data capture of 40.8%; the annual </w:t>
      </w:r>
      <w:r>
        <w:rPr>
          <w:rFonts w:eastAsia="Calibri" w:cs="Arial"/>
          <w:lang w:val="en-GB" w:eastAsia="en-US"/>
        </w:rPr>
        <w:lastRenderedPageBreak/>
        <w:t>average is 5.61 μg /m</w:t>
      </w:r>
      <w:r>
        <w:rPr>
          <w:rFonts w:eastAsia="Calibri" w:cs="Arial"/>
          <w:vertAlign w:val="superscript"/>
          <w:lang w:val="en-GB" w:eastAsia="en-US"/>
        </w:rPr>
        <w:t>3</w:t>
      </w:r>
      <w:r>
        <w:rPr>
          <w:rFonts w:eastAsia="Calibri" w:cs="Arial"/>
          <w:lang w:val="en-GB" w:eastAsia="en-US"/>
        </w:rPr>
        <w:t>. Small capture of data is due to SO</w:t>
      </w:r>
      <w:r>
        <w:rPr>
          <w:rFonts w:eastAsia="Calibri" w:cs="Arial"/>
          <w:vertAlign w:val="subscript"/>
          <w:lang w:val="en-GB" w:eastAsia="en-US"/>
        </w:rPr>
        <w:t>2</w:t>
      </w:r>
      <w:r>
        <w:rPr>
          <w:rFonts w:eastAsia="Calibri" w:cs="Arial"/>
          <w:lang w:val="en-GB" w:eastAsia="en-US"/>
        </w:rPr>
        <w:t xml:space="preserve"> analyzer failure, SM2 station was stopped on 28.07.2013. </w:t>
      </w: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p>
    <w:p w:rsidR="006378A3" w:rsidRDefault="006378A3" w:rsidP="006378A3">
      <w:pPr>
        <w:autoSpaceDE w:val="0"/>
        <w:autoSpaceDN w:val="0"/>
        <w:adjustRightInd w:val="0"/>
        <w:spacing w:before="60" w:after="60" w:line="288" w:lineRule="auto"/>
        <w:ind w:firstLine="630"/>
        <w:jc w:val="both"/>
        <w:rPr>
          <w:rFonts w:eastAsia="Calibri" w:cs="Arial"/>
          <w:i/>
          <w:lang w:val="en-GB" w:eastAsia="en-US"/>
        </w:rPr>
      </w:pPr>
      <w:r>
        <w:rPr>
          <w:rFonts w:eastAsia="Calibri" w:cs="Arial"/>
          <w:i/>
          <w:lang w:val="en-GB" w:eastAsia="en-US"/>
        </w:rPr>
        <w:t>Nitrogen oxides (NO</w:t>
      </w:r>
      <w:r>
        <w:rPr>
          <w:rFonts w:eastAsia="Calibri" w:cs="Arial"/>
          <w:i/>
          <w:vertAlign w:val="subscript"/>
          <w:lang w:val="en-GB" w:eastAsia="en-US"/>
        </w:rPr>
        <w:t>x</w:t>
      </w:r>
      <w:r>
        <w:rPr>
          <w:rFonts w:eastAsia="Calibri" w:cs="Arial"/>
          <w:i/>
          <w:lang w:val="en-GB" w:eastAsia="en-US"/>
        </w:rPr>
        <w:t xml:space="preserve">) </w:t>
      </w:r>
    </w:p>
    <w:p w:rsidR="006378A3" w:rsidRDefault="006378A3" w:rsidP="006378A3">
      <w:pPr>
        <w:autoSpaceDE w:val="0"/>
        <w:autoSpaceDN w:val="0"/>
        <w:adjustRightInd w:val="0"/>
        <w:spacing w:before="60" w:after="60" w:line="288" w:lineRule="auto"/>
        <w:ind w:firstLine="630"/>
        <w:jc w:val="both"/>
        <w:rPr>
          <w:rFonts w:eastAsia="Calibri" w:cs="Arial"/>
          <w:lang w:val="en-GB" w:eastAsia="en-US"/>
        </w:rPr>
      </w:pPr>
      <w:r>
        <w:rPr>
          <w:rFonts w:eastAsia="Calibri" w:cs="Arial"/>
          <w:lang w:val="en-GB" w:eastAsia="en-US"/>
        </w:rPr>
        <w:t>Annual mean concentration determined at SM1 is 17.91 μg /m</w:t>
      </w:r>
      <w:r>
        <w:rPr>
          <w:rFonts w:eastAsia="Calibri" w:cs="Arial"/>
          <w:vertAlign w:val="superscript"/>
          <w:lang w:val="en-GB" w:eastAsia="en-US"/>
        </w:rPr>
        <w:t>3</w:t>
      </w:r>
      <w:r>
        <w:rPr>
          <w:rFonts w:eastAsia="Calibri" w:cs="Arial"/>
          <w:lang w:val="en-GB" w:eastAsia="en-US"/>
        </w:rPr>
        <w:t xml:space="preserve"> obtained with a data capture of 13.30% and the average value at SM2 is 10.98 μg /m</w:t>
      </w:r>
      <w:r>
        <w:rPr>
          <w:rFonts w:eastAsia="Calibri" w:cs="Arial"/>
          <w:vertAlign w:val="superscript"/>
          <w:lang w:val="en-GB" w:eastAsia="en-US"/>
        </w:rPr>
        <w:t>3</w:t>
      </w:r>
      <w:r>
        <w:rPr>
          <w:rFonts w:eastAsia="Calibri" w:cs="Arial"/>
          <w:lang w:val="en-GB" w:eastAsia="en-US"/>
        </w:rPr>
        <w:t xml:space="preserve"> with a data capture of 40.5%. Small capture of data is due to NO</w:t>
      </w:r>
      <w:r>
        <w:rPr>
          <w:rFonts w:eastAsia="Calibri" w:cs="Arial"/>
          <w:vertAlign w:val="subscript"/>
          <w:lang w:val="en-GB" w:eastAsia="en-US"/>
        </w:rPr>
        <w:t>x</w:t>
      </w:r>
      <w:r>
        <w:rPr>
          <w:rFonts w:eastAsia="Calibri" w:cs="Arial"/>
          <w:lang w:val="en-GB" w:eastAsia="en-US"/>
        </w:rPr>
        <w:t xml:space="preserve"> analyzer failure in SM1 station (from 11.03.2013) and SM2 station was stopped on 28.07.2013. </w:t>
      </w:r>
    </w:p>
    <w:p w:rsidR="006378A3" w:rsidRDefault="006378A3" w:rsidP="006378A3">
      <w:pPr>
        <w:autoSpaceDE w:val="0"/>
        <w:autoSpaceDN w:val="0"/>
        <w:adjustRightInd w:val="0"/>
        <w:spacing w:before="60" w:after="60" w:line="288" w:lineRule="auto"/>
        <w:ind w:firstLine="630"/>
        <w:jc w:val="both"/>
        <w:rPr>
          <w:rFonts w:eastAsia="Calibri" w:cs="Arial"/>
          <w:lang w:val="en-GB" w:eastAsia="en-US"/>
        </w:rPr>
      </w:pPr>
      <w:r>
        <w:rPr>
          <w:rFonts w:eastAsia="Calibri" w:cs="Arial"/>
          <w:lang w:val="en-GB" w:eastAsia="en-US"/>
        </w:rPr>
        <w:t xml:space="preserve">  </w:t>
      </w:r>
    </w:p>
    <w:p w:rsidR="006378A3" w:rsidRDefault="006378A3" w:rsidP="006378A3">
      <w:pPr>
        <w:autoSpaceDE w:val="0"/>
        <w:autoSpaceDN w:val="0"/>
        <w:adjustRightInd w:val="0"/>
        <w:spacing w:before="60" w:after="60" w:line="288" w:lineRule="auto"/>
        <w:ind w:firstLine="720"/>
        <w:jc w:val="both"/>
        <w:rPr>
          <w:rFonts w:eastAsia="Calibri" w:cs="Arial"/>
          <w:i/>
          <w:lang w:val="en-GB" w:eastAsia="en-US"/>
        </w:rPr>
      </w:pPr>
      <w:r>
        <w:rPr>
          <w:rFonts w:eastAsia="Calibri" w:cs="Arial"/>
          <w:i/>
          <w:lang w:val="en-GB" w:eastAsia="en-US"/>
        </w:rPr>
        <w:t xml:space="preserve">Particulate matter </w:t>
      </w: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r>
        <w:rPr>
          <w:rFonts w:eastAsia="Calibri" w:cs="Arial"/>
          <w:lang w:val="en-GB" w:eastAsia="en-US"/>
        </w:rPr>
        <w:t xml:space="preserve">Fine particulate matter PM10 fraction is determined by both monitoring stations, PM2.5 fraction of particulate matter is determined only at SM1 station from Satu Mare. </w:t>
      </w: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r>
        <w:rPr>
          <w:rFonts w:eastAsia="Calibri" w:cs="Arial"/>
          <w:lang w:val="en-GB" w:eastAsia="en-US"/>
        </w:rPr>
        <w:t>The gravimetric PM2.5 has a data capture of 76.7%; the annual average value is 15.08 μg/m</w:t>
      </w:r>
      <w:r>
        <w:rPr>
          <w:rFonts w:eastAsia="Calibri" w:cs="Arial"/>
          <w:vertAlign w:val="superscript"/>
          <w:lang w:val="en-GB" w:eastAsia="en-US"/>
        </w:rPr>
        <w:t>3</w:t>
      </w:r>
      <w:r>
        <w:rPr>
          <w:rFonts w:eastAsia="Calibri" w:cs="Arial"/>
          <w:lang w:val="en-GB" w:eastAsia="en-US"/>
        </w:rPr>
        <w:t>. The maximum value determined gravimetrically is 44.65 μg /m</w:t>
      </w:r>
      <w:r>
        <w:rPr>
          <w:rFonts w:eastAsia="Calibri" w:cs="Arial"/>
          <w:vertAlign w:val="superscript"/>
          <w:lang w:val="en-GB" w:eastAsia="en-US"/>
        </w:rPr>
        <w:t>3</w:t>
      </w:r>
      <w:r>
        <w:rPr>
          <w:rFonts w:eastAsia="Calibri" w:cs="Arial"/>
          <w:lang w:val="en-GB" w:eastAsia="en-US"/>
        </w:rPr>
        <w:t>, on 18 December 2013.  Fine particulate matter fraction 10 micrometers, taken at SM1 station recorded a data capture of 67.10%. In Carei, at SM2 station, because of the failure of sampler was recorded a data capture of 28.2% to nephelometry with average annual value of 19.28 μg /m</w:t>
      </w:r>
      <w:r>
        <w:rPr>
          <w:rFonts w:eastAsia="Calibri" w:cs="Arial"/>
          <w:vertAlign w:val="superscript"/>
          <w:lang w:val="en-GB" w:eastAsia="en-US"/>
        </w:rPr>
        <w:t>3</w:t>
      </w:r>
      <w:r>
        <w:rPr>
          <w:rFonts w:eastAsia="Calibri" w:cs="Arial"/>
          <w:lang w:val="en-GB" w:eastAsia="en-US"/>
        </w:rPr>
        <w:t>, gravimetrically were obtained a data capture of 35.3% with an average annual value of 24.19 μg /m</w:t>
      </w:r>
      <w:r>
        <w:rPr>
          <w:rFonts w:eastAsia="Calibri" w:cs="Arial"/>
          <w:vertAlign w:val="superscript"/>
          <w:lang w:val="en-GB" w:eastAsia="en-US"/>
        </w:rPr>
        <w:t>3</w:t>
      </w:r>
      <w:r>
        <w:rPr>
          <w:rFonts w:eastAsia="Calibri" w:cs="Arial"/>
          <w:lang w:val="en-GB" w:eastAsia="en-US"/>
        </w:rPr>
        <w:t>. The maximum value gravimetrically obtained is 48.53 μg /m</w:t>
      </w:r>
      <w:r>
        <w:rPr>
          <w:rFonts w:eastAsia="Calibri" w:cs="Arial"/>
          <w:vertAlign w:val="superscript"/>
          <w:lang w:val="en-GB" w:eastAsia="en-US"/>
        </w:rPr>
        <w:t>3</w:t>
      </w:r>
      <w:r>
        <w:rPr>
          <w:rFonts w:eastAsia="Calibri" w:cs="Arial"/>
          <w:lang w:val="en-GB" w:eastAsia="en-US"/>
        </w:rPr>
        <w:t xml:space="preserve"> at station SM1, on 27.01.2013; a similar situation is found at station SM2 - Carei with maximum gravimetrically obtained of 48.53 μg /m</w:t>
      </w:r>
      <w:r>
        <w:rPr>
          <w:rFonts w:eastAsia="Calibri" w:cs="Arial"/>
          <w:vertAlign w:val="superscript"/>
          <w:lang w:val="en-GB" w:eastAsia="en-US"/>
        </w:rPr>
        <w:t>3</w:t>
      </w:r>
      <w:r>
        <w:rPr>
          <w:rFonts w:eastAsia="Calibri" w:cs="Arial"/>
          <w:lang w:val="en-GB" w:eastAsia="en-US"/>
        </w:rPr>
        <w:t xml:space="preserve"> on 28.01.2013.    </w:t>
      </w:r>
    </w:p>
    <w:p w:rsidR="006378A3" w:rsidRDefault="006378A3" w:rsidP="006378A3">
      <w:pPr>
        <w:autoSpaceDE w:val="0"/>
        <w:autoSpaceDN w:val="0"/>
        <w:adjustRightInd w:val="0"/>
        <w:spacing w:before="60" w:after="60" w:line="288" w:lineRule="auto"/>
        <w:jc w:val="both"/>
        <w:rPr>
          <w:rFonts w:eastAsia="Calibri" w:cs="Arial"/>
          <w:lang w:val="en-GB" w:eastAsia="en-US"/>
        </w:rPr>
      </w:pPr>
      <w:r>
        <w:rPr>
          <w:rFonts w:eastAsia="Calibri" w:cs="Arial"/>
          <w:lang w:val="en-GB" w:eastAsia="en-US"/>
        </w:rPr>
        <w:t xml:space="preserve">In 2013 on the county's territory no major environmental accidents affecting air quality were registered. </w:t>
      </w:r>
    </w:p>
    <w:p w:rsidR="006378A3" w:rsidRDefault="006378A3" w:rsidP="006378A3">
      <w:pPr>
        <w:autoSpaceDE w:val="0"/>
        <w:autoSpaceDN w:val="0"/>
        <w:adjustRightInd w:val="0"/>
        <w:spacing w:before="60" w:after="60" w:line="288" w:lineRule="auto"/>
        <w:jc w:val="both"/>
        <w:rPr>
          <w:rFonts w:eastAsia="Calibri" w:cs="Arial"/>
          <w:lang w:val="en-GB" w:eastAsia="en-US"/>
        </w:rPr>
      </w:pPr>
    </w:p>
    <w:p w:rsidR="006378A3" w:rsidRDefault="006378A3" w:rsidP="006378A3">
      <w:pPr>
        <w:spacing w:before="60" w:after="60" w:line="288" w:lineRule="auto"/>
        <w:jc w:val="both"/>
        <w:rPr>
          <w:rFonts w:eastAsia="Calibri" w:cs="Arial"/>
          <w:b/>
          <w:lang w:val="en-GB" w:eastAsia="en-US"/>
        </w:rPr>
      </w:pPr>
    </w:p>
    <w:p w:rsidR="006378A3" w:rsidRDefault="006378A3" w:rsidP="006378A3">
      <w:pPr>
        <w:numPr>
          <w:ilvl w:val="0"/>
          <w:numId w:val="3"/>
        </w:numPr>
        <w:spacing w:before="60" w:after="60" w:line="288" w:lineRule="auto"/>
        <w:jc w:val="both"/>
        <w:rPr>
          <w:rFonts w:eastAsia="Calibri" w:cs="Arial"/>
          <w:b/>
          <w:lang w:val="en-GB" w:eastAsia="en-US"/>
        </w:rPr>
      </w:pPr>
      <w:r>
        <w:rPr>
          <w:rFonts w:eastAsia="Calibri" w:cs="Arial"/>
          <w:b/>
          <w:lang w:val="en-GB" w:eastAsia="en-US"/>
        </w:rPr>
        <w:t>SOIL</w:t>
      </w: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r>
        <w:rPr>
          <w:rFonts w:eastAsia="Calibri" w:cs="Arial"/>
          <w:lang w:val="en-GB" w:eastAsia="en-US"/>
        </w:rPr>
        <w:t>Soils repartition in Satu Mare County on categories of used farmland includes: arable land, pastures, meadows, vineyards and orchards.</w:t>
      </w:r>
    </w:p>
    <w:p w:rsidR="006378A3" w:rsidRDefault="006378A3" w:rsidP="006378A3">
      <w:pPr>
        <w:autoSpaceDE w:val="0"/>
        <w:autoSpaceDN w:val="0"/>
        <w:adjustRightInd w:val="0"/>
        <w:spacing w:before="60" w:after="60" w:line="288" w:lineRule="auto"/>
        <w:ind w:firstLine="720"/>
        <w:jc w:val="both"/>
        <w:rPr>
          <w:rFonts w:eastAsia="Calibri" w:cs="Arial"/>
          <w:color w:val="000000"/>
          <w:lang w:val="en-GB" w:eastAsia="en-US"/>
        </w:rPr>
      </w:pPr>
      <w:r>
        <w:rPr>
          <w:rFonts w:eastAsia="Calibri" w:cs="Arial"/>
          <w:color w:val="000000"/>
          <w:lang w:val="en-GB" w:eastAsia="en-US"/>
        </w:rPr>
        <w:t xml:space="preserve">In Satu Mare County an agricultural area of </w:t>
      </w:r>
      <w:r>
        <w:rPr>
          <w:rFonts w:ascii="Cambria Math" w:eastAsia="Calibri" w:hAnsi="Cambria Math" w:cs="Cambria Math"/>
          <w:color w:val="000000"/>
          <w:lang w:val="en-GB" w:eastAsia="en-US"/>
        </w:rPr>
        <w:t>​​</w:t>
      </w:r>
      <w:r>
        <w:rPr>
          <w:rFonts w:eastAsia="Calibri" w:cs="Arial"/>
          <w:color w:val="000000"/>
          <w:lang w:val="en-GB" w:eastAsia="en-US"/>
        </w:rPr>
        <w:t xml:space="preserve">318,454 ha was recorded in 2013. </w:t>
      </w:r>
    </w:p>
    <w:p w:rsidR="006378A3" w:rsidRDefault="006378A3" w:rsidP="006378A3">
      <w:pPr>
        <w:autoSpaceDE w:val="0"/>
        <w:autoSpaceDN w:val="0"/>
        <w:adjustRightInd w:val="0"/>
        <w:spacing w:before="60" w:after="60" w:line="288" w:lineRule="auto"/>
        <w:ind w:firstLine="720"/>
        <w:jc w:val="both"/>
        <w:rPr>
          <w:rFonts w:eastAsia="Calibri" w:cs="Arial"/>
          <w:color w:val="000000"/>
          <w:lang w:val="en-GB" w:eastAsia="en-US"/>
        </w:rPr>
      </w:pPr>
      <w:r>
        <w:rPr>
          <w:rFonts w:eastAsia="Calibri" w:cs="Arial"/>
          <w:color w:val="000000"/>
          <w:lang w:val="en-GB" w:eastAsia="en-US"/>
        </w:rPr>
        <w:t xml:space="preserve">Arable lands and grasslands have the largest share of the agricultural land, 72.2% and 24.44% respectively. </w:t>
      </w:r>
    </w:p>
    <w:p w:rsidR="006378A3" w:rsidRDefault="006378A3" w:rsidP="006378A3">
      <w:pPr>
        <w:autoSpaceDE w:val="0"/>
        <w:autoSpaceDN w:val="0"/>
        <w:adjustRightInd w:val="0"/>
        <w:spacing w:before="60" w:after="60" w:line="288" w:lineRule="auto"/>
        <w:ind w:firstLine="720"/>
        <w:jc w:val="both"/>
        <w:rPr>
          <w:rFonts w:eastAsia="Calibri" w:cs="Arial"/>
          <w:color w:val="000000"/>
          <w:lang w:val="en-GB" w:eastAsia="en-US"/>
        </w:rPr>
      </w:pPr>
    </w:p>
    <w:p w:rsidR="006378A3" w:rsidRDefault="006378A3" w:rsidP="006378A3">
      <w:pPr>
        <w:autoSpaceDE w:val="0"/>
        <w:autoSpaceDN w:val="0"/>
        <w:adjustRightInd w:val="0"/>
        <w:spacing w:before="60" w:after="60" w:line="288" w:lineRule="auto"/>
        <w:ind w:firstLine="720"/>
        <w:jc w:val="both"/>
        <w:rPr>
          <w:rFonts w:eastAsia="Calibri" w:cs="Arial"/>
          <w:b/>
          <w:bCs/>
          <w:i/>
          <w:sz w:val="22"/>
          <w:szCs w:val="22"/>
          <w:lang w:val="en-GB" w:eastAsia="en-US"/>
        </w:rPr>
      </w:pPr>
      <w:r>
        <w:rPr>
          <w:rFonts w:eastAsia="Calibri" w:cs="Arial"/>
          <w:color w:val="000000"/>
          <w:lang w:val="en-GB" w:eastAsia="en-US"/>
        </w:rPr>
        <w:t xml:space="preserve">         </w:t>
      </w:r>
      <w:r>
        <w:rPr>
          <w:rFonts w:eastAsia="Calibri" w:cs="Arial"/>
          <w:b/>
          <w:bCs/>
          <w:i/>
          <w:sz w:val="22"/>
          <w:szCs w:val="22"/>
          <w:lang w:val="en-GB" w:eastAsia="en-US"/>
        </w:rPr>
        <w:t xml:space="preserve">Table 4.3.3 </w:t>
      </w:r>
      <w:r>
        <w:rPr>
          <w:rFonts w:eastAsia="Calibri" w:cs="Arial"/>
          <w:bCs/>
          <w:sz w:val="22"/>
          <w:szCs w:val="22"/>
          <w:lang w:val="en-GB" w:eastAsia="en-US"/>
        </w:rPr>
        <w:t>Land use in Satu Mare County</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1214"/>
        <w:gridCol w:w="1225"/>
        <w:gridCol w:w="1225"/>
        <w:gridCol w:w="1225"/>
        <w:gridCol w:w="1225"/>
        <w:gridCol w:w="1225"/>
        <w:gridCol w:w="1225"/>
      </w:tblGrid>
      <w:tr w:rsidR="006378A3" w:rsidTr="002E01ED">
        <w:tc>
          <w:tcPr>
            <w:tcW w:w="474" w:type="dxa"/>
            <w:vMerge w:val="restart"/>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No.</w:t>
            </w:r>
          </w:p>
        </w:tc>
        <w:tc>
          <w:tcPr>
            <w:tcW w:w="1214" w:type="dxa"/>
            <w:vMerge w:val="restart"/>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Usage class</w:t>
            </w:r>
          </w:p>
        </w:tc>
        <w:tc>
          <w:tcPr>
            <w:tcW w:w="7350" w:type="dxa"/>
            <w:gridSpan w:val="6"/>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Aria, ha</w:t>
            </w:r>
          </w:p>
        </w:tc>
      </w:tr>
      <w:tr w:rsidR="006378A3" w:rsidTr="002E01ED">
        <w:tc>
          <w:tcPr>
            <w:tcW w:w="474" w:type="dxa"/>
            <w:vMerge/>
            <w:shd w:val="clear" w:color="auto" w:fill="auto"/>
            <w:vAlign w:val="center"/>
          </w:tcPr>
          <w:p w:rsidR="006378A3" w:rsidRDefault="006378A3" w:rsidP="002E01ED">
            <w:pPr>
              <w:spacing w:line="276" w:lineRule="auto"/>
              <w:jc w:val="center"/>
              <w:rPr>
                <w:rFonts w:eastAsia="Calibri" w:cs="Arial"/>
                <w:b/>
                <w:sz w:val="20"/>
                <w:szCs w:val="20"/>
                <w:lang w:val="en-GB" w:eastAsia="en-US"/>
              </w:rPr>
            </w:pPr>
          </w:p>
        </w:tc>
        <w:tc>
          <w:tcPr>
            <w:tcW w:w="1214" w:type="dxa"/>
            <w:vMerge/>
            <w:shd w:val="clear" w:color="auto" w:fill="auto"/>
            <w:vAlign w:val="center"/>
          </w:tcPr>
          <w:p w:rsidR="006378A3" w:rsidRDefault="006378A3" w:rsidP="002E01ED">
            <w:pPr>
              <w:spacing w:line="276" w:lineRule="auto"/>
              <w:jc w:val="center"/>
              <w:rPr>
                <w:rFonts w:eastAsia="Calibri" w:cs="Arial"/>
                <w:b/>
                <w:sz w:val="20"/>
                <w:szCs w:val="20"/>
                <w:lang w:val="en-GB" w:eastAsia="en-US"/>
              </w:rPr>
            </w:pPr>
          </w:p>
        </w:tc>
        <w:tc>
          <w:tcPr>
            <w:tcW w:w="1225"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2008</w:t>
            </w:r>
          </w:p>
        </w:tc>
        <w:tc>
          <w:tcPr>
            <w:tcW w:w="1225"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2009</w:t>
            </w:r>
          </w:p>
        </w:tc>
        <w:tc>
          <w:tcPr>
            <w:tcW w:w="1225"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2010</w:t>
            </w:r>
          </w:p>
        </w:tc>
        <w:tc>
          <w:tcPr>
            <w:tcW w:w="1225"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2011</w:t>
            </w:r>
          </w:p>
        </w:tc>
        <w:tc>
          <w:tcPr>
            <w:tcW w:w="1225"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2012</w:t>
            </w:r>
          </w:p>
        </w:tc>
        <w:tc>
          <w:tcPr>
            <w:tcW w:w="1225" w:type="dxa"/>
            <w:shd w:val="clear" w:color="auto" w:fill="auto"/>
            <w:vAlign w:val="center"/>
          </w:tcPr>
          <w:p w:rsidR="006378A3" w:rsidRDefault="006378A3" w:rsidP="002E01ED">
            <w:pPr>
              <w:spacing w:line="276" w:lineRule="auto"/>
              <w:jc w:val="center"/>
              <w:rPr>
                <w:rFonts w:eastAsia="Calibri" w:cs="Arial"/>
                <w:b/>
                <w:sz w:val="20"/>
                <w:szCs w:val="20"/>
                <w:lang w:val="en-GB" w:eastAsia="en-US"/>
              </w:rPr>
            </w:pPr>
            <w:r>
              <w:rPr>
                <w:rFonts w:eastAsia="Calibri" w:cs="Arial"/>
                <w:b/>
                <w:sz w:val="20"/>
                <w:szCs w:val="20"/>
                <w:lang w:val="en-GB" w:eastAsia="en-US"/>
              </w:rPr>
              <w:t>2013</w:t>
            </w:r>
          </w:p>
        </w:tc>
      </w:tr>
      <w:tr w:rsidR="006378A3" w:rsidTr="002E01ED">
        <w:tc>
          <w:tcPr>
            <w:tcW w:w="474"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1</w:t>
            </w:r>
          </w:p>
        </w:tc>
        <w:tc>
          <w:tcPr>
            <w:tcW w:w="1214"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Arable</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221,653</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221,577</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227,853</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229,775</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229,775</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229,775</w:t>
            </w:r>
          </w:p>
        </w:tc>
      </w:tr>
      <w:tr w:rsidR="006378A3" w:rsidTr="002E01ED">
        <w:tc>
          <w:tcPr>
            <w:tcW w:w="474"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2</w:t>
            </w:r>
          </w:p>
        </w:tc>
        <w:tc>
          <w:tcPr>
            <w:tcW w:w="1214"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 xml:space="preserve">Grassland </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85,296</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85,111</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79,176</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77,821</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77,821</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77,821</w:t>
            </w:r>
          </w:p>
        </w:tc>
      </w:tr>
      <w:tr w:rsidR="006378A3" w:rsidTr="002E01ED">
        <w:tc>
          <w:tcPr>
            <w:tcW w:w="474"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w:t>
            </w:r>
          </w:p>
        </w:tc>
        <w:tc>
          <w:tcPr>
            <w:tcW w:w="1214"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 xml:space="preserve">Meadows </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7,122</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7,159</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6,800</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7,433</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7,433</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7,433</w:t>
            </w:r>
          </w:p>
        </w:tc>
      </w:tr>
      <w:tr w:rsidR="006378A3" w:rsidTr="002E01ED">
        <w:tc>
          <w:tcPr>
            <w:tcW w:w="474"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4</w:t>
            </w:r>
          </w:p>
        </w:tc>
        <w:tc>
          <w:tcPr>
            <w:tcW w:w="1214"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Vineyards</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3,385</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3,425</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3,662</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3,425</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3,425</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3,425</w:t>
            </w:r>
          </w:p>
        </w:tc>
      </w:tr>
      <w:tr w:rsidR="006378A3" w:rsidTr="002E01ED">
        <w:tc>
          <w:tcPr>
            <w:tcW w:w="1688" w:type="dxa"/>
            <w:gridSpan w:val="2"/>
            <w:shd w:val="clear" w:color="auto" w:fill="auto"/>
            <w:vAlign w:val="center"/>
          </w:tcPr>
          <w:p w:rsidR="006378A3" w:rsidRDefault="006378A3" w:rsidP="002E01ED">
            <w:pPr>
              <w:spacing w:line="276" w:lineRule="auto"/>
              <w:jc w:val="center"/>
              <w:rPr>
                <w:rFonts w:eastAsia="Calibri" w:cs="Arial"/>
                <w:sz w:val="20"/>
                <w:szCs w:val="20"/>
                <w:lang w:val="en-GB" w:eastAsia="en-US"/>
              </w:rPr>
            </w:pP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317,456</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317,278</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317,491</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318,454</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318,454</w:t>
            </w:r>
          </w:p>
        </w:tc>
        <w:tc>
          <w:tcPr>
            <w:tcW w:w="1225" w:type="dxa"/>
            <w:shd w:val="clear" w:color="auto" w:fill="auto"/>
            <w:vAlign w:val="center"/>
          </w:tcPr>
          <w:p w:rsidR="006378A3" w:rsidRDefault="006378A3" w:rsidP="002E01ED">
            <w:pPr>
              <w:spacing w:line="276" w:lineRule="auto"/>
              <w:jc w:val="center"/>
              <w:rPr>
                <w:rFonts w:eastAsia="Calibri" w:cs="Arial"/>
                <w:sz w:val="20"/>
                <w:szCs w:val="20"/>
                <w:lang w:val="en-GB" w:eastAsia="en-US"/>
              </w:rPr>
            </w:pPr>
            <w:r>
              <w:rPr>
                <w:rFonts w:eastAsia="Calibri" w:cs="Arial"/>
                <w:sz w:val="20"/>
                <w:szCs w:val="20"/>
                <w:lang w:val="en-GB" w:eastAsia="en-US"/>
              </w:rPr>
              <w:t>318,454</w:t>
            </w:r>
          </w:p>
        </w:tc>
      </w:tr>
    </w:tbl>
    <w:p w:rsidR="006378A3" w:rsidRDefault="006378A3" w:rsidP="006378A3">
      <w:pPr>
        <w:autoSpaceDE w:val="0"/>
        <w:autoSpaceDN w:val="0"/>
        <w:adjustRightInd w:val="0"/>
        <w:spacing w:before="60" w:after="60" w:line="288" w:lineRule="auto"/>
        <w:jc w:val="both"/>
        <w:rPr>
          <w:rFonts w:eastAsia="Calibri" w:cs="Arial"/>
          <w:color w:val="000000"/>
          <w:lang w:val="en-GB" w:eastAsia="en-US"/>
        </w:rPr>
      </w:pPr>
    </w:p>
    <w:p w:rsidR="006378A3" w:rsidRPr="002E01ED" w:rsidRDefault="006378A3" w:rsidP="002E01ED">
      <w:pPr>
        <w:autoSpaceDE w:val="0"/>
        <w:autoSpaceDN w:val="0"/>
        <w:adjustRightInd w:val="0"/>
        <w:spacing w:before="60" w:after="60" w:line="288" w:lineRule="auto"/>
        <w:jc w:val="both"/>
        <w:rPr>
          <w:rFonts w:eastAsia="Calibri" w:cs="Arial"/>
          <w:lang w:val="en-GB" w:eastAsia="en-US"/>
        </w:rPr>
      </w:pPr>
      <w:r>
        <w:rPr>
          <w:rFonts w:eastAsia="Calibri" w:cs="Arial"/>
          <w:color w:val="000000"/>
          <w:lang w:val="en-GB" w:eastAsia="en-US"/>
        </w:rPr>
        <w:t xml:space="preserve"> </w:t>
      </w:r>
      <w:r>
        <w:rPr>
          <w:rFonts w:eastAsia="Calibri" w:cs="Arial"/>
          <w:lang w:val="en-GB" w:eastAsia="en-US"/>
        </w:rPr>
        <w:t>In 2013 there was no major environmental pollution or accidental pollution.</w:t>
      </w:r>
    </w:p>
    <w:p w:rsidR="006378A3" w:rsidRDefault="006378A3" w:rsidP="006378A3">
      <w:pPr>
        <w:pStyle w:val="Heading1"/>
        <w:rPr>
          <w:rFonts w:ascii="Arial" w:hAnsi="Arial" w:cs="Arial"/>
          <w:sz w:val="24"/>
          <w:szCs w:val="24"/>
          <w:lang w:val="en-GB" w:eastAsia="ro-RO"/>
        </w:rPr>
      </w:pPr>
      <w:bookmarkStart w:id="15" w:name="_Toc419704927"/>
      <w:r>
        <w:rPr>
          <w:rFonts w:ascii="Arial" w:hAnsi="Arial" w:cs="Arial"/>
          <w:sz w:val="24"/>
          <w:szCs w:val="24"/>
          <w:lang w:val="en-GB" w:eastAsia="ro-RO"/>
        </w:rPr>
        <w:lastRenderedPageBreak/>
        <w:t>4.4. Suceava County</w:t>
      </w:r>
      <w:bookmarkEnd w:id="15"/>
    </w:p>
    <w:p w:rsidR="006378A3" w:rsidRDefault="006378A3" w:rsidP="006378A3">
      <w:pPr>
        <w:spacing w:before="60" w:after="60" w:line="288" w:lineRule="auto"/>
        <w:jc w:val="both"/>
        <w:rPr>
          <w:b/>
          <w:lang w:val="en-GB"/>
        </w:rPr>
      </w:pPr>
    </w:p>
    <w:p w:rsidR="006378A3" w:rsidRDefault="006378A3" w:rsidP="006378A3">
      <w:pPr>
        <w:numPr>
          <w:ilvl w:val="0"/>
          <w:numId w:val="1"/>
        </w:numPr>
        <w:spacing w:before="60" w:after="60" w:line="288" w:lineRule="auto"/>
        <w:jc w:val="both"/>
        <w:rPr>
          <w:rFonts w:eastAsia="Calibri" w:cs="Arial"/>
          <w:b/>
          <w:lang w:val="en-GB" w:eastAsia="en-US"/>
        </w:rPr>
      </w:pPr>
      <w:r>
        <w:rPr>
          <w:rFonts w:eastAsia="Calibri" w:cs="Arial"/>
          <w:b/>
          <w:lang w:val="en-GB" w:eastAsia="en-US"/>
        </w:rPr>
        <w:t>AIR</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lang w:val="en-GB" w:eastAsia="x-none"/>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bCs/>
          <w:i/>
          <w:lang w:val="en-GB" w:eastAsia="x-none"/>
        </w:rPr>
      </w:pPr>
      <w:r>
        <w:rPr>
          <w:rFonts w:cs="Arial"/>
          <w:lang w:val="en-GB" w:eastAsia="x-none"/>
        </w:rPr>
        <w:t xml:space="preserve"> </w:t>
      </w:r>
      <w:r>
        <w:rPr>
          <w:rFonts w:cs="Arial"/>
          <w:i/>
          <w:lang w:val="en-GB" w:eastAsia="x-none"/>
        </w:rPr>
        <w:t xml:space="preserve">Sulphur dioxide </w:t>
      </w:r>
      <w:r>
        <w:rPr>
          <w:rFonts w:cs="Arial"/>
          <w:bCs/>
          <w:i/>
          <w:lang w:val="en-GB" w:eastAsia="x-none"/>
        </w:rPr>
        <w:t>(SO</w:t>
      </w:r>
      <w:r>
        <w:rPr>
          <w:rFonts w:cs="Arial"/>
          <w:bCs/>
          <w:i/>
          <w:vertAlign w:val="subscript"/>
          <w:lang w:val="en-GB" w:eastAsia="x-none"/>
        </w:rPr>
        <w:t>2</w:t>
      </w:r>
      <w:r>
        <w:rPr>
          <w:rFonts w:cs="Arial"/>
          <w:bCs/>
          <w:i/>
          <w:lang w:val="en-GB" w:eastAsia="x-none"/>
        </w:rPr>
        <w:t>)</w:t>
      </w:r>
    </w:p>
    <w:p w:rsidR="006378A3" w:rsidRDefault="006378A3" w:rsidP="006378A3">
      <w:pPr>
        <w:spacing w:before="60" w:after="60" w:line="288" w:lineRule="auto"/>
        <w:ind w:firstLine="720"/>
        <w:jc w:val="both"/>
        <w:rPr>
          <w:rFonts w:eastAsia="Calibri" w:cs="Arial"/>
          <w:bCs/>
          <w:lang w:val="en-GB" w:eastAsia="en-US"/>
        </w:rPr>
      </w:pPr>
      <w:r>
        <w:rPr>
          <w:rFonts w:eastAsia="Calibri" w:cs="Arial"/>
          <w:bCs/>
          <w:lang w:val="en-GB" w:eastAsia="en-US"/>
        </w:rPr>
        <w:t>Evolution of total emissions of sulphur dioxide inventoried in Suceava County in 2011-2013, is presented in Table 4.4.1.</w:t>
      </w:r>
    </w:p>
    <w:p w:rsidR="006378A3" w:rsidRDefault="006378A3" w:rsidP="006378A3">
      <w:pPr>
        <w:widowControl w:val="0"/>
        <w:spacing w:before="60" w:after="60" w:line="288" w:lineRule="auto"/>
        <w:ind w:firstLine="720"/>
        <w:jc w:val="both"/>
        <w:rPr>
          <w:rFonts w:eastAsia="Calibri"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Arial"/>
          <w:b/>
          <w:bCs/>
          <w:i/>
          <w:sz w:val="22"/>
          <w:szCs w:val="22"/>
          <w:lang w:val="en-GB" w:eastAsia="x-none"/>
        </w:rPr>
      </w:pPr>
      <w:r>
        <w:rPr>
          <w:rFonts w:cs="Arial"/>
          <w:b/>
          <w:bCs/>
          <w:i/>
          <w:sz w:val="22"/>
          <w:szCs w:val="22"/>
          <w:lang w:val="en-GB" w:eastAsia="x-none"/>
        </w:rPr>
        <w:t>Table</w:t>
      </w:r>
      <w:r>
        <w:rPr>
          <w:rFonts w:eastAsia="Calibri" w:cs="Arial"/>
          <w:b/>
          <w:bCs/>
          <w:i/>
          <w:sz w:val="22"/>
          <w:szCs w:val="22"/>
          <w:lang w:val="en-GB" w:eastAsia="x-none"/>
        </w:rPr>
        <w:t xml:space="preserve"> 4.4.1 </w:t>
      </w:r>
      <w:r>
        <w:rPr>
          <w:rFonts w:cs="Arial"/>
          <w:sz w:val="22"/>
          <w:szCs w:val="22"/>
          <w:lang w:val="en-GB" w:eastAsia="x-none"/>
        </w:rPr>
        <w:t xml:space="preserve">Annual emissions of sulphur dioxide </w:t>
      </w:r>
      <w:r>
        <w:rPr>
          <w:rFonts w:cs="Arial"/>
          <w:bCs/>
          <w:sz w:val="22"/>
          <w:szCs w:val="22"/>
          <w:lang w:val="en-GB" w:eastAsia="x-none"/>
        </w:rPr>
        <w:t>(</w:t>
      </w:r>
      <w:r>
        <w:rPr>
          <w:rFonts w:eastAsia="Calibri" w:cs="Arial"/>
          <w:bCs/>
          <w:sz w:val="22"/>
          <w:szCs w:val="22"/>
          <w:lang w:val="en-GB" w:eastAsia="x-none"/>
        </w:rPr>
        <w:t>tone/year)</w:t>
      </w:r>
    </w:p>
    <w:tbl>
      <w:tblPr>
        <w:tblW w:w="6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76"/>
        <w:gridCol w:w="1382"/>
        <w:gridCol w:w="1382"/>
        <w:gridCol w:w="1382"/>
      </w:tblGrid>
      <w:tr w:rsidR="006378A3" w:rsidTr="002E01ED">
        <w:trPr>
          <w:trHeight w:val="200"/>
          <w:jc w:val="center"/>
        </w:trPr>
        <w:tc>
          <w:tcPr>
            <w:tcW w:w="2376" w:type="dxa"/>
            <w:shd w:val="clear" w:color="auto" w:fill="auto"/>
            <w:vAlign w:val="center"/>
          </w:tcPr>
          <w:p w:rsidR="006378A3" w:rsidRDefault="006378A3" w:rsidP="002E01ED">
            <w:pPr>
              <w:widowControl w:val="0"/>
              <w:spacing w:before="60" w:after="60" w:line="288" w:lineRule="auto"/>
              <w:jc w:val="both"/>
              <w:rPr>
                <w:rFonts w:eastAsia="Calibri" w:cs="Arial"/>
                <w:b/>
                <w:lang w:val="en-GB" w:eastAsia="en-US"/>
              </w:rPr>
            </w:pPr>
            <w:r>
              <w:rPr>
                <w:rFonts w:eastAsia="Calibri" w:cs="Arial"/>
                <w:b/>
                <w:lang w:val="en-GB" w:eastAsia="en-US"/>
              </w:rPr>
              <w:t>Year</w:t>
            </w:r>
          </w:p>
        </w:tc>
        <w:tc>
          <w:tcPr>
            <w:tcW w:w="1382" w:type="dxa"/>
            <w:shd w:val="clear" w:color="auto" w:fill="auto"/>
            <w:vAlign w:val="center"/>
          </w:tcPr>
          <w:p w:rsidR="006378A3" w:rsidRDefault="006378A3" w:rsidP="002E01ED">
            <w:pPr>
              <w:widowControl w:val="0"/>
              <w:spacing w:before="60" w:after="60" w:line="288" w:lineRule="auto"/>
              <w:jc w:val="both"/>
              <w:rPr>
                <w:rFonts w:eastAsia="Calibri" w:cs="Arial"/>
                <w:b/>
                <w:lang w:val="en-GB" w:eastAsia="en-US"/>
              </w:rPr>
            </w:pPr>
            <w:r>
              <w:rPr>
                <w:rFonts w:eastAsia="Calibri" w:cs="Arial"/>
                <w:b/>
                <w:lang w:val="en-GB" w:eastAsia="en-US"/>
              </w:rPr>
              <w:t>2011</w:t>
            </w:r>
          </w:p>
        </w:tc>
        <w:tc>
          <w:tcPr>
            <w:tcW w:w="1382" w:type="dxa"/>
            <w:shd w:val="clear" w:color="auto" w:fill="auto"/>
            <w:vAlign w:val="center"/>
          </w:tcPr>
          <w:p w:rsidR="006378A3" w:rsidRDefault="006378A3" w:rsidP="002E01ED">
            <w:pPr>
              <w:widowControl w:val="0"/>
              <w:spacing w:before="60" w:after="60" w:line="288" w:lineRule="auto"/>
              <w:jc w:val="both"/>
              <w:rPr>
                <w:rFonts w:eastAsia="Calibri" w:cs="Arial"/>
                <w:b/>
                <w:lang w:val="en-GB" w:eastAsia="en-US"/>
              </w:rPr>
            </w:pPr>
            <w:r>
              <w:rPr>
                <w:rFonts w:eastAsia="Calibri" w:cs="Arial"/>
                <w:b/>
                <w:lang w:val="en-GB" w:eastAsia="en-US"/>
              </w:rPr>
              <w:t>2012</w:t>
            </w:r>
          </w:p>
        </w:tc>
        <w:tc>
          <w:tcPr>
            <w:tcW w:w="1382" w:type="dxa"/>
            <w:shd w:val="clear" w:color="auto" w:fill="auto"/>
            <w:vAlign w:val="center"/>
          </w:tcPr>
          <w:p w:rsidR="006378A3" w:rsidRDefault="006378A3" w:rsidP="002E01ED">
            <w:pPr>
              <w:widowControl w:val="0"/>
              <w:spacing w:before="60" w:after="60" w:line="288" w:lineRule="auto"/>
              <w:jc w:val="both"/>
              <w:rPr>
                <w:rFonts w:eastAsia="Calibri" w:cs="Arial"/>
                <w:b/>
                <w:lang w:val="en-GB" w:eastAsia="en-US"/>
              </w:rPr>
            </w:pPr>
            <w:r>
              <w:rPr>
                <w:rFonts w:eastAsia="Calibri" w:cs="Arial"/>
                <w:b/>
                <w:lang w:val="en-GB" w:eastAsia="en-US"/>
              </w:rPr>
              <w:t>2013</w:t>
            </w:r>
          </w:p>
        </w:tc>
      </w:tr>
      <w:tr w:rsidR="006378A3" w:rsidTr="002E01ED">
        <w:trPr>
          <w:trHeight w:val="197"/>
          <w:jc w:val="center"/>
        </w:trPr>
        <w:tc>
          <w:tcPr>
            <w:tcW w:w="2376" w:type="dxa"/>
            <w:shd w:val="clear" w:color="auto" w:fill="auto"/>
            <w:tcMar>
              <w:left w:w="11" w:type="dxa"/>
              <w:right w:w="11" w:type="dxa"/>
            </w:tcMar>
            <w:vAlign w:val="center"/>
          </w:tcPr>
          <w:p w:rsidR="006378A3" w:rsidRDefault="006378A3" w:rsidP="002E01ED">
            <w:pPr>
              <w:widowControl w:val="0"/>
              <w:spacing w:before="60" w:after="60" w:line="288" w:lineRule="auto"/>
              <w:jc w:val="both"/>
              <w:rPr>
                <w:rFonts w:eastAsia="Calibri" w:cs="Arial"/>
                <w:b/>
                <w:i/>
                <w:vertAlign w:val="subscript"/>
                <w:lang w:val="en-GB" w:eastAsia="en-US"/>
              </w:rPr>
            </w:pPr>
            <w:r>
              <w:rPr>
                <w:rFonts w:eastAsia="Calibri" w:cs="Arial"/>
                <w:b/>
                <w:lang w:val="en-GB" w:eastAsia="en-US"/>
              </w:rPr>
              <w:t>SO</w:t>
            </w:r>
            <w:r>
              <w:rPr>
                <w:rFonts w:eastAsia="Calibri" w:cs="Arial"/>
                <w:b/>
                <w:i/>
                <w:vertAlign w:val="subscript"/>
                <w:lang w:val="en-GB" w:eastAsia="en-US"/>
              </w:rPr>
              <w:t>2</w:t>
            </w:r>
          </w:p>
        </w:tc>
        <w:tc>
          <w:tcPr>
            <w:tcW w:w="1382" w:type="dxa"/>
            <w:shd w:val="clear" w:color="auto" w:fill="FFFFFF"/>
            <w:vAlign w:val="center"/>
          </w:tcPr>
          <w:p w:rsidR="006378A3" w:rsidRDefault="006378A3" w:rsidP="002E01ED">
            <w:pPr>
              <w:widowControl w:val="0"/>
              <w:spacing w:before="60" w:after="60" w:line="288" w:lineRule="auto"/>
              <w:jc w:val="both"/>
              <w:rPr>
                <w:rFonts w:eastAsia="Arial Unicode MS" w:cs="Arial"/>
                <w:lang w:val="en-GB" w:eastAsia="en-US"/>
              </w:rPr>
            </w:pPr>
            <w:r>
              <w:rPr>
                <w:rFonts w:eastAsia="Arial Unicode MS" w:cs="Arial"/>
                <w:lang w:val="en-GB" w:eastAsia="en-US"/>
              </w:rPr>
              <w:t>1242</w:t>
            </w:r>
          </w:p>
        </w:tc>
        <w:tc>
          <w:tcPr>
            <w:tcW w:w="1382" w:type="dxa"/>
            <w:shd w:val="clear" w:color="auto" w:fill="FFFFFF"/>
            <w:vAlign w:val="center"/>
          </w:tcPr>
          <w:p w:rsidR="006378A3" w:rsidRDefault="006378A3" w:rsidP="002E01ED">
            <w:pPr>
              <w:widowControl w:val="0"/>
              <w:spacing w:before="60" w:after="60" w:line="288" w:lineRule="auto"/>
              <w:jc w:val="both"/>
              <w:rPr>
                <w:rFonts w:eastAsia="Arial Unicode MS" w:cs="Arial"/>
                <w:lang w:val="en-GB" w:eastAsia="en-US"/>
              </w:rPr>
            </w:pPr>
            <w:r>
              <w:rPr>
                <w:rFonts w:eastAsia="Arial Unicode MS" w:cs="Arial"/>
                <w:lang w:val="en-GB" w:eastAsia="en-US"/>
              </w:rPr>
              <w:t>1414</w:t>
            </w:r>
          </w:p>
        </w:tc>
        <w:tc>
          <w:tcPr>
            <w:tcW w:w="1382" w:type="dxa"/>
            <w:shd w:val="clear" w:color="auto" w:fill="FFFFFF"/>
            <w:vAlign w:val="center"/>
          </w:tcPr>
          <w:p w:rsidR="006378A3" w:rsidRDefault="006378A3" w:rsidP="002E01ED">
            <w:pPr>
              <w:widowControl w:val="0"/>
              <w:spacing w:before="60" w:after="60" w:line="288" w:lineRule="auto"/>
              <w:jc w:val="both"/>
              <w:rPr>
                <w:rFonts w:eastAsia="Arial Unicode MS" w:cs="Arial"/>
                <w:lang w:val="en-GB" w:eastAsia="en-US"/>
              </w:rPr>
            </w:pPr>
            <w:r>
              <w:rPr>
                <w:rFonts w:eastAsia="Arial Unicode MS" w:cs="Arial"/>
                <w:lang w:val="en-GB" w:eastAsia="en-US"/>
              </w:rPr>
              <w:t>853</w:t>
            </w:r>
          </w:p>
        </w:tc>
      </w:tr>
    </w:tbl>
    <w:p w:rsidR="006378A3" w:rsidRDefault="006378A3" w:rsidP="006378A3">
      <w:pPr>
        <w:widowControl w:val="0"/>
        <w:spacing w:before="60" w:after="60" w:line="288" w:lineRule="auto"/>
        <w:ind w:firstLine="720"/>
        <w:jc w:val="both"/>
        <w:rPr>
          <w:rFonts w:eastAsia="Calibri" w:cs="Arial"/>
          <w:lang w:val="en-GB" w:eastAsia="en-US"/>
        </w:rPr>
      </w:pP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r>
        <w:rPr>
          <w:rFonts w:eastAsia="Calibri" w:cs="Arial"/>
          <w:lang w:val="en-GB" w:eastAsia="en-US"/>
        </w:rPr>
        <w:t>In 2013 year, a percentage of 75.7 % of total emissions of SO</w:t>
      </w:r>
      <w:r>
        <w:rPr>
          <w:rFonts w:eastAsia="Calibri" w:cs="Arial"/>
          <w:vertAlign w:val="subscript"/>
          <w:lang w:val="en-GB" w:eastAsia="en-US"/>
        </w:rPr>
        <w:t>2</w:t>
      </w:r>
      <w:r>
        <w:rPr>
          <w:rFonts w:eastAsia="Calibri" w:cs="Arial"/>
          <w:lang w:val="en-GB" w:eastAsia="en-US"/>
        </w:rPr>
        <w:t xml:space="preserve"> from county resulted from the NFR code 1.A.1.a “electricity and heat production ", such as coal burning plant belonging to SC TERMICA SA Suceava (Suceava power plant).</w:t>
      </w: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r>
        <w:rPr>
          <w:rFonts w:eastAsia="Calibri" w:cs="Arial"/>
          <w:lang w:val="en-GB" w:eastAsia="en-US"/>
        </w:rPr>
        <w:t>Inter-annual variability of total emissions of SO2 is given mainly by fluctuation in annual quantities of coal used in CET Suceava and its sulfur content, with the major contribution of this system to the total SO2 emissions in the county</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eastAsia="Calibri" w:cs="Arial"/>
          <w:lang w:val="en-GB" w:eastAsia="x-none"/>
        </w:rPr>
      </w:pPr>
      <w:r>
        <w:rPr>
          <w:rFonts w:eastAsia="Calibri" w:cs="Arial"/>
          <w:lang w:val="en-GB" w:eastAsia="x-none"/>
        </w:rPr>
        <w:t>Decrease of SO</w:t>
      </w:r>
      <w:r>
        <w:rPr>
          <w:rFonts w:eastAsia="Calibri" w:cs="Arial"/>
          <w:vertAlign w:val="subscript"/>
          <w:lang w:val="en-GB" w:eastAsia="x-none"/>
        </w:rPr>
        <w:t>2</w:t>
      </w:r>
      <w:r>
        <w:rPr>
          <w:rFonts w:eastAsia="Calibri" w:cs="Arial"/>
          <w:lang w:val="en-GB" w:eastAsia="x-none"/>
        </w:rPr>
        <w:t xml:space="preserve"> emissions in 2013 compared to 2012 is due to the fact that SC TERMICA SA Suceava (CET on coal) worked only until April 2013.</w:t>
      </w: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i/>
          <w:lang w:val="en-GB" w:eastAsia="x-none"/>
        </w:rPr>
      </w:pPr>
      <w:r>
        <w:rPr>
          <w:rFonts w:cs="Arial"/>
          <w:i/>
          <w:lang w:val="en-GB" w:eastAsia="x-none"/>
        </w:rPr>
        <w:t>Nitrogen oxides (NOx)</w:t>
      </w:r>
    </w:p>
    <w:p w:rsidR="006378A3" w:rsidRDefault="006378A3" w:rsidP="006378A3">
      <w:pPr>
        <w:widowControl w:val="0"/>
        <w:spacing w:before="60" w:after="60" w:line="288" w:lineRule="auto"/>
        <w:ind w:firstLine="630"/>
        <w:jc w:val="both"/>
        <w:rPr>
          <w:rFonts w:eastAsia="Calibri" w:cs="Arial"/>
          <w:lang w:val="en-GB" w:eastAsia="en-US"/>
        </w:rPr>
      </w:pPr>
      <w:r>
        <w:rPr>
          <w:rFonts w:eastAsia="Calibri" w:cs="Arial"/>
          <w:lang w:val="en-GB" w:eastAsia="en-US"/>
        </w:rPr>
        <w:t>Evolution of total emissions of nitrogen oxides inventoried in Suceava County from 2011 ÷ 2013 is presented in Table 4.4.2:</w:t>
      </w:r>
    </w:p>
    <w:p w:rsidR="006378A3" w:rsidRDefault="006378A3" w:rsidP="006378A3">
      <w:pPr>
        <w:autoSpaceDE w:val="0"/>
        <w:autoSpaceDN w:val="0"/>
        <w:adjustRightInd w:val="0"/>
        <w:spacing w:before="60" w:after="60" w:line="288" w:lineRule="auto"/>
        <w:ind w:left="360"/>
        <w:jc w:val="center"/>
        <w:rPr>
          <w:rFonts w:eastAsia="Calibri" w:cs="Arial"/>
          <w:b/>
          <w:bCs/>
          <w:i/>
          <w:sz w:val="22"/>
          <w:szCs w:val="22"/>
          <w:lang w:val="en-GB" w:eastAsia="en-US"/>
        </w:rPr>
      </w:pPr>
    </w:p>
    <w:p w:rsidR="006378A3" w:rsidRDefault="006378A3" w:rsidP="006378A3">
      <w:pPr>
        <w:autoSpaceDE w:val="0"/>
        <w:autoSpaceDN w:val="0"/>
        <w:adjustRightInd w:val="0"/>
        <w:spacing w:before="60" w:after="60" w:line="288" w:lineRule="auto"/>
        <w:ind w:left="360"/>
        <w:jc w:val="center"/>
        <w:rPr>
          <w:rFonts w:eastAsia="Calibri" w:cs="Arial"/>
          <w:b/>
          <w:bCs/>
          <w:i/>
          <w:sz w:val="22"/>
          <w:szCs w:val="22"/>
          <w:lang w:val="en-GB" w:eastAsia="en-US"/>
        </w:rPr>
      </w:pPr>
      <w:r>
        <w:rPr>
          <w:rFonts w:eastAsia="Calibri" w:cs="Arial"/>
          <w:b/>
          <w:bCs/>
          <w:i/>
          <w:sz w:val="22"/>
          <w:szCs w:val="22"/>
          <w:lang w:val="en-GB" w:eastAsia="en-US"/>
        </w:rPr>
        <w:t xml:space="preserve">Table 4.4.2 </w:t>
      </w:r>
      <w:r>
        <w:rPr>
          <w:rFonts w:eastAsia="Calibri" w:cs="Arial"/>
          <w:bCs/>
          <w:sz w:val="22"/>
          <w:szCs w:val="22"/>
          <w:lang w:val="en-GB" w:eastAsia="en-US"/>
        </w:rPr>
        <w:t>Annual emissions of nitrogen oxides</w:t>
      </w:r>
    </w:p>
    <w:tbl>
      <w:tblPr>
        <w:tblW w:w="6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 w:type="dxa"/>
          <w:right w:w="11" w:type="dxa"/>
        </w:tblCellMar>
        <w:tblLook w:val="01E0" w:firstRow="1" w:lastRow="1" w:firstColumn="1" w:lastColumn="1" w:noHBand="0" w:noVBand="0"/>
      </w:tblPr>
      <w:tblGrid>
        <w:gridCol w:w="2317"/>
        <w:gridCol w:w="1390"/>
        <w:gridCol w:w="1390"/>
        <w:gridCol w:w="1418"/>
      </w:tblGrid>
      <w:tr w:rsidR="006378A3" w:rsidTr="002E01ED">
        <w:trPr>
          <w:trHeight w:val="272"/>
          <w:jc w:val="center"/>
        </w:trPr>
        <w:tc>
          <w:tcPr>
            <w:tcW w:w="2317" w:type="dxa"/>
            <w:shd w:val="clear" w:color="auto" w:fill="auto"/>
            <w:tcMar>
              <w:left w:w="57" w:type="dxa"/>
              <w:right w:w="57" w:type="dxa"/>
            </w:tcMar>
            <w:vAlign w:val="center"/>
          </w:tcPr>
          <w:p w:rsidR="006378A3" w:rsidRDefault="006378A3" w:rsidP="002E01ED">
            <w:pPr>
              <w:widowControl w:val="0"/>
              <w:spacing w:before="60" w:after="60" w:line="288" w:lineRule="auto"/>
              <w:jc w:val="both"/>
              <w:rPr>
                <w:rFonts w:eastAsia="Calibri" w:cs="Arial"/>
                <w:b/>
                <w:sz w:val="22"/>
                <w:szCs w:val="22"/>
                <w:lang w:val="en-GB" w:eastAsia="en-US"/>
              </w:rPr>
            </w:pPr>
            <w:r>
              <w:rPr>
                <w:rFonts w:eastAsia="Calibri" w:cs="Arial"/>
                <w:b/>
                <w:sz w:val="22"/>
                <w:szCs w:val="22"/>
                <w:lang w:val="en-GB" w:eastAsia="en-US"/>
              </w:rPr>
              <w:t>Year</w:t>
            </w:r>
          </w:p>
        </w:tc>
        <w:tc>
          <w:tcPr>
            <w:tcW w:w="1390" w:type="dxa"/>
            <w:shd w:val="clear" w:color="auto" w:fill="auto"/>
            <w:vAlign w:val="center"/>
          </w:tcPr>
          <w:p w:rsidR="006378A3" w:rsidRDefault="006378A3" w:rsidP="002E01ED">
            <w:pPr>
              <w:widowControl w:val="0"/>
              <w:spacing w:before="60" w:after="60" w:line="288" w:lineRule="auto"/>
              <w:jc w:val="both"/>
              <w:rPr>
                <w:rFonts w:eastAsia="Calibri" w:cs="Arial"/>
                <w:b/>
                <w:sz w:val="22"/>
                <w:szCs w:val="22"/>
                <w:lang w:val="en-GB" w:eastAsia="en-US"/>
              </w:rPr>
            </w:pPr>
            <w:r>
              <w:rPr>
                <w:rFonts w:eastAsia="Calibri" w:cs="Arial"/>
                <w:b/>
                <w:sz w:val="22"/>
                <w:szCs w:val="22"/>
                <w:lang w:val="en-GB" w:eastAsia="en-US"/>
              </w:rPr>
              <w:t>2011</w:t>
            </w:r>
          </w:p>
        </w:tc>
        <w:tc>
          <w:tcPr>
            <w:tcW w:w="1390" w:type="dxa"/>
            <w:shd w:val="clear" w:color="auto" w:fill="auto"/>
            <w:vAlign w:val="center"/>
          </w:tcPr>
          <w:p w:rsidR="006378A3" w:rsidRDefault="006378A3" w:rsidP="002E01ED">
            <w:pPr>
              <w:widowControl w:val="0"/>
              <w:spacing w:before="60" w:after="60" w:line="288" w:lineRule="auto"/>
              <w:jc w:val="both"/>
              <w:rPr>
                <w:rFonts w:eastAsia="Calibri" w:cs="Arial"/>
                <w:b/>
                <w:sz w:val="22"/>
                <w:szCs w:val="22"/>
                <w:lang w:val="en-GB" w:eastAsia="en-US"/>
              </w:rPr>
            </w:pPr>
            <w:r>
              <w:rPr>
                <w:rFonts w:eastAsia="Calibri" w:cs="Arial"/>
                <w:b/>
                <w:sz w:val="22"/>
                <w:szCs w:val="22"/>
                <w:lang w:val="en-GB" w:eastAsia="en-US"/>
              </w:rPr>
              <w:t>2012</w:t>
            </w:r>
          </w:p>
        </w:tc>
        <w:tc>
          <w:tcPr>
            <w:tcW w:w="1418" w:type="dxa"/>
            <w:shd w:val="clear" w:color="auto" w:fill="auto"/>
            <w:vAlign w:val="center"/>
          </w:tcPr>
          <w:p w:rsidR="006378A3" w:rsidRDefault="006378A3" w:rsidP="002E01ED">
            <w:pPr>
              <w:widowControl w:val="0"/>
              <w:spacing w:before="60" w:after="60" w:line="288" w:lineRule="auto"/>
              <w:jc w:val="both"/>
              <w:rPr>
                <w:rFonts w:eastAsia="Calibri" w:cs="Arial"/>
                <w:b/>
                <w:sz w:val="22"/>
                <w:szCs w:val="22"/>
                <w:lang w:val="en-GB" w:eastAsia="en-US"/>
              </w:rPr>
            </w:pPr>
            <w:r>
              <w:rPr>
                <w:rFonts w:eastAsia="Calibri" w:cs="Arial"/>
                <w:b/>
                <w:sz w:val="22"/>
                <w:szCs w:val="22"/>
                <w:lang w:val="en-GB" w:eastAsia="en-US"/>
              </w:rPr>
              <w:t>2013</w:t>
            </w:r>
          </w:p>
        </w:tc>
      </w:tr>
      <w:tr w:rsidR="006378A3" w:rsidTr="002E01ED">
        <w:trPr>
          <w:trHeight w:val="214"/>
          <w:jc w:val="center"/>
        </w:trPr>
        <w:tc>
          <w:tcPr>
            <w:tcW w:w="2317" w:type="dxa"/>
            <w:shd w:val="clear" w:color="auto" w:fill="auto"/>
            <w:tcMar>
              <w:left w:w="57" w:type="dxa"/>
              <w:right w:w="57" w:type="dxa"/>
            </w:tcMar>
            <w:vAlign w:val="center"/>
          </w:tcPr>
          <w:p w:rsidR="006378A3" w:rsidRDefault="006378A3" w:rsidP="002E01ED">
            <w:pPr>
              <w:widowControl w:val="0"/>
              <w:spacing w:before="60" w:after="60" w:line="288" w:lineRule="auto"/>
              <w:jc w:val="both"/>
              <w:rPr>
                <w:rFonts w:eastAsia="Calibri" w:cs="Arial"/>
                <w:b/>
                <w:i/>
                <w:sz w:val="22"/>
                <w:szCs w:val="22"/>
                <w:vertAlign w:val="subscript"/>
                <w:lang w:val="en-GB" w:eastAsia="en-US"/>
              </w:rPr>
            </w:pPr>
            <w:r>
              <w:rPr>
                <w:rFonts w:eastAsia="Calibri" w:cs="Arial"/>
                <w:b/>
                <w:sz w:val="22"/>
                <w:szCs w:val="22"/>
                <w:lang w:val="en-GB" w:eastAsia="en-US"/>
              </w:rPr>
              <w:t>NO</w:t>
            </w:r>
            <w:r>
              <w:rPr>
                <w:rFonts w:eastAsia="Calibri" w:cs="Arial"/>
                <w:b/>
                <w:i/>
                <w:sz w:val="22"/>
                <w:szCs w:val="22"/>
                <w:vertAlign w:val="subscript"/>
                <w:lang w:val="en-GB" w:eastAsia="en-US"/>
              </w:rPr>
              <w:t>x</w:t>
            </w:r>
          </w:p>
        </w:tc>
        <w:tc>
          <w:tcPr>
            <w:tcW w:w="1390" w:type="dxa"/>
            <w:shd w:val="clear" w:color="auto" w:fill="FFFFFF"/>
            <w:vAlign w:val="center"/>
          </w:tcPr>
          <w:p w:rsidR="006378A3" w:rsidRDefault="006378A3" w:rsidP="002E01ED">
            <w:pPr>
              <w:widowControl w:val="0"/>
              <w:spacing w:before="60" w:after="60" w:line="288" w:lineRule="auto"/>
              <w:jc w:val="both"/>
              <w:rPr>
                <w:rFonts w:eastAsia="Calibri" w:cs="Arial"/>
                <w:sz w:val="22"/>
                <w:szCs w:val="22"/>
                <w:lang w:val="en-GB" w:eastAsia="en-US"/>
              </w:rPr>
            </w:pPr>
            <w:r>
              <w:rPr>
                <w:rFonts w:eastAsia="Calibri" w:cs="Arial"/>
                <w:sz w:val="22"/>
                <w:szCs w:val="22"/>
                <w:lang w:val="en-GB" w:eastAsia="en-US"/>
              </w:rPr>
              <w:t>5722</w:t>
            </w:r>
          </w:p>
        </w:tc>
        <w:tc>
          <w:tcPr>
            <w:tcW w:w="1390" w:type="dxa"/>
            <w:shd w:val="clear" w:color="auto" w:fill="FFFFFF"/>
            <w:vAlign w:val="center"/>
          </w:tcPr>
          <w:p w:rsidR="006378A3" w:rsidRDefault="006378A3" w:rsidP="002E01ED">
            <w:pPr>
              <w:widowControl w:val="0"/>
              <w:spacing w:before="60" w:after="60" w:line="288" w:lineRule="auto"/>
              <w:jc w:val="both"/>
              <w:rPr>
                <w:rFonts w:eastAsia="Calibri" w:cs="Arial"/>
                <w:sz w:val="22"/>
                <w:szCs w:val="22"/>
                <w:lang w:val="en-GB" w:eastAsia="en-US"/>
              </w:rPr>
            </w:pPr>
            <w:r>
              <w:rPr>
                <w:rFonts w:eastAsia="Calibri" w:cs="Arial"/>
                <w:sz w:val="22"/>
                <w:szCs w:val="22"/>
                <w:lang w:val="en-GB" w:eastAsia="en-US"/>
              </w:rPr>
              <w:t>5783</w:t>
            </w:r>
          </w:p>
        </w:tc>
        <w:tc>
          <w:tcPr>
            <w:tcW w:w="1418" w:type="dxa"/>
            <w:shd w:val="clear" w:color="auto" w:fill="FFFFFF"/>
            <w:vAlign w:val="center"/>
          </w:tcPr>
          <w:p w:rsidR="006378A3" w:rsidRDefault="006378A3" w:rsidP="002E01ED">
            <w:pPr>
              <w:widowControl w:val="0"/>
              <w:spacing w:before="60" w:after="60" w:line="288" w:lineRule="auto"/>
              <w:jc w:val="both"/>
              <w:rPr>
                <w:rFonts w:eastAsia="Calibri" w:cs="Arial"/>
                <w:sz w:val="22"/>
                <w:szCs w:val="22"/>
                <w:lang w:val="en-GB" w:eastAsia="en-US"/>
              </w:rPr>
            </w:pPr>
            <w:r>
              <w:rPr>
                <w:rFonts w:eastAsia="Calibri" w:cs="Arial"/>
                <w:sz w:val="22"/>
                <w:szCs w:val="22"/>
                <w:lang w:val="en-GB" w:eastAsia="en-US"/>
              </w:rPr>
              <w:t>4448</w:t>
            </w:r>
          </w:p>
        </w:tc>
      </w:tr>
    </w:tbl>
    <w:p w:rsidR="006378A3" w:rsidRDefault="006378A3" w:rsidP="006378A3">
      <w:pPr>
        <w:autoSpaceDE w:val="0"/>
        <w:autoSpaceDN w:val="0"/>
        <w:adjustRightInd w:val="0"/>
        <w:spacing w:before="60" w:after="60" w:line="288" w:lineRule="auto"/>
        <w:ind w:firstLine="630"/>
        <w:jc w:val="both"/>
        <w:rPr>
          <w:rFonts w:eastAsia="Calibri" w:cs="Arial"/>
          <w:sz w:val="16"/>
          <w:szCs w:val="16"/>
          <w:lang w:val="en-GB" w:eastAsia="en-US"/>
        </w:rPr>
      </w:pPr>
      <w:r>
        <w:rPr>
          <w:rFonts w:eastAsia="Calibri" w:cs="Arial"/>
          <w:sz w:val="16"/>
          <w:szCs w:val="16"/>
          <w:lang w:val="en-GB" w:eastAsia="en-US"/>
        </w:rPr>
        <w:t>* Relative to 2012, in  2013 has changed the estimation methodology for traffic emissions, directly correlated with mileage reported to RAR type of vehicles in the county of Suceava, so that annual NOx emissions related to road transport significantly decreased  in 2013, compared to the previous year.</w:t>
      </w:r>
    </w:p>
    <w:p w:rsidR="006378A3" w:rsidRDefault="006378A3" w:rsidP="006378A3">
      <w:pPr>
        <w:autoSpaceDE w:val="0"/>
        <w:autoSpaceDN w:val="0"/>
        <w:adjustRightInd w:val="0"/>
        <w:spacing w:before="60" w:after="60" w:line="288" w:lineRule="auto"/>
        <w:ind w:firstLine="630"/>
        <w:jc w:val="both"/>
        <w:rPr>
          <w:rFonts w:eastAsia="Calibri" w:cs="Arial"/>
          <w:sz w:val="16"/>
          <w:szCs w:val="16"/>
          <w:lang w:val="en-GB" w:eastAsia="en-US"/>
        </w:rPr>
      </w:pPr>
      <w:r>
        <w:rPr>
          <w:rFonts w:eastAsia="Calibri" w:cs="Arial"/>
          <w:sz w:val="16"/>
          <w:szCs w:val="16"/>
          <w:lang w:val="en-GB" w:eastAsia="en-US"/>
        </w:rPr>
        <w:t xml:space="preserve"> </w:t>
      </w:r>
    </w:p>
    <w:p w:rsidR="006378A3" w:rsidRDefault="006378A3" w:rsidP="006378A3">
      <w:pPr>
        <w:autoSpaceDE w:val="0"/>
        <w:autoSpaceDN w:val="0"/>
        <w:adjustRightInd w:val="0"/>
        <w:spacing w:before="60" w:after="60" w:line="288" w:lineRule="auto"/>
        <w:ind w:firstLine="630"/>
        <w:jc w:val="both"/>
        <w:rPr>
          <w:rFonts w:eastAsia="Calibri" w:cs="Arial"/>
          <w:lang w:val="en-GB" w:eastAsia="en-US"/>
        </w:rPr>
      </w:pPr>
      <w:r>
        <w:rPr>
          <w:rFonts w:eastAsia="Calibri" w:cs="Arial"/>
          <w:lang w:val="en-GB" w:eastAsia="en-US"/>
        </w:rPr>
        <w:t>The major share in total NOx emissions is related to road transport (the exhaust gases) representing approx. 65% of the total county emissions in 2013, out of which approx. 55% is due to heavy traffic.</w:t>
      </w:r>
    </w:p>
    <w:p w:rsidR="006378A3" w:rsidRDefault="006378A3" w:rsidP="006378A3">
      <w:pPr>
        <w:autoSpaceDE w:val="0"/>
        <w:autoSpaceDN w:val="0"/>
        <w:adjustRightInd w:val="0"/>
        <w:spacing w:before="60" w:after="60" w:line="288" w:lineRule="auto"/>
        <w:ind w:firstLine="630"/>
        <w:jc w:val="both"/>
        <w:rPr>
          <w:rFonts w:eastAsia="Calibri" w:cs="Arial"/>
          <w:lang w:val="en-GB" w:eastAsia="en-US"/>
        </w:rPr>
      </w:pPr>
      <w:r>
        <w:rPr>
          <w:rFonts w:eastAsia="Calibri" w:cs="Arial"/>
          <w:lang w:val="en-GB" w:eastAsia="en-US"/>
        </w:rPr>
        <w:t>Other activities that contributed to the total NOx emissions in 2013 are:</w:t>
      </w:r>
    </w:p>
    <w:p w:rsidR="006378A3" w:rsidRDefault="006378A3" w:rsidP="006378A3">
      <w:pPr>
        <w:widowControl w:val="0"/>
        <w:numPr>
          <w:ilvl w:val="0"/>
          <w:numId w:val="14"/>
        </w:numPr>
        <w:autoSpaceDE w:val="0"/>
        <w:autoSpaceDN w:val="0"/>
        <w:adjustRightInd w:val="0"/>
        <w:spacing w:before="60" w:after="60" w:line="288" w:lineRule="auto"/>
        <w:ind w:left="1080"/>
        <w:jc w:val="both"/>
        <w:rPr>
          <w:rFonts w:eastAsia="Calibri" w:cs="Arial"/>
          <w:lang w:val="en-GB" w:eastAsia="en-US"/>
        </w:rPr>
      </w:pPr>
      <w:r>
        <w:rPr>
          <w:rFonts w:eastAsia="Calibri" w:cs="Arial"/>
          <w:lang w:val="en-GB" w:eastAsia="en-US"/>
        </w:rPr>
        <w:t>residential combustion plants , NFR code 1.A.4.bi with 14% from all county</w:t>
      </w:r>
    </w:p>
    <w:p w:rsidR="006378A3" w:rsidRDefault="006378A3" w:rsidP="006378A3">
      <w:pPr>
        <w:widowControl w:val="0"/>
        <w:numPr>
          <w:ilvl w:val="0"/>
          <w:numId w:val="14"/>
        </w:numPr>
        <w:autoSpaceDE w:val="0"/>
        <w:autoSpaceDN w:val="0"/>
        <w:adjustRightInd w:val="0"/>
        <w:spacing w:before="60" w:after="60" w:line="288" w:lineRule="auto"/>
        <w:jc w:val="both"/>
        <w:rPr>
          <w:rFonts w:eastAsia="Calibri" w:cs="Arial"/>
          <w:lang w:val="en-GB" w:eastAsia="en-US"/>
        </w:rPr>
      </w:pPr>
      <w:r>
        <w:rPr>
          <w:rFonts w:eastAsia="Calibri" w:cs="Arial"/>
          <w:lang w:val="en-GB" w:eastAsia="en-US"/>
        </w:rPr>
        <w:t>producing electricity and heat in combustion plants, of the SC TERMICA SA Suceava, code NFR 1.A.1.a, with 8,5% from all county;</w:t>
      </w:r>
    </w:p>
    <w:p w:rsidR="006378A3" w:rsidRDefault="006378A3" w:rsidP="006378A3">
      <w:pPr>
        <w:widowControl w:val="0"/>
        <w:numPr>
          <w:ilvl w:val="0"/>
          <w:numId w:val="14"/>
        </w:numPr>
        <w:autoSpaceDE w:val="0"/>
        <w:autoSpaceDN w:val="0"/>
        <w:adjustRightInd w:val="0"/>
        <w:spacing w:before="60" w:after="60" w:line="288" w:lineRule="auto"/>
        <w:jc w:val="both"/>
        <w:rPr>
          <w:rFonts w:eastAsia="Calibri" w:cs="Arial"/>
          <w:lang w:val="en-GB" w:eastAsia="en-US"/>
        </w:rPr>
      </w:pPr>
      <w:r>
        <w:rPr>
          <w:rFonts w:eastAsia="Calibri" w:cs="Arial"/>
          <w:lang w:val="en-GB" w:eastAsia="en-US"/>
        </w:rPr>
        <w:t>combustion in manufacturing industries and construction - other stationary sources;</w:t>
      </w:r>
      <w:r>
        <w:t xml:space="preserve"> </w:t>
      </w:r>
      <w:r>
        <w:rPr>
          <w:rFonts w:eastAsia="Calibri" w:cs="Arial"/>
          <w:lang w:val="en-GB" w:eastAsia="en-US"/>
        </w:rPr>
        <w:t>code NFR 1.A.2.f.i., with 5,7% from all county;</w:t>
      </w:r>
    </w:p>
    <w:p w:rsidR="006378A3" w:rsidRDefault="006378A3" w:rsidP="006378A3">
      <w:pPr>
        <w:widowControl w:val="0"/>
        <w:numPr>
          <w:ilvl w:val="0"/>
          <w:numId w:val="14"/>
        </w:numPr>
        <w:autoSpaceDE w:val="0"/>
        <w:autoSpaceDN w:val="0"/>
        <w:adjustRightInd w:val="0"/>
        <w:spacing w:before="60" w:after="60" w:line="288" w:lineRule="auto"/>
        <w:ind w:left="1080"/>
        <w:jc w:val="both"/>
        <w:rPr>
          <w:rFonts w:eastAsia="Calibri" w:cs="Arial"/>
          <w:lang w:val="en-GB" w:eastAsia="en-US"/>
        </w:rPr>
      </w:pPr>
      <w:r>
        <w:rPr>
          <w:rFonts w:eastAsia="Calibri" w:cs="Arial"/>
          <w:lang w:val="en-GB" w:eastAsia="en-US"/>
        </w:rPr>
        <w:lastRenderedPageBreak/>
        <w:t>Non-road mobile machinery and equipment manufacturing and construction industries, NFR code 1.A.2.f.ii. , with 4% .</w:t>
      </w:r>
    </w:p>
    <w:p w:rsidR="006378A3" w:rsidRDefault="006378A3" w:rsidP="006378A3">
      <w:pPr>
        <w:autoSpaceDE w:val="0"/>
        <w:autoSpaceDN w:val="0"/>
        <w:adjustRightInd w:val="0"/>
        <w:spacing w:before="60" w:after="60" w:line="288" w:lineRule="auto"/>
        <w:jc w:val="both"/>
        <w:rPr>
          <w:rFonts w:eastAsia="Calibri" w:cs="Arial"/>
          <w:bCs/>
          <w:i/>
          <w:lang w:val="en-GB" w:eastAsia="en-US"/>
        </w:rPr>
      </w:pPr>
    </w:p>
    <w:p w:rsidR="006378A3" w:rsidRDefault="006378A3" w:rsidP="006378A3">
      <w:pPr>
        <w:spacing w:before="60" w:after="60" w:line="288" w:lineRule="auto"/>
        <w:ind w:firstLine="630"/>
        <w:jc w:val="both"/>
        <w:rPr>
          <w:rFonts w:eastAsia="Calibri" w:cs="Arial"/>
          <w:i/>
          <w:lang w:val="en-GB" w:eastAsia="en-US"/>
        </w:rPr>
      </w:pPr>
      <w:r>
        <w:rPr>
          <w:rFonts w:eastAsia="Calibri" w:cs="Arial"/>
          <w:i/>
          <w:lang w:val="en-GB" w:eastAsia="en-US"/>
        </w:rPr>
        <w:t>Particulate matter</w:t>
      </w:r>
    </w:p>
    <w:p w:rsidR="006378A3" w:rsidRDefault="006378A3" w:rsidP="006378A3">
      <w:pPr>
        <w:spacing w:before="60" w:after="60" w:line="288" w:lineRule="auto"/>
        <w:ind w:firstLine="630"/>
        <w:jc w:val="both"/>
        <w:rPr>
          <w:rFonts w:eastAsia="Calibri" w:cs="Arial"/>
          <w:i/>
          <w:lang w:val="en-GB" w:eastAsia="en-US"/>
        </w:rPr>
      </w:pPr>
    </w:p>
    <w:p w:rsidR="006378A3" w:rsidRDefault="006378A3" w:rsidP="006378A3">
      <w:pPr>
        <w:widowControl w:val="0"/>
        <w:spacing w:before="60" w:after="60" w:line="288" w:lineRule="auto"/>
        <w:ind w:firstLine="630"/>
        <w:jc w:val="both"/>
        <w:rPr>
          <w:rFonts w:eastAsia="Calibri" w:cs="Arial"/>
          <w:lang w:val="en-GB" w:eastAsia="en-US"/>
        </w:rPr>
      </w:pPr>
      <w:r>
        <w:rPr>
          <w:rFonts w:eastAsia="Calibri" w:cs="Arial"/>
          <w:lang w:val="en-GB" w:eastAsia="en-US"/>
        </w:rPr>
        <w:t>About 96 % of total particulate emissions inventory in 2013 in the county come from residential installations for heating and cooking (area sources) included in NFR code 1.A.4.bi, mainly from burning wood. The contribution of emissions from road transport was about 2.3 % for PM10 particulates and 2% for PM2.5 fraction.</w:t>
      </w:r>
    </w:p>
    <w:p w:rsidR="006378A3" w:rsidRDefault="006378A3" w:rsidP="006378A3">
      <w:pPr>
        <w:widowControl w:val="0"/>
        <w:spacing w:before="60" w:after="60" w:line="288" w:lineRule="auto"/>
        <w:ind w:firstLine="630"/>
        <w:jc w:val="both"/>
        <w:rPr>
          <w:rFonts w:eastAsia="Calibri" w:cs="Arial"/>
          <w:lang w:val="en-GB" w:eastAsia="en-US"/>
        </w:rPr>
      </w:pPr>
    </w:p>
    <w:p w:rsidR="006378A3" w:rsidRDefault="006378A3" w:rsidP="006378A3">
      <w:pPr>
        <w:autoSpaceDE w:val="0"/>
        <w:autoSpaceDN w:val="0"/>
        <w:adjustRightInd w:val="0"/>
        <w:spacing w:before="60" w:after="60" w:line="288" w:lineRule="auto"/>
        <w:ind w:left="360"/>
        <w:jc w:val="center"/>
        <w:rPr>
          <w:rFonts w:eastAsia="Calibri" w:cs="Arial"/>
          <w:b/>
          <w:bCs/>
          <w:i/>
          <w:sz w:val="22"/>
          <w:szCs w:val="22"/>
          <w:lang w:val="en-GB" w:eastAsia="en-US"/>
        </w:rPr>
      </w:pPr>
      <w:r>
        <w:rPr>
          <w:rFonts w:eastAsia="Calibri" w:cs="Arial"/>
          <w:b/>
          <w:bCs/>
          <w:i/>
          <w:sz w:val="22"/>
          <w:szCs w:val="22"/>
          <w:lang w:val="en-GB" w:eastAsia="en-US"/>
        </w:rPr>
        <w:t xml:space="preserve">Table 4.4.3 </w:t>
      </w:r>
      <w:r>
        <w:rPr>
          <w:rFonts w:eastAsia="Calibri" w:cs="Arial"/>
          <w:bCs/>
          <w:sz w:val="22"/>
          <w:szCs w:val="22"/>
          <w:lang w:val="en-GB" w:eastAsia="en-US"/>
        </w:rPr>
        <w:t>Quantities of particulate matter emitted to air</w:t>
      </w:r>
    </w:p>
    <w:tbl>
      <w:tblPr>
        <w:tblW w:w="7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54"/>
        <w:gridCol w:w="1855"/>
        <w:gridCol w:w="1855"/>
        <w:gridCol w:w="1855"/>
      </w:tblGrid>
      <w:tr w:rsidR="006378A3" w:rsidTr="002E01ED">
        <w:trPr>
          <w:trHeight w:hRule="exact" w:val="1162"/>
          <w:tblHeader/>
          <w:jc w:val="center"/>
        </w:trPr>
        <w:tc>
          <w:tcPr>
            <w:tcW w:w="1854" w:type="dxa"/>
            <w:shd w:val="clear" w:color="auto" w:fill="auto"/>
          </w:tcPr>
          <w:p w:rsidR="006378A3" w:rsidRDefault="006378A3" w:rsidP="002E01ED">
            <w:pPr>
              <w:widowControl w:val="0"/>
              <w:tabs>
                <w:tab w:val="center" w:pos="4680"/>
                <w:tab w:val="right" w:pos="9360"/>
              </w:tabs>
              <w:spacing w:after="200" w:line="276" w:lineRule="auto"/>
              <w:jc w:val="both"/>
              <w:rPr>
                <w:rFonts w:eastAsia="Calibri" w:cs="Arial"/>
                <w:b/>
                <w:sz w:val="22"/>
                <w:szCs w:val="22"/>
                <w:lang w:val="en-GB" w:eastAsia="en-US"/>
              </w:rPr>
            </w:pPr>
            <w:r>
              <w:rPr>
                <w:rFonts w:eastAsia="Calibri" w:cs="Arial"/>
                <w:b/>
                <w:sz w:val="22"/>
                <w:szCs w:val="22"/>
                <w:lang w:val="en-GB" w:eastAsia="en-US"/>
              </w:rPr>
              <w:t>Year</w:t>
            </w:r>
          </w:p>
        </w:tc>
        <w:tc>
          <w:tcPr>
            <w:tcW w:w="1855" w:type="dxa"/>
            <w:shd w:val="clear" w:color="auto" w:fill="auto"/>
          </w:tcPr>
          <w:p w:rsidR="006378A3" w:rsidRDefault="006378A3" w:rsidP="002E01ED">
            <w:pPr>
              <w:spacing w:after="200" w:line="276" w:lineRule="auto"/>
              <w:jc w:val="both"/>
              <w:rPr>
                <w:rFonts w:eastAsia="Calibri" w:cs="Arial"/>
                <w:b/>
                <w:sz w:val="22"/>
                <w:szCs w:val="22"/>
                <w:lang w:val="en-GB" w:eastAsia="en-US"/>
              </w:rPr>
            </w:pPr>
            <w:r>
              <w:rPr>
                <w:rFonts w:eastAsia="Calibri" w:cs="Arial"/>
                <w:b/>
                <w:sz w:val="22"/>
                <w:szCs w:val="22"/>
                <w:lang w:val="en-GB" w:eastAsia="en-US"/>
              </w:rPr>
              <w:t>Particulate Matter</w:t>
            </w:r>
          </w:p>
        </w:tc>
        <w:tc>
          <w:tcPr>
            <w:tcW w:w="1855" w:type="dxa"/>
            <w:shd w:val="clear" w:color="auto" w:fill="auto"/>
            <w:noWrap/>
          </w:tcPr>
          <w:p w:rsidR="006378A3" w:rsidRDefault="006378A3" w:rsidP="002E01ED">
            <w:pPr>
              <w:spacing w:after="200" w:line="276" w:lineRule="auto"/>
              <w:jc w:val="both"/>
              <w:rPr>
                <w:rFonts w:eastAsia="Calibri" w:cs="Arial"/>
                <w:b/>
                <w:sz w:val="22"/>
                <w:szCs w:val="22"/>
                <w:lang w:val="en-GB" w:eastAsia="en-US"/>
              </w:rPr>
            </w:pPr>
            <w:r>
              <w:rPr>
                <w:rFonts w:eastAsia="Calibri" w:cs="Arial"/>
                <w:b/>
                <w:sz w:val="22"/>
                <w:szCs w:val="22"/>
                <w:lang w:val="en-GB" w:eastAsia="en-US"/>
              </w:rPr>
              <w:t>PM2,5 particulate matter</w:t>
            </w:r>
          </w:p>
        </w:tc>
        <w:tc>
          <w:tcPr>
            <w:tcW w:w="1855" w:type="dxa"/>
            <w:shd w:val="clear" w:color="auto" w:fill="auto"/>
            <w:noWrap/>
          </w:tcPr>
          <w:p w:rsidR="006378A3" w:rsidRDefault="006378A3" w:rsidP="002E01ED">
            <w:pPr>
              <w:spacing w:after="200" w:line="276" w:lineRule="auto"/>
              <w:jc w:val="both"/>
              <w:rPr>
                <w:rFonts w:eastAsia="Calibri" w:cs="Arial"/>
                <w:b/>
                <w:sz w:val="22"/>
                <w:szCs w:val="22"/>
                <w:lang w:val="en-GB" w:eastAsia="en-US"/>
              </w:rPr>
            </w:pPr>
            <w:r>
              <w:rPr>
                <w:rFonts w:eastAsia="Calibri" w:cs="Arial"/>
                <w:b/>
                <w:sz w:val="22"/>
                <w:szCs w:val="22"/>
                <w:lang w:val="en-GB" w:eastAsia="en-US"/>
              </w:rPr>
              <w:t>PM10 particulate matter</w:t>
            </w:r>
          </w:p>
        </w:tc>
      </w:tr>
      <w:tr w:rsidR="006378A3" w:rsidTr="002E01ED">
        <w:trPr>
          <w:trHeight w:hRule="exact" w:val="454"/>
          <w:jc w:val="center"/>
        </w:trPr>
        <w:tc>
          <w:tcPr>
            <w:tcW w:w="1854" w:type="dxa"/>
            <w:shd w:val="clear" w:color="auto" w:fill="auto"/>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2011</w:t>
            </w:r>
          </w:p>
        </w:tc>
        <w:tc>
          <w:tcPr>
            <w:tcW w:w="1855" w:type="dxa"/>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3843</w:t>
            </w:r>
          </w:p>
        </w:tc>
        <w:tc>
          <w:tcPr>
            <w:tcW w:w="1855" w:type="dxa"/>
            <w:shd w:val="clear" w:color="auto" w:fill="auto"/>
            <w:noWrap/>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3674</w:t>
            </w:r>
          </w:p>
        </w:tc>
        <w:tc>
          <w:tcPr>
            <w:tcW w:w="1855" w:type="dxa"/>
            <w:shd w:val="clear" w:color="auto" w:fill="auto"/>
            <w:noWrap/>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3887</w:t>
            </w:r>
          </w:p>
        </w:tc>
      </w:tr>
      <w:tr w:rsidR="006378A3" w:rsidTr="002E01ED">
        <w:trPr>
          <w:trHeight w:hRule="exact" w:val="454"/>
          <w:jc w:val="center"/>
        </w:trPr>
        <w:tc>
          <w:tcPr>
            <w:tcW w:w="1854" w:type="dxa"/>
            <w:shd w:val="clear" w:color="auto" w:fill="auto"/>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2012</w:t>
            </w:r>
          </w:p>
        </w:tc>
        <w:tc>
          <w:tcPr>
            <w:tcW w:w="1855" w:type="dxa"/>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1387</w:t>
            </w:r>
          </w:p>
        </w:tc>
        <w:tc>
          <w:tcPr>
            <w:tcW w:w="1855" w:type="dxa"/>
            <w:shd w:val="clear" w:color="auto" w:fill="auto"/>
            <w:noWrap/>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1246</w:t>
            </w:r>
          </w:p>
        </w:tc>
        <w:tc>
          <w:tcPr>
            <w:tcW w:w="1855" w:type="dxa"/>
            <w:shd w:val="clear" w:color="auto" w:fill="auto"/>
            <w:noWrap/>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1284</w:t>
            </w:r>
          </w:p>
        </w:tc>
      </w:tr>
      <w:tr w:rsidR="006378A3" w:rsidTr="002E01ED">
        <w:trPr>
          <w:trHeight w:hRule="exact" w:val="454"/>
          <w:jc w:val="center"/>
        </w:trPr>
        <w:tc>
          <w:tcPr>
            <w:tcW w:w="1854" w:type="dxa"/>
            <w:shd w:val="clear" w:color="auto" w:fill="auto"/>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2013</w:t>
            </w:r>
          </w:p>
        </w:tc>
        <w:tc>
          <w:tcPr>
            <w:tcW w:w="1855" w:type="dxa"/>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4606</w:t>
            </w:r>
          </w:p>
        </w:tc>
        <w:tc>
          <w:tcPr>
            <w:tcW w:w="1855" w:type="dxa"/>
            <w:shd w:val="clear" w:color="auto" w:fill="auto"/>
            <w:noWrap/>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4378</w:t>
            </w:r>
          </w:p>
        </w:tc>
        <w:tc>
          <w:tcPr>
            <w:tcW w:w="1855" w:type="dxa"/>
            <w:shd w:val="clear" w:color="auto" w:fill="auto"/>
            <w:noWrap/>
          </w:tcPr>
          <w:p w:rsidR="006378A3" w:rsidRDefault="006378A3" w:rsidP="002E01ED">
            <w:pPr>
              <w:spacing w:after="200" w:line="276" w:lineRule="auto"/>
              <w:jc w:val="both"/>
              <w:rPr>
                <w:rFonts w:eastAsia="Calibri" w:cs="Arial"/>
                <w:bCs/>
                <w:sz w:val="22"/>
                <w:szCs w:val="22"/>
                <w:lang w:val="en-GB" w:eastAsia="en-US"/>
              </w:rPr>
            </w:pPr>
            <w:r>
              <w:rPr>
                <w:rFonts w:eastAsia="Calibri" w:cs="Arial"/>
                <w:bCs/>
                <w:sz w:val="22"/>
                <w:szCs w:val="22"/>
                <w:lang w:val="en-GB" w:eastAsia="en-US"/>
              </w:rPr>
              <w:t>4680</w:t>
            </w:r>
          </w:p>
        </w:tc>
      </w:tr>
    </w:tbl>
    <w:p w:rsidR="006378A3" w:rsidRDefault="006378A3" w:rsidP="006378A3">
      <w:pPr>
        <w:widowControl w:val="0"/>
        <w:spacing w:before="60" w:after="60" w:line="288" w:lineRule="auto"/>
        <w:ind w:firstLine="720"/>
        <w:jc w:val="both"/>
        <w:rPr>
          <w:rFonts w:eastAsia="Calibri" w:cs="Arial"/>
          <w:lang w:val="en-GB" w:eastAsia="en-US"/>
        </w:rPr>
      </w:pPr>
      <w:r>
        <w:rPr>
          <w:rFonts w:eastAsia="Calibri" w:cs="Arial"/>
          <w:sz w:val="16"/>
          <w:szCs w:val="16"/>
          <w:lang w:val="en-GB" w:eastAsia="en-US"/>
        </w:rPr>
        <w:t xml:space="preserve">* Lower values of the particulate emmissions in 2012 are due to lack of reporting by 2/3 of the county town halls of the wood usage by the population of the respective localities (moast of them located in rural areas) </w:t>
      </w:r>
      <w:r>
        <w:rPr>
          <w:rFonts w:eastAsia="Calibri" w:cs="Arial"/>
          <w:lang w:val="en-GB" w:eastAsia="en-US"/>
        </w:rPr>
        <w:t>In 2013 air quality monitoring was performed in Suceava with four automatic monitoring stations belonging to the National Network for Monitoring Air Quality, the following pollutants regulated by Law no. 104/2011 and meteorological parameters:</w:t>
      </w:r>
    </w:p>
    <w:p w:rsidR="006378A3" w:rsidRPr="0088539B" w:rsidRDefault="006378A3" w:rsidP="006378A3">
      <w:pPr>
        <w:pStyle w:val="ListParagraph"/>
        <w:widowControl w:val="0"/>
        <w:numPr>
          <w:ilvl w:val="0"/>
          <w:numId w:val="115"/>
        </w:numPr>
        <w:spacing w:line="288" w:lineRule="auto"/>
        <w:rPr>
          <w:rFonts w:eastAsia="Calibri" w:cs="Arial"/>
          <w:lang w:val="en-GB" w:eastAsia="en-US"/>
        </w:rPr>
      </w:pPr>
      <w:r w:rsidRPr="0088539B">
        <w:rPr>
          <w:rFonts w:eastAsia="Calibri" w:cs="Arial"/>
          <w:lang w:val="en-GB" w:eastAsia="en-US"/>
        </w:rPr>
        <w:t>SV1 urban background station: sulfur dioxide (SO</w:t>
      </w:r>
      <w:r w:rsidRPr="0088539B">
        <w:rPr>
          <w:rFonts w:eastAsia="Calibri" w:cs="Arial"/>
          <w:vertAlign w:val="subscript"/>
          <w:lang w:val="en-GB" w:eastAsia="en-US"/>
        </w:rPr>
        <w:t>2</w:t>
      </w:r>
      <w:r w:rsidRPr="0088539B">
        <w:rPr>
          <w:rFonts w:eastAsia="Calibri" w:cs="Arial"/>
          <w:lang w:val="en-GB" w:eastAsia="en-US"/>
        </w:rPr>
        <w:t>), nitrogen oxides (NO, NO</w:t>
      </w:r>
      <w:r w:rsidRPr="0088539B">
        <w:rPr>
          <w:rFonts w:eastAsia="Calibri" w:cs="Arial"/>
          <w:vertAlign w:val="subscript"/>
          <w:lang w:val="en-GB" w:eastAsia="en-US"/>
        </w:rPr>
        <w:t>2</w:t>
      </w:r>
      <w:r w:rsidRPr="0088539B">
        <w:rPr>
          <w:rFonts w:eastAsia="Calibri" w:cs="Arial"/>
          <w:lang w:val="en-GB" w:eastAsia="en-US"/>
        </w:rPr>
        <w:t>, NO</w:t>
      </w:r>
      <w:r w:rsidRPr="0088539B">
        <w:rPr>
          <w:rFonts w:eastAsia="Calibri" w:cs="Arial"/>
          <w:vertAlign w:val="subscript"/>
          <w:lang w:val="en-GB" w:eastAsia="en-US"/>
        </w:rPr>
        <w:t>x</w:t>
      </w:r>
      <w:r w:rsidRPr="0088539B">
        <w:rPr>
          <w:rFonts w:eastAsia="Calibri" w:cs="Arial"/>
          <w:lang w:val="en-GB" w:eastAsia="en-US"/>
        </w:rPr>
        <w:t>), carbon monoxide (CO), ozone (O</w:t>
      </w:r>
      <w:r w:rsidRPr="0088539B">
        <w:rPr>
          <w:rFonts w:eastAsia="Calibri" w:cs="Arial"/>
          <w:vertAlign w:val="subscript"/>
          <w:lang w:val="en-GB" w:eastAsia="en-US"/>
        </w:rPr>
        <w:t>3</w:t>
      </w:r>
      <w:r w:rsidRPr="0088539B">
        <w:rPr>
          <w:rFonts w:eastAsia="Calibri" w:cs="Arial"/>
          <w:lang w:val="en-GB" w:eastAsia="en-US"/>
        </w:rPr>
        <w:t>), benzene (C</w:t>
      </w:r>
      <w:r w:rsidRPr="0088539B">
        <w:rPr>
          <w:rFonts w:eastAsia="Calibri" w:cs="Arial"/>
          <w:vertAlign w:val="subscript"/>
          <w:lang w:val="en-GB" w:eastAsia="en-US"/>
        </w:rPr>
        <w:t>6</w:t>
      </w:r>
      <w:r w:rsidRPr="0088539B">
        <w:rPr>
          <w:rFonts w:eastAsia="Calibri" w:cs="Arial"/>
          <w:lang w:val="en-GB" w:eastAsia="en-US"/>
        </w:rPr>
        <w:t>H</w:t>
      </w:r>
      <w:r w:rsidRPr="0088539B">
        <w:rPr>
          <w:rFonts w:eastAsia="Calibri" w:cs="Arial"/>
          <w:vertAlign w:val="subscript"/>
          <w:lang w:val="en-GB" w:eastAsia="en-US"/>
        </w:rPr>
        <w:t>6</w:t>
      </w:r>
      <w:r w:rsidRPr="0088539B">
        <w:rPr>
          <w:rFonts w:eastAsia="Calibri" w:cs="Arial"/>
          <w:lang w:val="en-GB" w:eastAsia="en-US"/>
        </w:rPr>
        <w:t>), toluene, ethylbenzene, o-, m- , p-xylene, particulate matter PM</w:t>
      </w:r>
      <w:r w:rsidRPr="0088539B">
        <w:rPr>
          <w:rFonts w:eastAsia="Calibri" w:cs="Arial"/>
          <w:vertAlign w:val="subscript"/>
          <w:lang w:val="en-GB" w:eastAsia="en-US"/>
        </w:rPr>
        <w:t>2.5</w:t>
      </w:r>
      <w:r w:rsidRPr="0088539B">
        <w:rPr>
          <w:rFonts w:eastAsia="Calibri" w:cs="Arial"/>
          <w:lang w:val="en-GB" w:eastAsia="en-US"/>
        </w:rPr>
        <w:t xml:space="preserve"> (gravimetric), PM</w:t>
      </w:r>
      <w:r w:rsidRPr="0088539B">
        <w:rPr>
          <w:rFonts w:eastAsia="Calibri" w:cs="Arial"/>
          <w:vertAlign w:val="subscript"/>
          <w:lang w:val="en-GB" w:eastAsia="en-US"/>
        </w:rPr>
        <w:t>10</w:t>
      </w:r>
      <w:r w:rsidRPr="0088539B">
        <w:rPr>
          <w:rFonts w:eastAsia="Calibri" w:cs="Arial"/>
          <w:lang w:val="en-GB" w:eastAsia="en-US"/>
        </w:rPr>
        <w:t xml:space="preserve"> (gravimetric and automatic) and meteorological parameters (wind speed and direction, pressure, temperature, solar radiation, relative humidity, precipitation).</w:t>
      </w:r>
    </w:p>
    <w:p w:rsidR="006378A3" w:rsidRPr="0088539B" w:rsidRDefault="006378A3" w:rsidP="006378A3">
      <w:pPr>
        <w:pStyle w:val="ListParagraph"/>
        <w:widowControl w:val="0"/>
        <w:numPr>
          <w:ilvl w:val="0"/>
          <w:numId w:val="115"/>
        </w:numPr>
        <w:spacing w:line="288" w:lineRule="auto"/>
        <w:rPr>
          <w:rFonts w:eastAsia="Calibri" w:cs="Arial"/>
          <w:lang w:val="en-GB" w:eastAsia="en-US"/>
        </w:rPr>
      </w:pPr>
      <w:r w:rsidRPr="0088539B">
        <w:rPr>
          <w:rFonts w:eastAsia="Calibri" w:cs="Arial"/>
          <w:lang w:val="en-GB" w:eastAsia="en-US"/>
        </w:rPr>
        <w:t>SV2 industrial station: sulfur dioxide (SO</w:t>
      </w:r>
      <w:r w:rsidRPr="0088539B">
        <w:rPr>
          <w:rFonts w:eastAsia="Calibri" w:cs="Arial"/>
          <w:vertAlign w:val="subscript"/>
          <w:lang w:val="en-GB" w:eastAsia="en-US"/>
        </w:rPr>
        <w:t>2</w:t>
      </w:r>
      <w:r w:rsidRPr="0088539B">
        <w:rPr>
          <w:rFonts w:eastAsia="Calibri" w:cs="Arial"/>
          <w:lang w:val="en-GB" w:eastAsia="en-US"/>
        </w:rPr>
        <w:t>), nitrogen oxides (NO, NO</w:t>
      </w:r>
      <w:r w:rsidRPr="0088539B">
        <w:rPr>
          <w:rFonts w:eastAsia="Calibri" w:cs="Arial"/>
          <w:vertAlign w:val="subscript"/>
          <w:lang w:val="en-GB" w:eastAsia="en-US"/>
        </w:rPr>
        <w:t>2</w:t>
      </w:r>
      <w:r w:rsidRPr="0088539B">
        <w:rPr>
          <w:rFonts w:eastAsia="Calibri" w:cs="Arial"/>
          <w:lang w:val="en-GB" w:eastAsia="en-US"/>
        </w:rPr>
        <w:t>, NO</w:t>
      </w:r>
      <w:r w:rsidRPr="0088539B">
        <w:rPr>
          <w:rFonts w:eastAsia="Calibri" w:cs="Arial"/>
          <w:vertAlign w:val="subscript"/>
          <w:lang w:val="en-GB" w:eastAsia="en-US"/>
        </w:rPr>
        <w:t>x</w:t>
      </w:r>
      <w:r w:rsidRPr="0088539B">
        <w:rPr>
          <w:rFonts w:eastAsia="Calibri" w:cs="Arial"/>
          <w:lang w:val="en-GB" w:eastAsia="en-US"/>
        </w:rPr>
        <w:t>), particulate matter PM</w:t>
      </w:r>
      <w:r w:rsidRPr="0088539B">
        <w:rPr>
          <w:rFonts w:eastAsia="Calibri" w:cs="Arial"/>
          <w:vertAlign w:val="subscript"/>
          <w:lang w:val="en-GB" w:eastAsia="en-US"/>
        </w:rPr>
        <w:t>10</w:t>
      </w:r>
      <w:r w:rsidRPr="0088539B">
        <w:rPr>
          <w:rFonts w:eastAsia="Calibri" w:cs="Arial"/>
          <w:lang w:val="en-GB" w:eastAsia="en-US"/>
        </w:rPr>
        <w:t xml:space="preserve"> (gravimetric) and meteorological parameters (wind speed and direction, pressure, temperature, solar radiation, relative humidity, precipitation).</w:t>
      </w:r>
    </w:p>
    <w:p w:rsidR="006378A3" w:rsidRPr="0088539B" w:rsidRDefault="006378A3" w:rsidP="006378A3">
      <w:pPr>
        <w:pStyle w:val="ListParagraph"/>
        <w:widowControl w:val="0"/>
        <w:numPr>
          <w:ilvl w:val="0"/>
          <w:numId w:val="115"/>
        </w:numPr>
        <w:spacing w:line="288" w:lineRule="auto"/>
        <w:rPr>
          <w:rFonts w:eastAsia="Calibri" w:cs="Arial"/>
          <w:lang w:val="en-GB" w:eastAsia="en-US"/>
        </w:rPr>
      </w:pPr>
      <w:r w:rsidRPr="0088539B">
        <w:rPr>
          <w:rFonts w:eastAsia="Calibri" w:cs="Arial"/>
          <w:lang w:val="en-GB" w:eastAsia="en-US"/>
        </w:rPr>
        <w:t>SV3 traffic station: nitrogen oxides (NO, NO</w:t>
      </w:r>
      <w:r w:rsidRPr="0088539B">
        <w:rPr>
          <w:rFonts w:eastAsia="Calibri" w:cs="Arial"/>
          <w:vertAlign w:val="subscript"/>
          <w:lang w:val="en-GB" w:eastAsia="en-US"/>
        </w:rPr>
        <w:t>2</w:t>
      </w:r>
      <w:r w:rsidRPr="0088539B">
        <w:rPr>
          <w:rFonts w:eastAsia="Calibri" w:cs="Arial"/>
          <w:lang w:val="en-GB" w:eastAsia="en-US"/>
        </w:rPr>
        <w:t>, NO</w:t>
      </w:r>
      <w:r w:rsidRPr="0088539B">
        <w:rPr>
          <w:rFonts w:eastAsia="Calibri" w:cs="Arial"/>
          <w:vertAlign w:val="subscript"/>
          <w:lang w:val="en-GB" w:eastAsia="en-US"/>
        </w:rPr>
        <w:t>x</w:t>
      </w:r>
      <w:r w:rsidRPr="0088539B">
        <w:rPr>
          <w:rFonts w:eastAsia="Calibri" w:cs="Arial"/>
          <w:lang w:val="en-GB" w:eastAsia="en-US"/>
        </w:rPr>
        <w:t>), particulate matter  PM</w:t>
      </w:r>
      <w:r w:rsidRPr="0088539B">
        <w:rPr>
          <w:rFonts w:eastAsia="Calibri" w:cs="Arial"/>
          <w:vertAlign w:val="subscript"/>
          <w:lang w:val="en-GB" w:eastAsia="en-US"/>
        </w:rPr>
        <w:t>10</w:t>
      </w:r>
      <w:r w:rsidRPr="0088539B">
        <w:rPr>
          <w:rFonts w:eastAsia="Calibri" w:cs="Arial"/>
          <w:lang w:val="en-GB" w:eastAsia="en-US"/>
        </w:rPr>
        <w:t xml:space="preserve"> (gravimetric and automatic) and meteorological parameters (wind speed and direction, pressure, temperature, solar radiation, relative humidity, precipitation).</w:t>
      </w:r>
    </w:p>
    <w:p w:rsidR="006378A3" w:rsidRPr="0088539B" w:rsidRDefault="006378A3" w:rsidP="006378A3">
      <w:pPr>
        <w:pStyle w:val="ListParagraph"/>
        <w:widowControl w:val="0"/>
        <w:numPr>
          <w:ilvl w:val="0"/>
          <w:numId w:val="115"/>
        </w:numPr>
        <w:spacing w:line="288" w:lineRule="auto"/>
        <w:rPr>
          <w:rFonts w:eastAsia="Calibri" w:cs="Arial"/>
          <w:lang w:val="en-GB" w:eastAsia="en-US"/>
        </w:rPr>
      </w:pPr>
      <w:r w:rsidRPr="0088539B">
        <w:rPr>
          <w:rFonts w:eastAsia="Calibri" w:cs="Arial"/>
          <w:lang w:val="en-GB" w:eastAsia="en-US"/>
        </w:rPr>
        <w:t>EM-3 regional background station: sulfur dioxide (SO</w:t>
      </w:r>
      <w:r w:rsidRPr="0088539B">
        <w:rPr>
          <w:rFonts w:eastAsia="Calibri" w:cs="Arial"/>
          <w:vertAlign w:val="subscript"/>
          <w:lang w:val="en-GB" w:eastAsia="en-US"/>
        </w:rPr>
        <w:t>2</w:t>
      </w:r>
      <w:r w:rsidRPr="0088539B">
        <w:rPr>
          <w:rFonts w:eastAsia="Calibri" w:cs="Arial"/>
          <w:lang w:val="en-GB" w:eastAsia="en-US"/>
        </w:rPr>
        <w:t>), nitrogen oxides (NO, NO</w:t>
      </w:r>
      <w:r w:rsidRPr="0088539B">
        <w:rPr>
          <w:rFonts w:eastAsia="Calibri" w:cs="Arial"/>
          <w:vertAlign w:val="subscript"/>
          <w:lang w:val="en-GB" w:eastAsia="en-US"/>
        </w:rPr>
        <w:t>2</w:t>
      </w:r>
      <w:r w:rsidRPr="0088539B">
        <w:rPr>
          <w:rFonts w:eastAsia="Calibri" w:cs="Arial"/>
          <w:lang w:val="en-GB" w:eastAsia="en-US"/>
        </w:rPr>
        <w:t>, NO</w:t>
      </w:r>
      <w:r w:rsidRPr="0088539B">
        <w:rPr>
          <w:rFonts w:eastAsia="Calibri" w:cs="Arial"/>
          <w:vertAlign w:val="subscript"/>
          <w:lang w:val="en-GB" w:eastAsia="en-US"/>
        </w:rPr>
        <w:t>x</w:t>
      </w:r>
      <w:r w:rsidRPr="0088539B">
        <w:rPr>
          <w:rFonts w:eastAsia="Calibri" w:cs="Arial"/>
          <w:lang w:val="en-GB" w:eastAsia="en-US"/>
        </w:rPr>
        <w:t>), ozone (O</w:t>
      </w:r>
      <w:r w:rsidRPr="0088539B">
        <w:rPr>
          <w:rFonts w:eastAsia="Calibri" w:cs="Arial"/>
          <w:vertAlign w:val="subscript"/>
          <w:lang w:val="en-GB" w:eastAsia="en-US"/>
        </w:rPr>
        <w:t>3</w:t>
      </w:r>
      <w:r w:rsidRPr="0088539B">
        <w:rPr>
          <w:rFonts w:eastAsia="Calibri" w:cs="Arial"/>
          <w:lang w:val="en-GB" w:eastAsia="en-US"/>
        </w:rPr>
        <w:t>), particulate matter PM</w:t>
      </w:r>
      <w:r w:rsidRPr="0088539B">
        <w:rPr>
          <w:rFonts w:eastAsia="Calibri" w:cs="Arial"/>
          <w:vertAlign w:val="subscript"/>
          <w:lang w:val="en-GB" w:eastAsia="en-US"/>
        </w:rPr>
        <w:t>10</w:t>
      </w:r>
      <w:r w:rsidRPr="0088539B">
        <w:rPr>
          <w:rFonts w:eastAsia="Calibri" w:cs="Arial"/>
          <w:lang w:val="en-GB" w:eastAsia="en-US"/>
        </w:rPr>
        <w:t xml:space="preserve"> (gravimetric) and meteorological parameters (wind speed and direction, pressure, temperature, solar radiation, relative humidity, precipitation).</w:t>
      </w:r>
    </w:p>
    <w:p w:rsidR="006378A3" w:rsidRDefault="006378A3" w:rsidP="006378A3">
      <w:pPr>
        <w:widowControl w:val="0"/>
        <w:spacing w:before="60" w:after="60" w:line="288" w:lineRule="auto"/>
        <w:ind w:firstLine="720"/>
        <w:jc w:val="both"/>
        <w:rPr>
          <w:rFonts w:eastAsia="Calibri" w:cs="Arial"/>
          <w:lang w:val="en-GB" w:eastAsia="en-US"/>
        </w:rPr>
      </w:pPr>
    </w:p>
    <w:p w:rsidR="006378A3" w:rsidRDefault="006378A3" w:rsidP="006378A3">
      <w:pPr>
        <w:autoSpaceDE w:val="0"/>
        <w:autoSpaceDN w:val="0"/>
        <w:adjustRightInd w:val="0"/>
        <w:spacing w:before="60" w:after="60" w:line="288" w:lineRule="auto"/>
        <w:jc w:val="both"/>
        <w:rPr>
          <w:rFonts w:eastAsia="Calibri" w:cs="Arial"/>
          <w:bCs/>
          <w:lang w:val="en-GB" w:eastAsia="en-US"/>
        </w:rPr>
      </w:pPr>
    </w:p>
    <w:p w:rsidR="006378A3" w:rsidRDefault="006378A3" w:rsidP="006378A3">
      <w:pPr>
        <w:widowControl w:val="0"/>
        <w:spacing w:before="60" w:after="60" w:line="288" w:lineRule="auto"/>
        <w:ind w:firstLine="720"/>
        <w:jc w:val="both"/>
        <w:rPr>
          <w:rFonts w:eastAsia="Calibri" w:cs="Arial"/>
          <w:bCs/>
          <w:i/>
          <w:lang w:val="en-GB" w:eastAsia="en-US"/>
        </w:rPr>
      </w:pPr>
      <w:r>
        <w:rPr>
          <w:rFonts w:eastAsia="Calibri" w:cs="Arial"/>
          <w:i/>
          <w:lang w:val="en-GB" w:eastAsia="en-US"/>
        </w:rPr>
        <w:t xml:space="preserve">Sulphur dioxide </w:t>
      </w:r>
      <w:r>
        <w:rPr>
          <w:rFonts w:eastAsia="Calibri" w:cs="Arial"/>
          <w:bCs/>
          <w:i/>
          <w:lang w:val="en-GB" w:eastAsia="en-US"/>
        </w:rPr>
        <w:t>(SO</w:t>
      </w:r>
      <w:r>
        <w:rPr>
          <w:rFonts w:eastAsia="Calibri" w:cs="Arial"/>
          <w:bCs/>
          <w:i/>
          <w:vertAlign w:val="subscript"/>
          <w:lang w:val="en-GB" w:eastAsia="en-US"/>
        </w:rPr>
        <w:t>2</w:t>
      </w:r>
      <w:r>
        <w:rPr>
          <w:rFonts w:eastAsia="Calibri" w:cs="Arial"/>
          <w:bCs/>
          <w:i/>
          <w:lang w:val="en-GB" w:eastAsia="en-US"/>
        </w:rPr>
        <w:t>)</w:t>
      </w:r>
    </w:p>
    <w:p w:rsidR="006378A3" w:rsidRDefault="006378A3" w:rsidP="006378A3">
      <w:pPr>
        <w:widowControl w:val="0"/>
        <w:spacing w:before="60" w:after="60" w:line="288" w:lineRule="auto"/>
        <w:ind w:firstLine="720"/>
        <w:jc w:val="both"/>
        <w:rPr>
          <w:rFonts w:eastAsia="Calibri" w:cs="Arial"/>
          <w:lang w:val="en-GB" w:eastAsia="en-US"/>
        </w:rPr>
      </w:pPr>
      <w:r>
        <w:rPr>
          <w:rFonts w:eastAsia="Calibri" w:cs="Arial"/>
          <w:lang w:val="en-GB" w:eastAsia="en-US"/>
        </w:rPr>
        <w:lastRenderedPageBreak/>
        <w:t xml:space="preserve">Measurements from 2013 to sulphur dioxide showed that the air quality in this region was excellent too good at SV2 Suceava stations and excellent at EM3 Poiana Stampei.  </w:t>
      </w:r>
    </w:p>
    <w:p w:rsidR="006378A3" w:rsidRDefault="006378A3" w:rsidP="006378A3">
      <w:pPr>
        <w:widowControl w:val="0"/>
        <w:spacing w:before="60" w:after="60" w:line="288" w:lineRule="auto"/>
        <w:ind w:firstLine="720"/>
        <w:jc w:val="both"/>
        <w:rPr>
          <w:rFonts w:eastAsia="Calibri"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i/>
          <w:lang w:val="en-GB" w:eastAsia="x-none"/>
        </w:rPr>
      </w:pPr>
      <w:r>
        <w:rPr>
          <w:rFonts w:cs="Arial"/>
          <w:i/>
          <w:lang w:val="en-GB" w:eastAsia="x-none"/>
        </w:rPr>
        <w:t>Nitrogen oxides (NOx)</w:t>
      </w:r>
    </w:p>
    <w:p w:rsidR="006378A3" w:rsidRDefault="006378A3" w:rsidP="006378A3">
      <w:pPr>
        <w:widowControl w:val="0"/>
        <w:spacing w:before="60" w:after="60" w:line="288" w:lineRule="auto"/>
        <w:ind w:firstLine="720"/>
        <w:jc w:val="both"/>
        <w:rPr>
          <w:rFonts w:eastAsia="Calibri" w:cs="Arial"/>
          <w:lang w:val="en-GB" w:eastAsia="en-US"/>
        </w:rPr>
      </w:pPr>
      <w:r>
        <w:rPr>
          <w:rFonts w:eastAsia="Calibri" w:cs="Arial"/>
          <w:lang w:val="en-GB" w:eastAsia="en-US"/>
        </w:rPr>
        <w:t>Measurements from 2013 to nitrogen dioxide showed that the air quality is  from excellent to good in SV2 Suceava and SV3 Siret stations and excellent at EM3</w:t>
      </w:r>
      <w:r>
        <w:t xml:space="preserve"> </w:t>
      </w:r>
      <w:r>
        <w:rPr>
          <w:rFonts w:eastAsia="Calibri" w:cs="Arial"/>
          <w:lang w:val="en-GB" w:eastAsia="en-US"/>
        </w:rPr>
        <w:t>Poiana Stampei.</w:t>
      </w:r>
    </w:p>
    <w:p w:rsidR="006378A3" w:rsidRDefault="006378A3" w:rsidP="006378A3">
      <w:pPr>
        <w:widowControl w:val="0"/>
        <w:spacing w:before="60" w:after="60" w:line="288" w:lineRule="auto"/>
        <w:ind w:firstLine="720"/>
        <w:jc w:val="both"/>
        <w:rPr>
          <w:rFonts w:eastAsia="Calibri" w:cs="Arial"/>
          <w:lang w:val="en-GB" w:eastAsia="en-US"/>
        </w:rPr>
      </w:pPr>
    </w:p>
    <w:p w:rsidR="006378A3" w:rsidRDefault="006378A3" w:rsidP="006378A3">
      <w:pPr>
        <w:spacing w:before="60" w:after="60" w:line="288" w:lineRule="auto"/>
        <w:ind w:firstLine="630"/>
        <w:jc w:val="both"/>
        <w:rPr>
          <w:rFonts w:eastAsia="Calibri" w:cs="Arial"/>
          <w:i/>
          <w:lang w:val="en-GB" w:eastAsia="en-US"/>
        </w:rPr>
      </w:pPr>
      <w:r>
        <w:rPr>
          <w:rFonts w:eastAsia="Calibri" w:cs="Arial"/>
          <w:i/>
          <w:lang w:val="en-GB" w:eastAsia="en-US"/>
        </w:rPr>
        <w:t>Particulate matter</w:t>
      </w:r>
    </w:p>
    <w:p w:rsidR="006378A3" w:rsidRDefault="006378A3" w:rsidP="006378A3">
      <w:pPr>
        <w:widowControl w:val="0"/>
        <w:spacing w:before="60" w:after="60" w:line="288" w:lineRule="auto"/>
        <w:ind w:firstLine="720"/>
        <w:jc w:val="both"/>
      </w:pPr>
      <w:r>
        <w:rPr>
          <w:rFonts w:eastAsia="Calibri" w:cs="Arial"/>
          <w:lang w:val="en-GB" w:eastAsia="en-US"/>
        </w:rPr>
        <w:t>As for the particulate matter the highest values ​​of daily average concentrations of PM10 were recorded at the station SV2 industrial environments.</w:t>
      </w:r>
      <w:r>
        <w:t xml:space="preserve"> </w:t>
      </w:r>
    </w:p>
    <w:p w:rsidR="006378A3" w:rsidRDefault="006378A3" w:rsidP="006378A3">
      <w:pPr>
        <w:widowControl w:val="0"/>
        <w:spacing w:before="60" w:after="60" w:line="288" w:lineRule="auto"/>
        <w:ind w:firstLine="720"/>
        <w:jc w:val="both"/>
      </w:pPr>
      <w:r>
        <w:t xml:space="preserve">PM10 daily average concentrations recorded in the cold season (October-March) were higher than in the warm season (April-September), concentrations higher than limit value  being recorded in winter in all four county monitoring stations, except one value measured at SV2 station. The value of 51.97 </w:t>
      </w:r>
      <w:r>
        <w:rPr>
          <w:rFonts w:cs="Arial"/>
        </w:rPr>
        <w:t>µ</w:t>
      </w:r>
      <w:r>
        <w:t xml:space="preserve">g/m3 was registered in 29.07.2013 in calm atmospheric conditions and lack of rainfall, weather phenomena favoring stagnation and accumulation of dust at SV2station. </w:t>
      </w:r>
    </w:p>
    <w:p w:rsidR="006378A3" w:rsidRDefault="006378A3" w:rsidP="006378A3">
      <w:pPr>
        <w:widowControl w:val="0"/>
        <w:spacing w:before="60" w:after="60" w:line="288" w:lineRule="auto"/>
        <w:ind w:firstLine="720"/>
        <w:jc w:val="both"/>
        <w:rPr>
          <w:rFonts w:eastAsia="Calibri" w:cs="Arial"/>
          <w:lang w:val="en-GB" w:eastAsia="en-US"/>
        </w:rPr>
      </w:pPr>
      <w:r>
        <w:rPr>
          <w:rFonts w:eastAsia="Calibri" w:cs="Arial"/>
          <w:lang w:val="en-GB" w:eastAsia="en-US"/>
        </w:rPr>
        <w:t xml:space="preserve">The annual limit value for the protection of human health ( 40 </w:t>
      </w:r>
      <w:r>
        <w:rPr>
          <w:rFonts w:eastAsia="Calibri" w:cs="Arial"/>
          <w:lang w:val="en-GB" w:eastAsia="en-US"/>
        </w:rPr>
        <w:sym w:font="Symbol" w:char="F06D"/>
      </w:r>
      <w:r>
        <w:rPr>
          <w:rFonts w:eastAsia="Calibri" w:cs="Arial"/>
          <w:lang w:val="en-GB" w:eastAsia="en-US"/>
        </w:rPr>
        <w:t>g / m</w:t>
      </w:r>
      <w:r>
        <w:rPr>
          <w:rFonts w:eastAsia="Calibri" w:cs="Arial"/>
          <w:vertAlign w:val="superscript"/>
          <w:lang w:val="en-GB" w:eastAsia="en-US"/>
        </w:rPr>
        <w:t>3</w:t>
      </w:r>
      <w:r>
        <w:rPr>
          <w:rFonts w:eastAsia="Calibri" w:cs="Arial"/>
          <w:lang w:val="en-GB" w:eastAsia="en-US"/>
        </w:rPr>
        <w:t xml:space="preserve">) was not exceeded in any monitoring station, the highest annual average concentration was  29.1 </w:t>
      </w:r>
      <w:r>
        <w:rPr>
          <w:rFonts w:eastAsia="Calibri" w:cs="Arial"/>
          <w:lang w:val="en-GB" w:eastAsia="en-US"/>
        </w:rPr>
        <w:sym w:font="Symbol" w:char="F06D"/>
      </w:r>
      <w:r>
        <w:rPr>
          <w:rFonts w:eastAsia="Calibri" w:cs="Arial"/>
          <w:lang w:val="en-GB" w:eastAsia="en-US"/>
        </w:rPr>
        <w:t>g / m</w:t>
      </w:r>
      <w:r>
        <w:rPr>
          <w:rFonts w:eastAsia="Calibri" w:cs="Arial"/>
          <w:vertAlign w:val="superscript"/>
          <w:lang w:val="en-GB" w:eastAsia="en-US"/>
        </w:rPr>
        <w:t>3</w:t>
      </w:r>
      <w:r>
        <w:rPr>
          <w:rFonts w:eastAsia="Calibri" w:cs="Arial"/>
          <w:lang w:val="en-GB" w:eastAsia="en-US"/>
        </w:rPr>
        <w:t xml:space="preserve"> recorded at SV2 .</w:t>
      </w: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r>
        <w:rPr>
          <w:rFonts w:eastAsia="Calibri" w:cs="Arial"/>
          <w:lang w:val="en-GB" w:eastAsia="en-US"/>
        </w:rPr>
        <w:t>In 2013 in Suceava county occurred no major environmental accidents that could affect air quality.</w:t>
      </w:r>
    </w:p>
    <w:p w:rsidR="006378A3" w:rsidRDefault="006378A3" w:rsidP="006378A3">
      <w:pPr>
        <w:spacing w:before="60" w:after="60" w:line="288" w:lineRule="auto"/>
        <w:jc w:val="both"/>
        <w:rPr>
          <w:rFonts w:eastAsia="Calibri" w:cs="Arial"/>
          <w:b/>
          <w:lang w:val="en-GB" w:eastAsia="en-US"/>
        </w:rPr>
      </w:pPr>
    </w:p>
    <w:p w:rsidR="006378A3" w:rsidRDefault="006378A3" w:rsidP="006378A3">
      <w:pPr>
        <w:numPr>
          <w:ilvl w:val="0"/>
          <w:numId w:val="3"/>
        </w:numPr>
        <w:spacing w:before="60" w:after="60" w:line="288" w:lineRule="auto"/>
        <w:jc w:val="both"/>
        <w:rPr>
          <w:rFonts w:eastAsia="Calibri" w:cs="Arial"/>
          <w:b/>
          <w:lang w:val="en-GB" w:eastAsia="en-US"/>
        </w:rPr>
      </w:pPr>
      <w:r>
        <w:rPr>
          <w:rFonts w:eastAsia="Calibri" w:cs="Arial"/>
          <w:b/>
          <w:lang w:val="en-GB" w:eastAsia="en-US"/>
        </w:rPr>
        <w:t>SOIL</w:t>
      </w:r>
    </w:p>
    <w:p w:rsidR="006378A3" w:rsidRDefault="006378A3" w:rsidP="006378A3">
      <w:pPr>
        <w:widowControl w:val="0"/>
        <w:autoSpaceDE w:val="0"/>
        <w:autoSpaceDN w:val="0"/>
        <w:adjustRightInd w:val="0"/>
        <w:spacing w:before="60" w:after="60" w:line="288" w:lineRule="auto"/>
        <w:ind w:firstLine="630"/>
        <w:jc w:val="both"/>
        <w:rPr>
          <w:rFonts w:eastAsia="Calibri" w:cs="Arial"/>
          <w:lang w:val="en-GB" w:eastAsia="en-US"/>
        </w:rPr>
      </w:pPr>
      <w:r>
        <w:rPr>
          <w:rFonts w:eastAsia="Calibri" w:cs="Arial"/>
          <w:lang w:val="en-GB" w:eastAsia="en-US"/>
        </w:rPr>
        <w:t xml:space="preserve">Evolution of the distribution of agricultural land use in Suceava County, in 2009-2013 is shown in the table below </w:t>
      </w:r>
    </w:p>
    <w:p w:rsidR="006378A3" w:rsidRDefault="006378A3" w:rsidP="006378A3">
      <w:pPr>
        <w:widowControl w:val="0"/>
        <w:autoSpaceDE w:val="0"/>
        <w:autoSpaceDN w:val="0"/>
        <w:adjustRightInd w:val="0"/>
        <w:spacing w:before="60" w:after="60" w:line="288" w:lineRule="auto"/>
        <w:ind w:firstLine="630"/>
        <w:jc w:val="both"/>
        <w:rPr>
          <w:rFonts w:eastAsia="Calibri" w:cs="Arial"/>
          <w:lang w:val="en-GB" w:eastAsia="en-US"/>
        </w:rPr>
      </w:pPr>
    </w:p>
    <w:p w:rsidR="006378A3" w:rsidRDefault="006378A3" w:rsidP="006378A3">
      <w:pPr>
        <w:autoSpaceDE w:val="0"/>
        <w:autoSpaceDN w:val="0"/>
        <w:adjustRightInd w:val="0"/>
        <w:spacing w:before="60" w:after="60" w:line="288" w:lineRule="auto"/>
        <w:ind w:left="360"/>
        <w:jc w:val="center"/>
        <w:rPr>
          <w:rFonts w:eastAsia="Calibri" w:cs="Arial"/>
          <w:b/>
          <w:bCs/>
          <w:i/>
          <w:sz w:val="22"/>
          <w:szCs w:val="22"/>
          <w:lang w:val="en-GB" w:eastAsia="en-US"/>
        </w:rPr>
      </w:pPr>
      <w:r>
        <w:rPr>
          <w:rFonts w:eastAsia="Calibri" w:cs="Arial"/>
          <w:b/>
          <w:bCs/>
          <w:i/>
          <w:sz w:val="22"/>
          <w:szCs w:val="22"/>
          <w:lang w:val="en-GB" w:eastAsia="en-US"/>
        </w:rPr>
        <w:t xml:space="preserve">Table 4.4.4 </w:t>
      </w:r>
      <w:r>
        <w:rPr>
          <w:rFonts w:eastAsia="Calibri" w:cs="Arial"/>
          <w:bCs/>
          <w:sz w:val="22"/>
          <w:szCs w:val="22"/>
          <w:lang w:val="en-GB" w:eastAsia="en-US"/>
        </w:rPr>
        <w:t>Evolution of land distribution</w:t>
      </w:r>
    </w:p>
    <w:tbl>
      <w:tblPr>
        <w:tblW w:w="8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2"/>
        <w:gridCol w:w="1140"/>
        <w:gridCol w:w="1250"/>
        <w:gridCol w:w="1217"/>
        <w:gridCol w:w="1084"/>
        <w:gridCol w:w="1084"/>
      </w:tblGrid>
      <w:tr w:rsidR="006378A3" w:rsidTr="002E01ED">
        <w:trPr>
          <w:trHeight w:hRule="exact" w:val="510"/>
          <w:jc w:val="center"/>
        </w:trPr>
        <w:tc>
          <w:tcPr>
            <w:tcW w:w="0" w:type="auto"/>
            <w:vMerge w:val="restart"/>
            <w:shd w:val="clear" w:color="auto" w:fill="auto"/>
            <w:vAlign w:val="center"/>
          </w:tcPr>
          <w:p w:rsidR="006378A3" w:rsidRDefault="006378A3" w:rsidP="002E01ED">
            <w:pPr>
              <w:spacing w:after="200" w:line="276" w:lineRule="auto"/>
              <w:jc w:val="both"/>
              <w:rPr>
                <w:rFonts w:eastAsia="Calibri" w:cs="Arial"/>
                <w:b/>
                <w:lang w:val="en-GB" w:eastAsia="en-US"/>
              </w:rPr>
            </w:pPr>
            <w:r>
              <w:rPr>
                <w:rFonts w:eastAsia="Calibri" w:cs="Arial"/>
                <w:b/>
                <w:lang w:val="en-GB" w:eastAsia="en-US"/>
              </w:rPr>
              <w:t>Type of land</w:t>
            </w:r>
          </w:p>
        </w:tc>
        <w:tc>
          <w:tcPr>
            <w:tcW w:w="0" w:type="auto"/>
            <w:gridSpan w:val="5"/>
            <w:shd w:val="clear" w:color="auto" w:fill="auto"/>
            <w:vAlign w:val="center"/>
          </w:tcPr>
          <w:p w:rsidR="006378A3" w:rsidRDefault="006378A3" w:rsidP="002E01ED">
            <w:pPr>
              <w:spacing w:after="200" w:line="276" w:lineRule="auto"/>
              <w:jc w:val="both"/>
              <w:rPr>
                <w:rFonts w:eastAsia="Calibri" w:cs="Arial"/>
                <w:b/>
                <w:lang w:val="en-GB" w:eastAsia="en-US"/>
              </w:rPr>
            </w:pPr>
            <w:r>
              <w:rPr>
                <w:rFonts w:eastAsia="Calibri" w:cs="Arial"/>
                <w:b/>
                <w:lang w:val="en-GB" w:eastAsia="en-US"/>
              </w:rPr>
              <w:t>Surface (ha)</w:t>
            </w:r>
          </w:p>
        </w:tc>
      </w:tr>
      <w:tr w:rsidR="006378A3" w:rsidTr="002E01ED">
        <w:trPr>
          <w:trHeight w:hRule="exact" w:val="510"/>
          <w:jc w:val="center"/>
        </w:trPr>
        <w:tc>
          <w:tcPr>
            <w:tcW w:w="0" w:type="auto"/>
            <w:vMerge/>
            <w:shd w:val="clear" w:color="auto" w:fill="auto"/>
            <w:vAlign w:val="center"/>
          </w:tcPr>
          <w:p w:rsidR="006378A3" w:rsidRDefault="006378A3" w:rsidP="002E01ED">
            <w:pPr>
              <w:spacing w:after="200" w:line="276" w:lineRule="auto"/>
              <w:jc w:val="both"/>
              <w:rPr>
                <w:rFonts w:eastAsia="Calibri" w:cs="Arial"/>
                <w:lang w:val="en-GB" w:eastAsia="en-US"/>
              </w:rPr>
            </w:pPr>
          </w:p>
        </w:tc>
        <w:tc>
          <w:tcPr>
            <w:tcW w:w="1140" w:type="dxa"/>
            <w:shd w:val="clear" w:color="auto" w:fill="auto"/>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2009</w:t>
            </w:r>
          </w:p>
        </w:tc>
        <w:tc>
          <w:tcPr>
            <w:tcW w:w="1250" w:type="dxa"/>
            <w:shd w:val="clear" w:color="auto" w:fill="auto"/>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2010</w:t>
            </w:r>
          </w:p>
        </w:tc>
        <w:tc>
          <w:tcPr>
            <w:tcW w:w="1217" w:type="dxa"/>
            <w:shd w:val="clear" w:color="auto" w:fill="auto"/>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2011</w:t>
            </w:r>
          </w:p>
        </w:tc>
        <w:tc>
          <w:tcPr>
            <w:tcW w:w="0" w:type="auto"/>
            <w:shd w:val="clear" w:color="auto" w:fill="auto"/>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2012</w:t>
            </w:r>
          </w:p>
        </w:tc>
        <w:tc>
          <w:tcPr>
            <w:tcW w:w="0" w:type="auto"/>
            <w:shd w:val="clear" w:color="auto" w:fill="auto"/>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2013</w:t>
            </w:r>
          </w:p>
        </w:tc>
      </w:tr>
      <w:tr w:rsidR="006378A3" w:rsidTr="002E01ED">
        <w:trPr>
          <w:trHeight w:hRule="exact" w:val="271"/>
          <w:jc w:val="center"/>
        </w:trPr>
        <w:tc>
          <w:tcPr>
            <w:tcW w:w="0" w:type="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lang w:val="en-GB" w:eastAsia="en-US"/>
              </w:rPr>
            </w:pPr>
            <w:r>
              <w:rPr>
                <w:rFonts w:cs="Arial"/>
                <w:lang w:val="en-GB" w:eastAsia="en-US"/>
              </w:rPr>
              <w:t>Arable</w:t>
            </w:r>
          </w:p>
        </w:tc>
        <w:tc>
          <w:tcPr>
            <w:tcW w:w="1140" w:type="dxa"/>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181.127</w:t>
            </w:r>
          </w:p>
        </w:tc>
        <w:tc>
          <w:tcPr>
            <w:tcW w:w="1250" w:type="dxa"/>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180.972</w:t>
            </w:r>
          </w:p>
        </w:tc>
        <w:tc>
          <w:tcPr>
            <w:tcW w:w="1217" w:type="dxa"/>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180.678</w:t>
            </w:r>
          </w:p>
        </w:tc>
        <w:tc>
          <w:tcPr>
            <w:tcW w:w="0" w:type="auto"/>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180.372</w:t>
            </w:r>
          </w:p>
        </w:tc>
        <w:tc>
          <w:tcPr>
            <w:tcW w:w="0" w:type="auto"/>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180.240</w:t>
            </w:r>
          </w:p>
        </w:tc>
      </w:tr>
      <w:tr w:rsidR="006378A3" w:rsidTr="002E01ED">
        <w:trPr>
          <w:trHeight w:hRule="exact" w:val="271"/>
          <w:jc w:val="center"/>
        </w:trPr>
        <w:tc>
          <w:tcPr>
            <w:tcW w:w="0" w:type="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lang w:val="en-GB" w:eastAsia="en-US"/>
              </w:rPr>
            </w:pPr>
            <w:r>
              <w:rPr>
                <w:rFonts w:cs="Arial"/>
                <w:lang w:val="en-GB" w:eastAsia="en-US"/>
              </w:rPr>
              <w:t>Pastures</w:t>
            </w:r>
          </w:p>
        </w:tc>
        <w:tc>
          <w:tcPr>
            <w:tcW w:w="1140" w:type="dxa"/>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91.167</w:t>
            </w:r>
          </w:p>
        </w:tc>
        <w:tc>
          <w:tcPr>
            <w:tcW w:w="1250" w:type="dxa"/>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91.596</w:t>
            </w:r>
          </w:p>
        </w:tc>
        <w:tc>
          <w:tcPr>
            <w:tcW w:w="1217" w:type="dxa"/>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90.274</w:t>
            </w:r>
          </w:p>
        </w:tc>
        <w:tc>
          <w:tcPr>
            <w:tcW w:w="0" w:type="auto"/>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90.570</w:t>
            </w:r>
          </w:p>
        </w:tc>
        <w:tc>
          <w:tcPr>
            <w:tcW w:w="0" w:type="auto"/>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90.547</w:t>
            </w:r>
          </w:p>
        </w:tc>
      </w:tr>
      <w:tr w:rsidR="006378A3" w:rsidTr="002E01ED">
        <w:trPr>
          <w:trHeight w:hRule="exact" w:val="253"/>
          <w:jc w:val="center"/>
        </w:trPr>
        <w:tc>
          <w:tcPr>
            <w:tcW w:w="0" w:type="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lang w:val="en-GB" w:eastAsia="en-US"/>
              </w:rPr>
            </w:pPr>
            <w:r>
              <w:rPr>
                <w:rFonts w:cs="Arial"/>
                <w:lang w:val="en-GB" w:eastAsia="en-US"/>
              </w:rPr>
              <w:t>Meadows and natural pastures</w:t>
            </w:r>
          </w:p>
        </w:tc>
        <w:tc>
          <w:tcPr>
            <w:tcW w:w="1140" w:type="dxa"/>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74.394</w:t>
            </w:r>
          </w:p>
        </w:tc>
        <w:tc>
          <w:tcPr>
            <w:tcW w:w="1250" w:type="dxa"/>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74.136</w:t>
            </w:r>
          </w:p>
        </w:tc>
        <w:tc>
          <w:tcPr>
            <w:tcW w:w="1217" w:type="dxa"/>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73.960</w:t>
            </w:r>
          </w:p>
        </w:tc>
        <w:tc>
          <w:tcPr>
            <w:tcW w:w="0" w:type="auto"/>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74.053</w:t>
            </w:r>
          </w:p>
        </w:tc>
        <w:tc>
          <w:tcPr>
            <w:tcW w:w="0" w:type="auto"/>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73.898</w:t>
            </w:r>
          </w:p>
        </w:tc>
      </w:tr>
      <w:tr w:rsidR="006378A3" w:rsidTr="002E01ED">
        <w:trPr>
          <w:trHeight w:hRule="exact" w:val="370"/>
          <w:jc w:val="center"/>
        </w:trPr>
        <w:tc>
          <w:tcPr>
            <w:tcW w:w="0" w:type="auto"/>
            <w:tcBorders>
              <w:bottom w:val="single" w:sz="4" w:space="0" w:color="auto"/>
            </w:tcBorders>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lang w:val="en-GB" w:eastAsia="en-US"/>
              </w:rPr>
            </w:pPr>
            <w:r>
              <w:rPr>
                <w:rFonts w:cs="Arial"/>
                <w:lang w:val="en-GB" w:eastAsia="en-US"/>
              </w:rPr>
              <w:t>Orchards</w:t>
            </w:r>
          </w:p>
        </w:tc>
        <w:tc>
          <w:tcPr>
            <w:tcW w:w="1140" w:type="dxa"/>
            <w:tcBorders>
              <w:bottom w:val="single" w:sz="4" w:space="0" w:color="auto"/>
            </w:tcBorders>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2.801</w:t>
            </w:r>
          </w:p>
        </w:tc>
        <w:tc>
          <w:tcPr>
            <w:tcW w:w="1250" w:type="dxa"/>
            <w:tcBorders>
              <w:bottom w:val="single" w:sz="4" w:space="0" w:color="auto"/>
            </w:tcBorders>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2.776</w:t>
            </w:r>
          </w:p>
        </w:tc>
        <w:tc>
          <w:tcPr>
            <w:tcW w:w="1217" w:type="dxa"/>
            <w:tcBorders>
              <w:bottom w:val="single" w:sz="4" w:space="0" w:color="auto"/>
            </w:tcBorders>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3.008</w:t>
            </w:r>
          </w:p>
        </w:tc>
        <w:tc>
          <w:tcPr>
            <w:tcW w:w="0" w:type="auto"/>
            <w:tcBorders>
              <w:bottom w:val="single" w:sz="4" w:space="0" w:color="auto"/>
            </w:tcBorders>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2.810</w:t>
            </w:r>
          </w:p>
        </w:tc>
        <w:tc>
          <w:tcPr>
            <w:tcW w:w="0" w:type="auto"/>
            <w:tcBorders>
              <w:bottom w:val="single" w:sz="4" w:space="0" w:color="auto"/>
            </w:tcBorders>
            <w:vAlign w:val="center"/>
          </w:tcPr>
          <w:p w:rsidR="006378A3" w:rsidRDefault="006378A3" w:rsidP="002E01ED">
            <w:pPr>
              <w:spacing w:after="200" w:line="276" w:lineRule="auto"/>
              <w:jc w:val="both"/>
              <w:rPr>
                <w:rFonts w:eastAsia="Calibri" w:cs="Arial"/>
                <w:lang w:val="en-GB" w:eastAsia="en-US"/>
              </w:rPr>
            </w:pPr>
            <w:r>
              <w:rPr>
                <w:rFonts w:eastAsia="Calibri" w:cs="Arial"/>
                <w:lang w:val="en-GB" w:eastAsia="en-US"/>
              </w:rPr>
              <w:t>2.959</w:t>
            </w:r>
          </w:p>
        </w:tc>
      </w:tr>
      <w:tr w:rsidR="006378A3" w:rsidTr="002E01ED">
        <w:trPr>
          <w:trHeight w:hRule="exact" w:val="510"/>
          <w:jc w:val="center"/>
        </w:trPr>
        <w:tc>
          <w:tcPr>
            <w:tcW w:w="2722" w:type="dxa"/>
            <w:shd w:val="clear" w:color="auto" w:fill="auto"/>
            <w:vAlign w:val="center"/>
          </w:tcPr>
          <w:p w:rsidR="006378A3" w:rsidRDefault="006378A3" w:rsidP="002E01ED">
            <w:pPr>
              <w:spacing w:after="200" w:line="276" w:lineRule="auto"/>
              <w:jc w:val="both"/>
              <w:rPr>
                <w:rFonts w:eastAsia="Calibri" w:cs="Arial"/>
                <w:b/>
                <w:lang w:val="en-GB" w:eastAsia="en-US"/>
              </w:rPr>
            </w:pPr>
            <w:r>
              <w:rPr>
                <w:rFonts w:eastAsia="Calibri" w:cs="Arial"/>
                <w:b/>
                <w:lang w:val="en-GB" w:eastAsia="en-US"/>
              </w:rPr>
              <w:t xml:space="preserve">TOTAL </w:t>
            </w:r>
          </w:p>
        </w:tc>
        <w:tc>
          <w:tcPr>
            <w:tcW w:w="1140" w:type="dxa"/>
            <w:shd w:val="clear" w:color="auto" w:fill="auto"/>
            <w:vAlign w:val="center"/>
          </w:tcPr>
          <w:p w:rsidR="006378A3" w:rsidRDefault="006378A3" w:rsidP="002E01ED">
            <w:pPr>
              <w:spacing w:after="200" w:line="276" w:lineRule="auto"/>
              <w:jc w:val="both"/>
              <w:rPr>
                <w:rFonts w:eastAsia="Calibri" w:cs="Arial"/>
                <w:b/>
                <w:lang w:val="en-GB" w:eastAsia="en-US"/>
              </w:rPr>
            </w:pPr>
            <w:r>
              <w:rPr>
                <w:rFonts w:eastAsia="Calibri" w:cs="Arial"/>
                <w:b/>
                <w:lang w:val="en-GB" w:eastAsia="en-US"/>
              </w:rPr>
              <w:t>349.489</w:t>
            </w:r>
          </w:p>
        </w:tc>
        <w:tc>
          <w:tcPr>
            <w:tcW w:w="1250" w:type="dxa"/>
            <w:shd w:val="clear" w:color="auto" w:fill="auto"/>
            <w:vAlign w:val="center"/>
          </w:tcPr>
          <w:p w:rsidR="006378A3" w:rsidRDefault="006378A3" w:rsidP="002E01ED">
            <w:pPr>
              <w:spacing w:after="200" w:line="276" w:lineRule="auto"/>
              <w:jc w:val="both"/>
              <w:rPr>
                <w:rFonts w:eastAsia="Calibri" w:cs="Arial"/>
                <w:b/>
                <w:lang w:val="en-GB" w:eastAsia="en-US"/>
              </w:rPr>
            </w:pPr>
            <w:r>
              <w:rPr>
                <w:rFonts w:eastAsia="Calibri" w:cs="Arial"/>
                <w:b/>
                <w:lang w:val="en-GB" w:eastAsia="en-US"/>
              </w:rPr>
              <w:t>349.480</w:t>
            </w:r>
          </w:p>
        </w:tc>
        <w:tc>
          <w:tcPr>
            <w:tcW w:w="1217" w:type="dxa"/>
            <w:shd w:val="clear" w:color="auto" w:fill="auto"/>
            <w:vAlign w:val="center"/>
          </w:tcPr>
          <w:p w:rsidR="006378A3" w:rsidRDefault="006378A3" w:rsidP="002E01ED">
            <w:pPr>
              <w:spacing w:after="200" w:line="276" w:lineRule="auto"/>
              <w:jc w:val="both"/>
              <w:rPr>
                <w:rFonts w:eastAsia="Calibri" w:cs="Arial"/>
                <w:b/>
                <w:lang w:val="en-GB" w:eastAsia="en-US"/>
              </w:rPr>
            </w:pPr>
            <w:r>
              <w:rPr>
                <w:rFonts w:eastAsia="Calibri" w:cs="Arial"/>
                <w:b/>
                <w:lang w:val="en-GB" w:eastAsia="en-US"/>
              </w:rPr>
              <w:t>347.920</w:t>
            </w:r>
          </w:p>
        </w:tc>
        <w:tc>
          <w:tcPr>
            <w:tcW w:w="0" w:type="auto"/>
            <w:shd w:val="clear" w:color="auto" w:fill="auto"/>
            <w:vAlign w:val="center"/>
          </w:tcPr>
          <w:p w:rsidR="006378A3" w:rsidRDefault="006378A3" w:rsidP="002E01ED">
            <w:pPr>
              <w:spacing w:after="200" w:line="276" w:lineRule="auto"/>
              <w:jc w:val="both"/>
              <w:rPr>
                <w:rFonts w:eastAsia="Calibri" w:cs="Arial"/>
                <w:b/>
                <w:lang w:val="en-GB" w:eastAsia="en-US"/>
              </w:rPr>
            </w:pPr>
            <w:r>
              <w:rPr>
                <w:rFonts w:eastAsia="Calibri" w:cs="Arial"/>
                <w:b/>
                <w:lang w:val="en-GB" w:eastAsia="en-US"/>
              </w:rPr>
              <w:t>347.805</w:t>
            </w:r>
          </w:p>
        </w:tc>
        <w:tc>
          <w:tcPr>
            <w:tcW w:w="0" w:type="auto"/>
            <w:shd w:val="clear" w:color="auto" w:fill="auto"/>
            <w:vAlign w:val="center"/>
          </w:tcPr>
          <w:p w:rsidR="006378A3" w:rsidRDefault="006378A3" w:rsidP="002E01ED">
            <w:pPr>
              <w:spacing w:after="200" w:line="276" w:lineRule="auto"/>
              <w:jc w:val="both"/>
              <w:rPr>
                <w:rFonts w:eastAsia="Calibri" w:cs="Arial"/>
                <w:b/>
                <w:lang w:val="en-GB" w:eastAsia="en-US"/>
              </w:rPr>
            </w:pPr>
            <w:r>
              <w:rPr>
                <w:rFonts w:eastAsia="Calibri" w:cs="Arial"/>
                <w:b/>
                <w:lang w:val="en-GB" w:eastAsia="en-US"/>
              </w:rPr>
              <w:t>347.644</w:t>
            </w:r>
          </w:p>
        </w:tc>
      </w:tr>
    </w:tbl>
    <w:p w:rsidR="006378A3" w:rsidRDefault="006378A3" w:rsidP="006378A3">
      <w:pPr>
        <w:autoSpaceDE w:val="0"/>
        <w:autoSpaceDN w:val="0"/>
        <w:adjustRightInd w:val="0"/>
        <w:spacing w:before="60" w:after="60" w:line="288" w:lineRule="auto"/>
        <w:jc w:val="both"/>
        <w:rPr>
          <w:rFonts w:eastAsia="Calibri" w:cs="Arial"/>
          <w:bCs/>
          <w:i/>
          <w:color w:val="000000"/>
          <w:lang w:val="en-GB" w:eastAsia="en-US"/>
        </w:rPr>
      </w:pPr>
    </w:p>
    <w:p w:rsidR="006378A3" w:rsidRDefault="006378A3" w:rsidP="006378A3">
      <w:pPr>
        <w:widowControl w:val="0"/>
        <w:autoSpaceDE w:val="0"/>
        <w:autoSpaceDN w:val="0"/>
        <w:adjustRightInd w:val="0"/>
        <w:spacing w:before="60" w:after="60" w:line="288" w:lineRule="auto"/>
        <w:ind w:firstLine="709"/>
        <w:jc w:val="both"/>
        <w:rPr>
          <w:rFonts w:eastAsia="Calibri" w:cs="Arial"/>
          <w:lang w:val="en-GB" w:eastAsia="en-US"/>
        </w:rPr>
      </w:pPr>
      <w:r>
        <w:rPr>
          <w:rFonts w:eastAsia="Calibri" w:cs="Arial"/>
          <w:lang w:val="en-GB" w:eastAsia="en-US"/>
        </w:rPr>
        <w:t>In terms of soil degradation in the year 2013, the critical areas that are affected by deep erosion and active landslides are Todireşti - Osoi Hill, part of the second order monitoring.</w:t>
      </w:r>
    </w:p>
    <w:p w:rsidR="006378A3" w:rsidRDefault="006378A3" w:rsidP="006378A3">
      <w:pPr>
        <w:autoSpaceDE w:val="0"/>
        <w:autoSpaceDN w:val="0"/>
        <w:adjustRightInd w:val="0"/>
        <w:spacing w:before="60" w:after="60" w:line="288" w:lineRule="auto"/>
        <w:ind w:firstLine="720"/>
        <w:jc w:val="both"/>
        <w:rPr>
          <w:rFonts w:eastAsia="Calibri" w:cs="Arial"/>
          <w:lang w:val="en-GB" w:eastAsia="en-US"/>
        </w:rPr>
      </w:pPr>
      <w:r>
        <w:rPr>
          <w:rFonts w:eastAsia="Calibri" w:cs="Arial"/>
          <w:lang w:val="en-GB" w:eastAsia="en-US"/>
        </w:rPr>
        <w:t>In 2013 there was no major environmental pollution or accidental pollution.</w:t>
      </w:r>
    </w:p>
    <w:p w:rsidR="006378A3" w:rsidRDefault="006378A3" w:rsidP="006378A3">
      <w:pPr>
        <w:pStyle w:val="Heading1"/>
        <w:rPr>
          <w:rFonts w:ascii="Arial" w:hAnsi="Arial" w:cs="Arial"/>
          <w:sz w:val="24"/>
          <w:szCs w:val="24"/>
          <w:lang w:val="en-GB" w:eastAsia="ro-RO"/>
        </w:rPr>
      </w:pPr>
      <w:bookmarkStart w:id="16" w:name="_Toc419704928"/>
      <w:r>
        <w:rPr>
          <w:rFonts w:ascii="Arial" w:hAnsi="Arial" w:cs="Arial"/>
          <w:sz w:val="24"/>
          <w:szCs w:val="24"/>
          <w:lang w:val="en-GB" w:eastAsia="ro-RO"/>
        </w:rPr>
        <w:lastRenderedPageBreak/>
        <w:t>4.5. Tulcea County</w:t>
      </w:r>
      <w:bookmarkEnd w:id="16"/>
    </w:p>
    <w:p w:rsidR="006378A3" w:rsidRDefault="006378A3" w:rsidP="006378A3">
      <w:pPr>
        <w:spacing w:before="60" w:after="60" w:line="288" w:lineRule="auto"/>
        <w:jc w:val="both"/>
        <w:rPr>
          <w:b/>
          <w:lang w:val="en-GB"/>
        </w:rPr>
      </w:pPr>
    </w:p>
    <w:p w:rsidR="006378A3" w:rsidRDefault="006378A3" w:rsidP="006378A3">
      <w:pPr>
        <w:numPr>
          <w:ilvl w:val="0"/>
          <w:numId w:val="1"/>
        </w:numPr>
        <w:spacing w:before="60" w:after="60" w:line="288" w:lineRule="auto"/>
        <w:jc w:val="both"/>
        <w:rPr>
          <w:rFonts w:cs="Arial"/>
          <w:b/>
          <w:lang w:val="en-GB"/>
        </w:rPr>
      </w:pPr>
      <w:r>
        <w:rPr>
          <w:rFonts w:cs="Arial"/>
          <w:b/>
          <w:lang w:val="en-GB"/>
        </w:rPr>
        <w:t>AIR</w:t>
      </w:r>
    </w:p>
    <w:p w:rsidR="006378A3" w:rsidRDefault="006378A3" w:rsidP="006378A3">
      <w:pPr>
        <w:spacing w:before="60" w:after="60" w:line="288" w:lineRule="auto"/>
        <w:ind w:left="1080"/>
        <w:jc w:val="both"/>
        <w:rPr>
          <w:rFonts w:cs="Arial"/>
          <w:b/>
          <w:lang w:val="en-GB"/>
        </w:rPr>
      </w:pPr>
    </w:p>
    <w:p w:rsidR="006378A3" w:rsidRDefault="006378A3" w:rsidP="006378A3">
      <w:pPr>
        <w:widowControl w:val="0"/>
        <w:spacing w:before="60" w:after="60" w:line="288" w:lineRule="auto"/>
        <w:ind w:firstLine="720"/>
        <w:jc w:val="both"/>
        <w:rPr>
          <w:rFonts w:eastAsia="Calibri" w:cs="Arial"/>
          <w:bCs/>
          <w:i/>
          <w:lang w:val="en-GB" w:eastAsia="en-US"/>
        </w:rPr>
      </w:pPr>
      <w:r>
        <w:rPr>
          <w:rFonts w:cs="Arial"/>
          <w:lang w:val="en-GB"/>
        </w:rPr>
        <w:t xml:space="preserve"> </w:t>
      </w:r>
      <w:r>
        <w:rPr>
          <w:rFonts w:eastAsia="Calibri" w:cs="Arial"/>
          <w:i/>
          <w:lang w:val="en-GB" w:eastAsia="en-US"/>
        </w:rPr>
        <w:t xml:space="preserve">Sulphur dioxide </w:t>
      </w:r>
      <w:r>
        <w:rPr>
          <w:rFonts w:eastAsia="Calibri" w:cs="Arial"/>
          <w:bCs/>
          <w:i/>
          <w:lang w:val="en-GB" w:eastAsia="en-US"/>
        </w:rPr>
        <w:t>(SO</w:t>
      </w:r>
      <w:r>
        <w:rPr>
          <w:rFonts w:eastAsia="Calibri" w:cs="Arial"/>
          <w:bCs/>
          <w:i/>
          <w:vertAlign w:val="subscript"/>
          <w:lang w:val="en-GB" w:eastAsia="en-US"/>
        </w:rPr>
        <w:t>2</w:t>
      </w:r>
      <w:r>
        <w:rPr>
          <w:rFonts w:eastAsia="Calibri" w:cs="Arial"/>
          <w:bCs/>
          <w:i/>
          <w:lang w:val="en-GB" w:eastAsia="en-US"/>
        </w:rPr>
        <w:t>)</w:t>
      </w:r>
    </w:p>
    <w:p w:rsidR="006378A3" w:rsidRDefault="006378A3" w:rsidP="006378A3">
      <w:pPr>
        <w:autoSpaceDE w:val="0"/>
        <w:autoSpaceDN w:val="0"/>
        <w:adjustRightInd w:val="0"/>
        <w:spacing w:before="60" w:after="60" w:line="288" w:lineRule="auto"/>
        <w:jc w:val="both"/>
        <w:rPr>
          <w:rFonts w:cs="Arial"/>
          <w:lang w:val="en-GB"/>
        </w:rPr>
      </w:pPr>
      <w:r>
        <w:rPr>
          <w:rFonts w:cs="Arial"/>
          <w:lang w:val="en-GB"/>
        </w:rPr>
        <w:t>In 2013, the amount of SO</w:t>
      </w:r>
      <w:r>
        <w:rPr>
          <w:rFonts w:cs="Arial"/>
          <w:vertAlign w:val="subscript"/>
          <w:lang w:val="en-GB"/>
        </w:rPr>
        <w:t>2</w:t>
      </w:r>
      <w:r>
        <w:rPr>
          <w:rFonts w:cs="Arial"/>
          <w:lang w:val="en-GB"/>
        </w:rPr>
        <w:t xml:space="preserve"> emitted in the atmosphere (amount resulting from the calculation methodology CORINAIR 2009) was of 9137 tonnes of which:</w:t>
      </w:r>
    </w:p>
    <w:p w:rsidR="006378A3" w:rsidRDefault="006378A3" w:rsidP="006378A3">
      <w:pPr>
        <w:autoSpaceDE w:val="0"/>
        <w:autoSpaceDN w:val="0"/>
        <w:adjustRightInd w:val="0"/>
        <w:spacing w:before="60" w:after="60" w:line="288" w:lineRule="auto"/>
        <w:jc w:val="both"/>
        <w:rPr>
          <w:rFonts w:cs="Arial"/>
          <w:lang w:val="en-GB"/>
        </w:rPr>
      </w:pPr>
      <w:r>
        <w:rPr>
          <w:rFonts w:cs="Arial"/>
          <w:lang w:val="en-GB"/>
        </w:rPr>
        <w:tab/>
      </w:r>
      <w:r>
        <w:rPr>
          <w:rFonts w:cs="Arial"/>
          <w:color w:val="FF0000"/>
          <w:lang w:val="en-GB"/>
        </w:rPr>
        <w:t xml:space="preserve"> </w:t>
      </w:r>
      <w:r>
        <w:rPr>
          <w:rFonts w:cs="Arial"/>
          <w:lang w:val="en-GB"/>
        </w:rPr>
        <w:t>-   Combustion in energy and transformation industries</w:t>
      </w:r>
      <w:r>
        <w:rPr>
          <w:rFonts w:cs="Arial"/>
          <w:lang w:val="en-GB"/>
        </w:rPr>
        <w:tab/>
      </w:r>
      <w:r>
        <w:rPr>
          <w:rFonts w:cs="Arial"/>
          <w:lang w:val="en-GB"/>
        </w:rPr>
        <w:tab/>
        <w:t xml:space="preserve">      2.069 t;</w:t>
      </w:r>
    </w:p>
    <w:p w:rsidR="006378A3" w:rsidRDefault="006378A3" w:rsidP="006378A3">
      <w:pPr>
        <w:autoSpaceDE w:val="0"/>
        <w:autoSpaceDN w:val="0"/>
        <w:adjustRightInd w:val="0"/>
        <w:spacing w:before="60" w:after="60" w:line="288" w:lineRule="auto"/>
        <w:jc w:val="both"/>
        <w:rPr>
          <w:rFonts w:cs="Arial"/>
          <w:lang w:val="en-GB"/>
        </w:rPr>
      </w:pPr>
      <w:r>
        <w:rPr>
          <w:rFonts w:cs="Arial"/>
          <w:lang w:val="en-GB"/>
        </w:rPr>
        <w:tab/>
        <w:t xml:space="preserve"> -   Non-industrial combustion plants</w:t>
      </w:r>
      <w:r>
        <w:rPr>
          <w:rFonts w:cs="Arial"/>
          <w:lang w:val="en-GB"/>
        </w:rPr>
        <w:tab/>
      </w:r>
      <w:r>
        <w:rPr>
          <w:rFonts w:cs="Arial"/>
          <w:lang w:val="en-GB"/>
        </w:rPr>
        <w:tab/>
      </w:r>
      <w:r>
        <w:rPr>
          <w:rFonts w:cs="Arial"/>
          <w:lang w:val="en-GB"/>
        </w:rPr>
        <w:tab/>
      </w:r>
      <w:r>
        <w:rPr>
          <w:rFonts w:cs="Arial"/>
          <w:lang w:val="en-GB"/>
        </w:rPr>
        <w:tab/>
      </w:r>
      <w:r>
        <w:rPr>
          <w:rFonts w:cs="Arial"/>
          <w:lang w:val="en-GB"/>
        </w:rPr>
        <w:tab/>
        <w:t xml:space="preserve">       4,909 t;</w:t>
      </w:r>
    </w:p>
    <w:p w:rsidR="006378A3" w:rsidRDefault="006378A3" w:rsidP="006378A3">
      <w:pPr>
        <w:autoSpaceDE w:val="0"/>
        <w:autoSpaceDN w:val="0"/>
        <w:adjustRightInd w:val="0"/>
        <w:spacing w:before="60" w:after="60" w:line="288" w:lineRule="auto"/>
        <w:jc w:val="both"/>
        <w:rPr>
          <w:rFonts w:cs="Arial"/>
          <w:lang w:val="en-GB"/>
        </w:rPr>
      </w:pPr>
      <w:r>
        <w:rPr>
          <w:rFonts w:cs="Arial"/>
          <w:lang w:val="en-GB"/>
        </w:rPr>
        <w:tab/>
        <w:t xml:space="preserve"> -   Combustion in manufacturing industry</w:t>
      </w:r>
      <w:r>
        <w:rPr>
          <w:rFonts w:cs="Arial"/>
          <w:lang w:val="en-GB"/>
        </w:rPr>
        <w:tab/>
      </w:r>
      <w:r>
        <w:rPr>
          <w:rFonts w:cs="Arial"/>
          <w:lang w:val="en-GB"/>
        </w:rPr>
        <w:tab/>
      </w:r>
      <w:r>
        <w:rPr>
          <w:rFonts w:cs="Arial"/>
          <w:lang w:val="en-GB"/>
        </w:rPr>
        <w:tab/>
      </w:r>
      <w:r>
        <w:rPr>
          <w:rFonts w:cs="Arial"/>
          <w:lang w:val="en-GB"/>
        </w:rPr>
        <w:tab/>
        <w:t xml:space="preserve">       0,411 t;</w:t>
      </w:r>
    </w:p>
    <w:p w:rsidR="006378A3" w:rsidRDefault="006378A3" w:rsidP="006378A3">
      <w:pPr>
        <w:autoSpaceDE w:val="0"/>
        <w:autoSpaceDN w:val="0"/>
        <w:adjustRightInd w:val="0"/>
        <w:spacing w:before="60" w:after="60" w:line="288" w:lineRule="auto"/>
        <w:jc w:val="both"/>
        <w:rPr>
          <w:rFonts w:cs="Arial"/>
          <w:lang w:val="en-GB"/>
        </w:rPr>
      </w:pPr>
      <w:r>
        <w:rPr>
          <w:rFonts w:cs="Arial"/>
          <w:lang w:val="en-GB"/>
        </w:rPr>
        <w:t xml:space="preserve">            -   Production processes</w:t>
      </w:r>
      <w:r>
        <w:rPr>
          <w:rFonts w:cs="Arial"/>
          <w:lang w:val="en-GB"/>
        </w:rPr>
        <w:tab/>
      </w:r>
      <w:r>
        <w:rPr>
          <w:rFonts w:cs="Arial"/>
          <w:lang w:val="en-GB"/>
        </w:rPr>
        <w:tab/>
      </w:r>
      <w:r>
        <w:rPr>
          <w:rFonts w:cs="Arial"/>
          <w:lang w:val="en-GB"/>
        </w:rPr>
        <w:tab/>
      </w:r>
      <w:r>
        <w:rPr>
          <w:rFonts w:cs="Arial"/>
          <w:lang w:val="en-GB"/>
        </w:rPr>
        <w:tab/>
      </w:r>
      <w:r>
        <w:rPr>
          <w:rFonts w:cs="Arial"/>
          <w:lang w:val="en-GB"/>
        </w:rPr>
        <w:tab/>
      </w:r>
      <w:r>
        <w:rPr>
          <w:rFonts w:cs="Arial"/>
          <w:lang w:val="en-GB"/>
        </w:rPr>
        <w:tab/>
        <w:t xml:space="preserve">                0,349 t. </w:t>
      </w:r>
    </w:p>
    <w:p w:rsidR="006378A3" w:rsidRDefault="006378A3" w:rsidP="006378A3">
      <w:pPr>
        <w:autoSpaceDE w:val="0"/>
        <w:autoSpaceDN w:val="0"/>
        <w:adjustRightInd w:val="0"/>
        <w:spacing w:before="60" w:after="60" w:line="288" w:lineRule="auto"/>
        <w:jc w:val="both"/>
        <w:rPr>
          <w:rFonts w:cs="Arial"/>
          <w:lang w:val="en-GB"/>
        </w:rPr>
      </w:pPr>
    </w:p>
    <w:p w:rsidR="006378A3" w:rsidRDefault="006378A3" w:rsidP="006378A3">
      <w:pPr>
        <w:widowControl w:val="0"/>
        <w:spacing w:before="60" w:after="60" w:line="288" w:lineRule="auto"/>
        <w:ind w:firstLine="720"/>
        <w:jc w:val="both"/>
        <w:rPr>
          <w:lang w:val="en-GB"/>
        </w:rPr>
      </w:pPr>
      <w:r w:rsidRPr="002E01ED">
        <w:rPr>
          <w:noProof/>
          <w:lang w:val="en-US" w:eastAsia="en-US"/>
        </w:rPr>
        <w:drawing>
          <wp:inline distT="0" distB="0" distL="0" distR="0" wp14:anchorId="07F3EEB4" wp14:editId="341932D4">
            <wp:extent cx="3796665" cy="1762760"/>
            <wp:effectExtent l="0" t="0" r="0" b="889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6665" cy="1762760"/>
                    </a:xfrm>
                    <a:prstGeom prst="rect">
                      <a:avLst/>
                    </a:prstGeom>
                    <a:noFill/>
                    <a:ln>
                      <a:noFill/>
                    </a:ln>
                  </pic:spPr>
                </pic:pic>
              </a:graphicData>
            </a:graphic>
          </wp:inline>
        </w:drawing>
      </w:r>
    </w:p>
    <w:p w:rsidR="006378A3" w:rsidRDefault="006378A3" w:rsidP="006378A3">
      <w:pPr>
        <w:widowControl w:val="0"/>
        <w:spacing w:before="60" w:after="60" w:line="288" w:lineRule="auto"/>
        <w:ind w:firstLine="708"/>
        <w:jc w:val="both"/>
        <w:rPr>
          <w:rFonts w:cs="Arial"/>
          <w:b/>
          <w:lang w:val="en-GB"/>
        </w:rPr>
      </w:pPr>
      <w:r>
        <w:rPr>
          <w:rFonts w:cs="Arial"/>
          <w:b/>
          <w:i/>
          <w:sz w:val="22"/>
          <w:szCs w:val="22"/>
          <w:lang w:val="en-GB"/>
        </w:rPr>
        <w:t>Figure 4.5.1</w:t>
      </w:r>
      <w:r>
        <w:rPr>
          <w:rFonts w:cs="Arial"/>
          <w:b/>
          <w:sz w:val="22"/>
          <w:szCs w:val="22"/>
          <w:lang w:val="en-GB"/>
        </w:rPr>
        <w:t xml:space="preserve"> Emission</w:t>
      </w:r>
      <w:r>
        <w:rPr>
          <w:rFonts w:cs="Arial"/>
          <w:sz w:val="22"/>
          <w:szCs w:val="22"/>
          <w:lang w:val="en-GB"/>
        </w:rPr>
        <w:t xml:space="preserve"> of SO</w:t>
      </w:r>
      <w:r>
        <w:rPr>
          <w:rFonts w:cs="Arial"/>
          <w:sz w:val="22"/>
          <w:szCs w:val="22"/>
          <w:vertAlign w:val="subscript"/>
          <w:lang w:val="en-GB"/>
        </w:rPr>
        <w:t>2</w:t>
      </w:r>
    </w:p>
    <w:p w:rsidR="006378A3" w:rsidRDefault="006378A3" w:rsidP="006378A3">
      <w:pPr>
        <w:widowControl w:val="0"/>
        <w:spacing w:before="60" w:after="60" w:line="288" w:lineRule="auto"/>
        <w:ind w:firstLine="720"/>
        <w:jc w:val="both"/>
        <w:rPr>
          <w:rFonts w:cs="Arial"/>
          <w:sz w:val="10"/>
          <w:szCs w:val="10"/>
          <w:lang w:val="en-GB"/>
        </w:rPr>
      </w:pPr>
    </w:p>
    <w:p w:rsidR="006378A3" w:rsidRDefault="006378A3" w:rsidP="006378A3">
      <w:pPr>
        <w:spacing w:before="60" w:after="60" w:line="288" w:lineRule="auto"/>
        <w:ind w:firstLine="708"/>
        <w:jc w:val="both"/>
        <w:rPr>
          <w:rFonts w:cs="Arial"/>
          <w:bCs/>
          <w:lang w:val="en-GB"/>
        </w:rPr>
      </w:pPr>
      <w:r>
        <w:rPr>
          <w:rFonts w:cs="Arial"/>
          <w:bCs/>
          <w:lang w:val="en-GB"/>
        </w:rPr>
        <w:t>There is a decrease in SO2 emissions by 6.9 % from the previous year. This decrease is mainly due to the use of natural gas instead of liquid fuels.</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i/>
          <w:lang w:val="en-GB" w:eastAsia="x-none"/>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left="720"/>
        <w:jc w:val="both"/>
        <w:rPr>
          <w:rFonts w:cs="Arial"/>
          <w:i/>
          <w:lang w:val="en-GB" w:eastAsia="x-none"/>
        </w:rPr>
      </w:pPr>
      <w:r>
        <w:rPr>
          <w:rFonts w:cs="Arial"/>
          <w:i/>
          <w:lang w:val="en-GB" w:eastAsia="x-none"/>
        </w:rPr>
        <w:t>Nitrogen oxides (NOx)</w:t>
      </w:r>
    </w:p>
    <w:p w:rsidR="006378A3" w:rsidRDefault="006378A3" w:rsidP="006378A3">
      <w:pPr>
        <w:autoSpaceDE w:val="0"/>
        <w:autoSpaceDN w:val="0"/>
        <w:adjustRightInd w:val="0"/>
        <w:spacing w:before="60" w:after="60" w:line="288" w:lineRule="auto"/>
        <w:ind w:left="720"/>
        <w:jc w:val="both"/>
        <w:rPr>
          <w:rFonts w:cs="Arial"/>
          <w:lang w:val="en-GB"/>
        </w:rPr>
      </w:pPr>
      <w:r>
        <w:rPr>
          <w:rFonts w:cs="Arial"/>
          <w:lang w:val="en-GB"/>
        </w:rPr>
        <w:t>NOx emissions come mainly from:</w:t>
      </w:r>
    </w:p>
    <w:p w:rsidR="006378A3" w:rsidRDefault="006378A3" w:rsidP="006378A3">
      <w:pPr>
        <w:numPr>
          <w:ilvl w:val="0"/>
          <w:numId w:val="68"/>
        </w:numPr>
        <w:autoSpaceDE w:val="0"/>
        <w:autoSpaceDN w:val="0"/>
        <w:adjustRightInd w:val="0"/>
        <w:spacing w:before="60" w:after="60" w:line="288" w:lineRule="auto"/>
        <w:jc w:val="both"/>
        <w:rPr>
          <w:rFonts w:cs="Arial"/>
          <w:lang w:val="en-GB"/>
        </w:rPr>
      </w:pPr>
      <w:r>
        <w:rPr>
          <w:rFonts w:cs="Arial"/>
          <w:lang w:val="en-GB"/>
        </w:rPr>
        <w:t>Combustion in energy and transformation industries</w:t>
      </w:r>
      <w:r>
        <w:rPr>
          <w:rFonts w:cs="Arial"/>
          <w:lang w:val="en-GB"/>
        </w:rPr>
        <w:tab/>
      </w:r>
      <w:r>
        <w:rPr>
          <w:rFonts w:cs="Arial"/>
          <w:lang w:val="en-GB"/>
        </w:rPr>
        <w:tab/>
        <w:t>19%;</w:t>
      </w:r>
    </w:p>
    <w:p w:rsidR="006378A3" w:rsidRDefault="006378A3" w:rsidP="006378A3">
      <w:pPr>
        <w:numPr>
          <w:ilvl w:val="0"/>
          <w:numId w:val="68"/>
        </w:numPr>
        <w:autoSpaceDE w:val="0"/>
        <w:autoSpaceDN w:val="0"/>
        <w:adjustRightInd w:val="0"/>
        <w:spacing w:before="60" w:after="60" w:line="288" w:lineRule="auto"/>
        <w:jc w:val="both"/>
        <w:rPr>
          <w:rFonts w:cs="Arial"/>
          <w:lang w:val="en-GB"/>
        </w:rPr>
      </w:pPr>
      <w:r>
        <w:rPr>
          <w:rFonts w:cs="Arial"/>
          <w:lang w:val="en-GB"/>
        </w:rPr>
        <w:t>Non-industrial combustion plants</w:t>
      </w:r>
      <w:r>
        <w:rPr>
          <w:rFonts w:cs="Arial"/>
          <w:lang w:val="en-GB"/>
        </w:rPr>
        <w:tab/>
      </w:r>
      <w:r>
        <w:rPr>
          <w:rFonts w:cs="Arial"/>
          <w:lang w:val="en-GB"/>
        </w:rPr>
        <w:tab/>
      </w:r>
      <w:r>
        <w:rPr>
          <w:rFonts w:cs="Arial"/>
          <w:lang w:val="en-GB"/>
        </w:rPr>
        <w:tab/>
      </w:r>
      <w:r>
        <w:rPr>
          <w:rFonts w:cs="Arial"/>
          <w:lang w:val="en-GB"/>
        </w:rPr>
        <w:tab/>
      </w:r>
      <w:r>
        <w:rPr>
          <w:rFonts w:cs="Arial"/>
          <w:lang w:val="en-GB"/>
        </w:rPr>
        <w:tab/>
        <w:t>27%;</w:t>
      </w:r>
    </w:p>
    <w:p w:rsidR="006378A3" w:rsidRDefault="006378A3" w:rsidP="006378A3">
      <w:pPr>
        <w:numPr>
          <w:ilvl w:val="0"/>
          <w:numId w:val="68"/>
        </w:numPr>
        <w:autoSpaceDE w:val="0"/>
        <w:autoSpaceDN w:val="0"/>
        <w:adjustRightInd w:val="0"/>
        <w:spacing w:before="60" w:after="60" w:line="288" w:lineRule="auto"/>
        <w:jc w:val="both"/>
        <w:rPr>
          <w:rFonts w:cs="Arial"/>
          <w:lang w:val="en-GB"/>
        </w:rPr>
      </w:pPr>
      <w:r>
        <w:rPr>
          <w:rFonts w:cs="Arial"/>
          <w:lang w:val="en-GB"/>
        </w:rPr>
        <w:t>Combustion in manufacturing industry</w:t>
      </w:r>
      <w:r>
        <w:rPr>
          <w:rFonts w:cs="Arial"/>
          <w:lang w:val="en-GB"/>
        </w:rPr>
        <w:tab/>
      </w:r>
      <w:r>
        <w:rPr>
          <w:rFonts w:cs="Arial"/>
          <w:lang w:val="en-GB"/>
        </w:rPr>
        <w:tab/>
      </w:r>
      <w:r>
        <w:rPr>
          <w:rFonts w:cs="Arial"/>
          <w:lang w:val="en-GB"/>
        </w:rPr>
        <w:tab/>
      </w:r>
      <w:r>
        <w:rPr>
          <w:rFonts w:cs="Arial"/>
          <w:lang w:val="en-GB"/>
        </w:rPr>
        <w:tab/>
        <w:t xml:space="preserve"> 7%;</w:t>
      </w:r>
    </w:p>
    <w:p w:rsidR="006378A3" w:rsidRDefault="006378A3" w:rsidP="006378A3">
      <w:pPr>
        <w:numPr>
          <w:ilvl w:val="0"/>
          <w:numId w:val="68"/>
        </w:numPr>
        <w:autoSpaceDE w:val="0"/>
        <w:autoSpaceDN w:val="0"/>
        <w:adjustRightInd w:val="0"/>
        <w:spacing w:before="60" w:after="60" w:line="288" w:lineRule="auto"/>
        <w:jc w:val="both"/>
        <w:rPr>
          <w:rFonts w:cs="Arial"/>
          <w:lang w:val="en-GB"/>
        </w:rPr>
      </w:pPr>
      <w:r>
        <w:rPr>
          <w:rFonts w:cs="Arial"/>
          <w:lang w:val="en-GB"/>
        </w:rPr>
        <w:t xml:space="preserve">Road transport </w:t>
      </w:r>
      <w:r>
        <w:rPr>
          <w:rFonts w:cs="Arial"/>
          <w:lang w:val="en-GB"/>
        </w:rPr>
        <w:tab/>
      </w:r>
      <w:r>
        <w:rPr>
          <w:rFonts w:cs="Arial"/>
          <w:lang w:val="en-GB"/>
        </w:rPr>
        <w:tab/>
      </w:r>
      <w:r>
        <w:rPr>
          <w:rFonts w:cs="Arial"/>
          <w:lang w:val="en-GB"/>
        </w:rPr>
        <w:tab/>
      </w:r>
      <w:r>
        <w:rPr>
          <w:rFonts w:cs="Arial"/>
          <w:lang w:val="en-GB"/>
        </w:rPr>
        <w:tab/>
      </w:r>
      <w:r>
        <w:rPr>
          <w:rFonts w:cs="Arial"/>
          <w:lang w:val="en-GB"/>
        </w:rPr>
        <w:tab/>
      </w:r>
      <w:r>
        <w:rPr>
          <w:rFonts w:cs="Arial"/>
          <w:lang w:val="en-GB"/>
        </w:rPr>
        <w:tab/>
      </w:r>
      <w:r>
        <w:rPr>
          <w:rFonts w:cs="Arial"/>
          <w:lang w:val="en-GB"/>
        </w:rPr>
        <w:tab/>
        <w:t>32%;</w:t>
      </w:r>
    </w:p>
    <w:p w:rsidR="006378A3" w:rsidRDefault="006378A3" w:rsidP="006378A3">
      <w:pPr>
        <w:numPr>
          <w:ilvl w:val="0"/>
          <w:numId w:val="68"/>
        </w:numPr>
        <w:autoSpaceDE w:val="0"/>
        <w:autoSpaceDN w:val="0"/>
        <w:adjustRightInd w:val="0"/>
        <w:spacing w:before="60" w:after="60" w:line="288" w:lineRule="auto"/>
        <w:jc w:val="both"/>
        <w:rPr>
          <w:rFonts w:cs="Arial"/>
          <w:lang w:val="en-GB"/>
        </w:rPr>
      </w:pPr>
      <w:r>
        <w:rPr>
          <w:rFonts w:cs="Arial"/>
          <w:lang w:val="en-GB"/>
        </w:rPr>
        <w:t>Mobile sources  and machinery</w:t>
      </w:r>
      <w:r>
        <w:rPr>
          <w:rFonts w:cs="Arial"/>
          <w:lang w:val="en-GB"/>
        </w:rPr>
        <w:tab/>
      </w:r>
      <w:r>
        <w:rPr>
          <w:rFonts w:cs="Arial"/>
          <w:lang w:val="en-GB"/>
        </w:rPr>
        <w:tab/>
      </w:r>
      <w:r>
        <w:rPr>
          <w:rFonts w:cs="Arial"/>
          <w:lang w:val="en-GB"/>
        </w:rPr>
        <w:tab/>
      </w:r>
      <w:r>
        <w:rPr>
          <w:rFonts w:cs="Arial"/>
          <w:lang w:val="en-GB"/>
        </w:rPr>
        <w:tab/>
        <w:t>15%.</w:t>
      </w:r>
    </w:p>
    <w:p w:rsidR="006378A3" w:rsidRDefault="006378A3" w:rsidP="006378A3">
      <w:pPr>
        <w:widowControl w:val="0"/>
        <w:spacing w:before="60" w:after="60" w:line="288" w:lineRule="auto"/>
        <w:ind w:left="720"/>
        <w:jc w:val="both"/>
        <w:rPr>
          <w:rFonts w:cs="Arial"/>
          <w:sz w:val="22"/>
          <w:szCs w:val="22"/>
          <w:lang w:val="en-GB"/>
        </w:rPr>
      </w:pPr>
    </w:p>
    <w:p w:rsidR="006378A3" w:rsidRDefault="006378A3" w:rsidP="006378A3">
      <w:pPr>
        <w:spacing w:before="60" w:after="60" w:line="288" w:lineRule="auto"/>
        <w:ind w:firstLine="720"/>
        <w:jc w:val="both"/>
        <w:rPr>
          <w:rFonts w:cs="Arial"/>
          <w:sz w:val="22"/>
          <w:szCs w:val="22"/>
          <w:lang w:val="en-GB"/>
        </w:rPr>
      </w:pPr>
      <w:r w:rsidRPr="002E01ED">
        <w:rPr>
          <w:rFonts w:cs="Arial"/>
          <w:noProof/>
          <w:sz w:val="22"/>
          <w:szCs w:val="22"/>
          <w:lang w:val="en-US" w:eastAsia="en-US"/>
        </w:rPr>
        <w:lastRenderedPageBreak/>
        <w:drawing>
          <wp:inline distT="0" distB="0" distL="0" distR="0" wp14:anchorId="188EB8BD" wp14:editId="3651E029">
            <wp:extent cx="3803650" cy="1880235"/>
            <wp:effectExtent l="0" t="0" r="6350" b="5715"/>
            <wp:docPr id="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03650" cy="1880235"/>
                    </a:xfrm>
                    <a:prstGeom prst="rect">
                      <a:avLst/>
                    </a:prstGeom>
                    <a:noFill/>
                    <a:ln>
                      <a:noFill/>
                    </a:ln>
                  </pic:spPr>
                </pic:pic>
              </a:graphicData>
            </a:graphic>
          </wp:inline>
        </w:drawing>
      </w:r>
    </w:p>
    <w:p w:rsidR="006378A3" w:rsidRDefault="006378A3" w:rsidP="006378A3">
      <w:pPr>
        <w:widowControl w:val="0"/>
        <w:spacing w:before="60" w:after="60" w:line="288" w:lineRule="auto"/>
        <w:ind w:left="720"/>
        <w:jc w:val="both"/>
        <w:rPr>
          <w:rFonts w:cs="Arial"/>
          <w:b/>
          <w:lang w:val="en-GB"/>
        </w:rPr>
      </w:pPr>
      <w:r>
        <w:rPr>
          <w:rFonts w:cs="Arial"/>
          <w:b/>
          <w:i/>
          <w:sz w:val="22"/>
          <w:szCs w:val="22"/>
          <w:lang w:val="en-GB"/>
        </w:rPr>
        <w:t>Figure 4.5.2</w:t>
      </w:r>
      <w:r>
        <w:rPr>
          <w:rFonts w:cs="Arial"/>
          <w:b/>
          <w:sz w:val="22"/>
          <w:szCs w:val="22"/>
          <w:lang w:val="en-GB"/>
        </w:rPr>
        <w:t xml:space="preserve"> Emission</w:t>
      </w:r>
      <w:r>
        <w:rPr>
          <w:rFonts w:cs="Arial"/>
          <w:sz w:val="22"/>
          <w:szCs w:val="22"/>
          <w:lang w:val="en-GB"/>
        </w:rPr>
        <w:t xml:space="preserve"> of NO</w:t>
      </w:r>
      <w:r>
        <w:rPr>
          <w:rFonts w:cs="Arial"/>
          <w:sz w:val="22"/>
          <w:szCs w:val="22"/>
          <w:vertAlign w:val="subscript"/>
          <w:lang w:val="en-GB"/>
        </w:rPr>
        <w:t>x</w:t>
      </w:r>
    </w:p>
    <w:p w:rsidR="006378A3" w:rsidRDefault="006378A3" w:rsidP="006378A3">
      <w:pPr>
        <w:spacing w:before="60" w:after="60" w:line="288" w:lineRule="auto"/>
        <w:ind w:firstLine="720"/>
        <w:jc w:val="both"/>
        <w:rPr>
          <w:rFonts w:cs="Arial"/>
          <w:lang w:val="en-GB"/>
        </w:rPr>
      </w:pPr>
    </w:p>
    <w:p w:rsidR="006378A3" w:rsidRDefault="006378A3" w:rsidP="006378A3">
      <w:pPr>
        <w:spacing w:before="60" w:after="60" w:line="288" w:lineRule="auto"/>
        <w:ind w:firstLine="720"/>
        <w:jc w:val="both"/>
        <w:rPr>
          <w:bCs/>
          <w:lang w:val="en-GB"/>
        </w:rPr>
      </w:pPr>
      <w:r>
        <w:rPr>
          <w:bCs/>
          <w:lang w:val="en-GB"/>
        </w:rPr>
        <w:t>In 2013, there is a decrease in NOx emissions by 3.3 % from the previous year. A cause of this phenomenon is the use of low NOx burners at SC Energoterm SA Tulcea.</w:t>
      </w:r>
    </w:p>
    <w:p w:rsidR="006378A3" w:rsidRDefault="006378A3" w:rsidP="006378A3">
      <w:pPr>
        <w:spacing w:before="60" w:after="60" w:line="288" w:lineRule="auto"/>
        <w:ind w:firstLine="720"/>
        <w:jc w:val="both"/>
        <w:rPr>
          <w:rFonts w:cs="Arial"/>
          <w:lang w:val="en-GB"/>
        </w:rPr>
      </w:pPr>
      <w:r>
        <w:rPr>
          <w:rFonts w:cs="Arial"/>
          <w:lang w:val="en-GB"/>
        </w:rPr>
        <w:t>At the county level, there are three air quality automatic monitoring stations as part of the National Network for Air Quality Monitoring (RNMCA) located in accordance with criteria established by the European directives on air quality to protect human health, vegetation and ecosystems to assess the influence of different types of sources of emissions.</w:t>
      </w:r>
    </w:p>
    <w:p w:rsidR="006378A3" w:rsidRDefault="006378A3" w:rsidP="006378A3">
      <w:pPr>
        <w:spacing w:before="60" w:after="60" w:line="288" w:lineRule="auto"/>
        <w:ind w:firstLine="720"/>
        <w:jc w:val="both"/>
        <w:rPr>
          <w:rFonts w:cs="Arial"/>
          <w:lang w:val="en-GB"/>
        </w:rPr>
      </w:pPr>
      <w:r>
        <w:rPr>
          <w:rFonts w:cs="Arial"/>
          <w:lang w:val="en-GB"/>
        </w:rPr>
        <w:t>To the above mentioned are added laboratory equipment used to measure the concentrations of heavy metals: lead (Pb), cadmium (Cd), arsenic (As), nickel (Ni), particulate matter concentrations of aerosols and deposits (PM10).</w:t>
      </w:r>
    </w:p>
    <w:p w:rsidR="006378A3" w:rsidRDefault="006378A3" w:rsidP="006378A3">
      <w:pPr>
        <w:spacing w:before="60" w:after="60" w:line="288" w:lineRule="auto"/>
        <w:ind w:firstLine="720"/>
        <w:jc w:val="both"/>
        <w:rPr>
          <w:rFonts w:cs="Arial"/>
          <w:lang w:val="en-GB"/>
        </w:rPr>
      </w:pPr>
    </w:p>
    <w:p w:rsidR="006378A3" w:rsidRDefault="006378A3" w:rsidP="006378A3">
      <w:pPr>
        <w:spacing w:before="60" w:after="60" w:line="288" w:lineRule="auto"/>
        <w:ind w:firstLine="720"/>
        <w:jc w:val="both"/>
        <w:rPr>
          <w:rFonts w:cs="Arial"/>
          <w:sz w:val="22"/>
          <w:szCs w:val="22"/>
          <w:lang w:val="en-GB"/>
        </w:rPr>
      </w:pPr>
      <w:r>
        <w:rPr>
          <w:rFonts w:cs="Arial"/>
          <w:b/>
          <w:i/>
          <w:sz w:val="22"/>
          <w:szCs w:val="22"/>
          <w:lang w:val="en-GB"/>
        </w:rPr>
        <w:t>Table 4.5.1</w:t>
      </w:r>
      <w:r>
        <w:rPr>
          <w:rFonts w:cs="Arial"/>
          <w:b/>
          <w:sz w:val="22"/>
          <w:szCs w:val="22"/>
          <w:lang w:val="en-GB"/>
        </w:rPr>
        <w:t xml:space="preserve"> </w:t>
      </w:r>
      <w:r>
        <w:rPr>
          <w:rFonts w:cs="Arial"/>
          <w:sz w:val="22"/>
          <w:szCs w:val="22"/>
          <w:lang w:val="en-GB"/>
        </w:rPr>
        <w:t xml:space="preserve">Air quality monitoring stations </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170"/>
        <w:gridCol w:w="6570"/>
      </w:tblGrid>
      <w:tr w:rsidR="006378A3" w:rsidTr="002E01ED">
        <w:trPr>
          <w:trHeight w:hRule="exact" w:val="510"/>
          <w:jc w:val="center"/>
        </w:trPr>
        <w:tc>
          <w:tcPr>
            <w:tcW w:w="2268" w:type="dxa"/>
          </w:tcPr>
          <w:p w:rsidR="006378A3" w:rsidRDefault="006378A3" w:rsidP="002E01ED">
            <w:pPr>
              <w:jc w:val="both"/>
              <w:rPr>
                <w:rFonts w:cs="Arial"/>
                <w:b/>
                <w:sz w:val="22"/>
                <w:szCs w:val="22"/>
                <w:lang w:val="en-GB"/>
              </w:rPr>
            </w:pPr>
            <w:r>
              <w:rPr>
                <w:rFonts w:cs="Arial"/>
                <w:b/>
                <w:sz w:val="22"/>
                <w:szCs w:val="22"/>
                <w:lang w:val="en-GB"/>
              </w:rPr>
              <w:t>Type of stations</w:t>
            </w:r>
          </w:p>
        </w:tc>
        <w:tc>
          <w:tcPr>
            <w:tcW w:w="1170" w:type="dxa"/>
          </w:tcPr>
          <w:p w:rsidR="006378A3" w:rsidRDefault="006378A3" w:rsidP="002E01ED">
            <w:pPr>
              <w:jc w:val="both"/>
              <w:rPr>
                <w:rFonts w:cs="Arial"/>
                <w:b/>
                <w:sz w:val="22"/>
                <w:szCs w:val="22"/>
                <w:lang w:val="en-GB"/>
              </w:rPr>
            </w:pPr>
            <w:r>
              <w:rPr>
                <w:rFonts w:cs="Arial"/>
                <w:b/>
                <w:sz w:val="22"/>
                <w:szCs w:val="22"/>
                <w:lang w:val="en-GB"/>
              </w:rPr>
              <w:t>Number</w:t>
            </w:r>
          </w:p>
        </w:tc>
        <w:tc>
          <w:tcPr>
            <w:tcW w:w="6570" w:type="dxa"/>
          </w:tcPr>
          <w:p w:rsidR="006378A3" w:rsidRDefault="006378A3" w:rsidP="002E01ED">
            <w:pPr>
              <w:jc w:val="both"/>
              <w:rPr>
                <w:rFonts w:cs="Arial"/>
                <w:b/>
                <w:sz w:val="22"/>
                <w:szCs w:val="22"/>
                <w:lang w:val="en-GB"/>
              </w:rPr>
            </w:pPr>
            <w:r>
              <w:rPr>
                <w:rFonts w:cs="Arial"/>
                <w:b/>
                <w:sz w:val="22"/>
                <w:szCs w:val="22"/>
                <w:lang w:val="en-GB"/>
              </w:rPr>
              <w:t>Location</w:t>
            </w:r>
          </w:p>
        </w:tc>
      </w:tr>
      <w:tr w:rsidR="006378A3" w:rsidTr="002E01ED">
        <w:trPr>
          <w:trHeight w:hRule="exact" w:val="510"/>
          <w:jc w:val="center"/>
        </w:trPr>
        <w:tc>
          <w:tcPr>
            <w:tcW w:w="2268" w:type="dxa"/>
          </w:tcPr>
          <w:p w:rsidR="006378A3" w:rsidRDefault="006378A3" w:rsidP="002E01ED">
            <w:pPr>
              <w:jc w:val="both"/>
              <w:rPr>
                <w:rFonts w:cs="Arial"/>
                <w:sz w:val="22"/>
                <w:szCs w:val="22"/>
                <w:lang w:val="en-GB"/>
              </w:rPr>
            </w:pPr>
            <w:r>
              <w:rPr>
                <w:rFonts w:cs="Arial"/>
                <w:sz w:val="22"/>
                <w:szCs w:val="22"/>
                <w:lang w:val="en-GB"/>
              </w:rPr>
              <w:t>Traffic</w:t>
            </w:r>
          </w:p>
        </w:tc>
        <w:tc>
          <w:tcPr>
            <w:tcW w:w="1170" w:type="dxa"/>
          </w:tcPr>
          <w:p w:rsidR="006378A3" w:rsidRDefault="006378A3" w:rsidP="002E01ED">
            <w:pPr>
              <w:jc w:val="both"/>
              <w:rPr>
                <w:rFonts w:cs="Arial"/>
                <w:sz w:val="22"/>
                <w:szCs w:val="22"/>
                <w:lang w:val="en-GB"/>
              </w:rPr>
            </w:pPr>
            <w:r>
              <w:rPr>
                <w:rFonts w:cs="Arial"/>
                <w:sz w:val="22"/>
                <w:szCs w:val="22"/>
                <w:lang w:val="en-GB"/>
              </w:rPr>
              <w:t>1</w:t>
            </w:r>
          </w:p>
        </w:tc>
        <w:tc>
          <w:tcPr>
            <w:tcW w:w="6570" w:type="dxa"/>
          </w:tcPr>
          <w:p w:rsidR="006378A3" w:rsidRDefault="006378A3" w:rsidP="002E01ED">
            <w:pPr>
              <w:jc w:val="both"/>
              <w:rPr>
                <w:rFonts w:cs="Arial"/>
                <w:sz w:val="22"/>
                <w:szCs w:val="22"/>
                <w:lang w:val="en-GB"/>
              </w:rPr>
            </w:pPr>
            <w:r>
              <w:rPr>
                <w:rFonts w:cs="Arial"/>
                <w:sz w:val="22"/>
                <w:szCs w:val="22"/>
                <w:lang w:val="en-GB"/>
              </w:rPr>
              <w:t>The station is located about 10 m from the intersection, with intense traffic intersection</w:t>
            </w:r>
          </w:p>
          <w:p w:rsidR="006378A3" w:rsidRDefault="006378A3" w:rsidP="002E01ED">
            <w:pPr>
              <w:jc w:val="both"/>
              <w:rPr>
                <w:rFonts w:cs="Arial"/>
                <w:sz w:val="22"/>
                <w:szCs w:val="22"/>
                <w:lang w:val="en-GB"/>
              </w:rPr>
            </w:pPr>
          </w:p>
        </w:tc>
      </w:tr>
      <w:tr w:rsidR="006378A3" w:rsidTr="002E01ED">
        <w:trPr>
          <w:trHeight w:hRule="exact" w:val="510"/>
          <w:jc w:val="center"/>
        </w:trPr>
        <w:tc>
          <w:tcPr>
            <w:tcW w:w="2268" w:type="dxa"/>
          </w:tcPr>
          <w:p w:rsidR="006378A3" w:rsidRDefault="006378A3" w:rsidP="002E01ED">
            <w:pPr>
              <w:jc w:val="both"/>
              <w:rPr>
                <w:rFonts w:cs="Arial"/>
                <w:sz w:val="22"/>
                <w:szCs w:val="22"/>
                <w:lang w:val="en-GB"/>
              </w:rPr>
            </w:pPr>
            <w:r>
              <w:rPr>
                <w:rFonts w:cs="Arial"/>
                <w:sz w:val="22"/>
                <w:szCs w:val="22"/>
                <w:lang w:val="en-GB"/>
              </w:rPr>
              <w:t>Industrial</w:t>
            </w:r>
          </w:p>
        </w:tc>
        <w:tc>
          <w:tcPr>
            <w:tcW w:w="1170" w:type="dxa"/>
          </w:tcPr>
          <w:p w:rsidR="006378A3" w:rsidRDefault="006378A3" w:rsidP="002E01ED">
            <w:pPr>
              <w:jc w:val="both"/>
              <w:rPr>
                <w:rFonts w:cs="Arial"/>
                <w:sz w:val="22"/>
                <w:szCs w:val="22"/>
                <w:lang w:val="en-GB"/>
              </w:rPr>
            </w:pPr>
            <w:r>
              <w:rPr>
                <w:rFonts w:cs="Arial"/>
                <w:sz w:val="22"/>
                <w:szCs w:val="22"/>
                <w:lang w:val="en-GB"/>
              </w:rPr>
              <w:t>1</w:t>
            </w:r>
          </w:p>
        </w:tc>
        <w:tc>
          <w:tcPr>
            <w:tcW w:w="657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ourier New" w:hAnsi="Courier New" w:cs="Courier New"/>
                <w:sz w:val="20"/>
                <w:szCs w:val="20"/>
                <w:lang w:val="en-GB" w:eastAsia="en-US"/>
              </w:rPr>
            </w:pPr>
            <w:r>
              <w:rPr>
                <w:rFonts w:cs="Arial"/>
                <w:sz w:val="22"/>
                <w:szCs w:val="22"/>
                <w:lang w:val="en-GB"/>
              </w:rPr>
              <w:t xml:space="preserve">The station is located about 1 km from Tulcea Western industrial platform </w:t>
            </w:r>
          </w:p>
          <w:p w:rsidR="006378A3" w:rsidRDefault="006378A3" w:rsidP="002E01ED">
            <w:pPr>
              <w:jc w:val="both"/>
              <w:rPr>
                <w:rFonts w:cs="Arial"/>
                <w:sz w:val="22"/>
                <w:szCs w:val="22"/>
                <w:lang w:val="en-GB"/>
              </w:rPr>
            </w:pPr>
          </w:p>
        </w:tc>
      </w:tr>
      <w:tr w:rsidR="006378A3" w:rsidTr="002E01ED">
        <w:trPr>
          <w:trHeight w:hRule="exact" w:val="379"/>
          <w:jc w:val="center"/>
        </w:trPr>
        <w:tc>
          <w:tcPr>
            <w:tcW w:w="2268" w:type="dxa"/>
          </w:tcPr>
          <w:p w:rsidR="006378A3" w:rsidRDefault="006378A3" w:rsidP="002E01ED">
            <w:pPr>
              <w:jc w:val="both"/>
              <w:rPr>
                <w:rFonts w:cs="Arial"/>
                <w:sz w:val="22"/>
                <w:szCs w:val="22"/>
                <w:lang w:val="en-GB"/>
              </w:rPr>
            </w:pPr>
            <w:r>
              <w:rPr>
                <w:rFonts w:cs="Arial"/>
                <w:sz w:val="22"/>
                <w:szCs w:val="22"/>
                <w:lang w:val="en-GB"/>
              </w:rPr>
              <w:t>Suburban/traffic</w:t>
            </w:r>
          </w:p>
        </w:tc>
        <w:tc>
          <w:tcPr>
            <w:tcW w:w="1170" w:type="dxa"/>
          </w:tcPr>
          <w:p w:rsidR="006378A3" w:rsidRDefault="006378A3" w:rsidP="002E01ED">
            <w:pPr>
              <w:jc w:val="both"/>
              <w:rPr>
                <w:rFonts w:cs="Arial"/>
                <w:sz w:val="22"/>
                <w:szCs w:val="22"/>
                <w:lang w:val="en-GB"/>
              </w:rPr>
            </w:pPr>
            <w:r>
              <w:rPr>
                <w:rFonts w:cs="Arial"/>
                <w:sz w:val="22"/>
                <w:szCs w:val="22"/>
                <w:lang w:val="en-GB"/>
              </w:rPr>
              <w:t>1</w:t>
            </w:r>
          </w:p>
        </w:tc>
        <w:tc>
          <w:tcPr>
            <w:tcW w:w="657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rPr>
            </w:pPr>
            <w:r>
              <w:rPr>
                <w:rFonts w:cs="Arial"/>
                <w:sz w:val="22"/>
                <w:szCs w:val="22"/>
                <w:lang w:val="en-GB"/>
              </w:rPr>
              <w:t>The station is located on Route 22 out of Isaccea</w:t>
            </w:r>
          </w:p>
          <w:p w:rsidR="006378A3" w:rsidRDefault="006378A3" w:rsidP="002E01ED">
            <w:pPr>
              <w:jc w:val="both"/>
              <w:rPr>
                <w:rFonts w:cs="Arial"/>
                <w:sz w:val="22"/>
                <w:szCs w:val="22"/>
                <w:lang w:val="en-GB"/>
              </w:rPr>
            </w:pPr>
          </w:p>
        </w:tc>
      </w:tr>
    </w:tbl>
    <w:p w:rsidR="006378A3" w:rsidRDefault="006378A3" w:rsidP="006378A3">
      <w:pPr>
        <w:autoSpaceDE w:val="0"/>
        <w:autoSpaceDN w:val="0"/>
        <w:adjustRightInd w:val="0"/>
        <w:spacing w:before="60" w:after="60" w:line="288" w:lineRule="auto"/>
        <w:jc w:val="both"/>
        <w:rPr>
          <w:rFonts w:cs="Arial"/>
          <w:bCs/>
          <w:i/>
          <w:lang w:val="en-GB"/>
        </w:rPr>
      </w:pPr>
    </w:p>
    <w:p w:rsidR="006378A3" w:rsidRDefault="006378A3" w:rsidP="006378A3">
      <w:pPr>
        <w:autoSpaceDE w:val="0"/>
        <w:autoSpaceDN w:val="0"/>
        <w:adjustRightInd w:val="0"/>
        <w:spacing w:before="60" w:after="60" w:line="288" w:lineRule="auto"/>
        <w:ind w:firstLine="720"/>
        <w:jc w:val="both"/>
        <w:rPr>
          <w:rFonts w:cs="Arial"/>
          <w:lang w:val="en-GB"/>
        </w:rPr>
      </w:pPr>
      <w:r>
        <w:rPr>
          <w:rFonts w:cs="Arial"/>
          <w:bCs/>
          <w:i/>
          <w:lang w:val="en-GB"/>
        </w:rPr>
        <w:t>Sulphur dioxide (SO</w:t>
      </w:r>
      <w:r>
        <w:rPr>
          <w:rFonts w:cs="Arial"/>
          <w:bCs/>
          <w:i/>
          <w:vertAlign w:val="subscript"/>
          <w:lang w:val="en-GB"/>
        </w:rPr>
        <w:t>2</w:t>
      </w:r>
      <w:r>
        <w:rPr>
          <w:rFonts w:cs="Arial"/>
          <w:bCs/>
          <w:i/>
          <w:lang w:val="en-GB"/>
        </w:rPr>
        <w:t>)</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ourier New" w:hAnsi="Courier New"/>
          <w:sz w:val="20"/>
          <w:szCs w:val="20"/>
          <w:lang w:val="en-GB" w:eastAsia="x-none"/>
        </w:rPr>
      </w:pPr>
    </w:p>
    <w:p w:rsidR="006378A3" w:rsidRDefault="006378A3" w:rsidP="006378A3">
      <w:pPr>
        <w:autoSpaceDE w:val="0"/>
        <w:autoSpaceDN w:val="0"/>
        <w:adjustRightInd w:val="0"/>
        <w:spacing w:before="60" w:after="60" w:line="288" w:lineRule="auto"/>
        <w:ind w:firstLine="720"/>
        <w:jc w:val="both"/>
        <w:rPr>
          <w:rFonts w:cs="Arial"/>
          <w:lang w:val="en-GB"/>
        </w:rPr>
      </w:pPr>
      <w:r>
        <w:rPr>
          <w:rFonts w:cs="Arial"/>
          <w:lang w:val="en-GB"/>
        </w:rPr>
        <w:t>Determining the level of air pollution with sulphur dioxide was performed in 2013 by air quality monitoring automatic stations: TL1 - Mushroom Traffic, TL2 and TL3 Public -Transport - Isaccea.</w:t>
      </w:r>
    </w:p>
    <w:p w:rsidR="006378A3" w:rsidRDefault="006378A3" w:rsidP="006378A3">
      <w:pPr>
        <w:spacing w:before="60" w:after="60" w:line="288" w:lineRule="auto"/>
        <w:ind w:firstLine="720"/>
        <w:jc w:val="both"/>
        <w:rPr>
          <w:rFonts w:cs="Arial"/>
          <w:lang w:val="en-GB"/>
        </w:rPr>
      </w:pPr>
      <w:r>
        <w:rPr>
          <w:rFonts w:cs="Arial"/>
          <w:lang w:val="en-GB"/>
        </w:rPr>
        <w:t>Measurements of sulphur dioxide carried in Tulcea, reveals the following:</w:t>
      </w:r>
    </w:p>
    <w:p w:rsidR="006378A3" w:rsidRDefault="006378A3" w:rsidP="006378A3">
      <w:pPr>
        <w:numPr>
          <w:ilvl w:val="1"/>
          <w:numId w:val="16"/>
        </w:numPr>
        <w:tabs>
          <w:tab w:val="num" w:pos="1080"/>
        </w:tabs>
        <w:spacing w:before="60" w:after="60" w:line="288" w:lineRule="auto"/>
        <w:ind w:left="1080"/>
        <w:jc w:val="both"/>
        <w:rPr>
          <w:rFonts w:cs="Arial"/>
          <w:lang w:val="en-GB"/>
        </w:rPr>
      </w:pPr>
      <w:r>
        <w:rPr>
          <w:rFonts w:cs="Arial"/>
          <w:lang w:val="en-GB"/>
        </w:rPr>
        <w:t xml:space="preserve">There were no problems, with hourly values ​​recorded in 2013 falling below the limit value ( 350 mg / mc) </w:t>
      </w:r>
    </w:p>
    <w:p w:rsidR="006378A3" w:rsidRDefault="006378A3" w:rsidP="006378A3">
      <w:pPr>
        <w:numPr>
          <w:ilvl w:val="1"/>
          <w:numId w:val="16"/>
        </w:numPr>
        <w:tabs>
          <w:tab w:val="num" w:pos="1080"/>
        </w:tabs>
        <w:spacing w:before="60" w:after="60" w:line="288" w:lineRule="auto"/>
        <w:ind w:left="1080"/>
        <w:jc w:val="both"/>
        <w:rPr>
          <w:rFonts w:cs="Arial"/>
          <w:lang w:val="en-GB"/>
        </w:rPr>
      </w:pPr>
      <w:r>
        <w:rPr>
          <w:rFonts w:cs="Arial"/>
          <w:lang w:val="en-GB"/>
        </w:rPr>
        <w:t>Annual averages from three stations were under VL 20 mg/m</w:t>
      </w:r>
      <w:r>
        <w:rPr>
          <w:rFonts w:cs="Arial"/>
          <w:vertAlign w:val="superscript"/>
          <w:lang w:val="en-GB"/>
        </w:rPr>
        <w:t>3</w:t>
      </w:r>
      <w:r>
        <w:rPr>
          <w:rFonts w:cs="Arial"/>
          <w:lang w:val="en-GB"/>
        </w:rPr>
        <w:t xml:space="preserve"> </w:t>
      </w:r>
    </w:p>
    <w:p w:rsidR="006378A3" w:rsidRDefault="006378A3" w:rsidP="006378A3">
      <w:pPr>
        <w:numPr>
          <w:ilvl w:val="1"/>
          <w:numId w:val="16"/>
        </w:numPr>
        <w:tabs>
          <w:tab w:val="num" w:pos="1080"/>
        </w:tabs>
        <w:spacing w:before="60" w:after="60" w:line="288" w:lineRule="auto"/>
        <w:ind w:left="1080"/>
        <w:jc w:val="both"/>
        <w:rPr>
          <w:rFonts w:cs="Arial"/>
          <w:lang w:val="en-GB"/>
        </w:rPr>
      </w:pPr>
      <w:r>
        <w:rPr>
          <w:rFonts w:cs="Arial"/>
          <w:lang w:val="en-GB"/>
        </w:rPr>
        <w:t>There were no exceedance of the alert threshold of 500 (mg/m</w:t>
      </w:r>
      <w:r>
        <w:rPr>
          <w:rFonts w:cs="Arial"/>
          <w:vertAlign w:val="superscript"/>
          <w:lang w:val="en-GB"/>
        </w:rPr>
        <w:t>3</w:t>
      </w:r>
      <w:r>
        <w:rPr>
          <w:rFonts w:cs="Arial"/>
          <w:lang w:val="en-GB"/>
        </w:rPr>
        <w:t>) at any monitoring station.</w:t>
      </w:r>
    </w:p>
    <w:p w:rsidR="006378A3" w:rsidRDefault="006378A3" w:rsidP="006378A3">
      <w:pPr>
        <w:autoSpaceDE w:val="0"/>
        <w:autoSpaceDN w:val="0"/>
        <w:adjustRightInd w:val="0"/>
        <w:spacing w:before="60" w:after="60" w:line="288" w:lineRule="auto"/>
        <w:ind w:firstLine="720"/>
        <w:jc w:val="both"/>
        <w:rPr>
          <w:rFonts w:cs="Arial"/>
          <w:i/>
          <w:lang w:val="en-GB"/>
        </w:rPr>
      </w:pPr>
    </w:p>
    <w:p w:rsidR="006378A3" w:rsidRDefault="006378A3" w:rsidP="006378A3">
      <w:pPr>
        <w:autoSpaceDE w:val="0"/>
        <w:autoSpaceDN w:val="0"/>
        <w:adjustRightInd w:val="0"/>
        <w:spacing w:before="60" w:after="60" w:line="288" w:lineRule="auto"/>
        <w:ind w:firstLine="720"/>
        <w:jc w:val="both"/>
        <w:rPr>
          <w:rFonts w:cs="Arial"/>
          <w:i/>
          <w:lang w:val="en-GB"/>
        </w:rPr>
      </w:pPr>
      <w:r>
        <w:rPr>
          <w:rFonts w:cs="Arial"/>
          <w:i/>
          <w:lang w:val="en-GB"/>
        </w:rPr>
        <w:t>Nitrogen oxides (NOx)</w:t>
      </w:r>
    </w:p>
    <w:p w:rsidR="006378A3" w:rsidRDefault="006378A3" w:rsidP="006378A3">
      <w:pPr>
        <w:tabs>
          <w:tab w:val="center" w:pos="4680"/>
          <w:tab w:val="right" w:pos="9360"/>
        </w:tabs>
        <w:spacing w:before="60" w:after="60" w:line="288" w:lineRule="auto"/>
        <w:ind w:firstLine="720"/>
        <w:jc w:val="both"/>
        <w:rPr>
          <w:rFonts w:cs="Arial"/>
          <w:lang w:val="en-GB" w:eastAsia="en-US"/>
        </w:rPr>
      </w:pPr>
      <w:r>
        <w:rPr>
          <w:rFonts w:cs="Arial"/>
          <w:lang w:val="en-GB" w:eastAsia="en-US"/>
        </w:rPr>
        <w:lastRenderedPageBreak/>
        <w:t>Determining the level of air pollution with nitrogen dioxide was performed in 2013 by air quality monitoring stations TL2 and TL3 Public -Transport  and Isaccea.</w:t>
      </w:r>
    </w:p>
    <w:p w:rsidR="006378A3" w:rsidRDefault="006378A3" w:rsidP="006378A3">
      <w:pPr>
        <w:tabs>
          <w:tab w:val="center" w:pos="4680"/>
          <w:tab w:val="right" w:pos="9360"/>
        </w:tabs>
        <w:spacing w:before="60" w:after="60" w:line="288" w:lineRule="auto"/>
        <w:ind w:firstLine="720"/>
        <w:jc w:val="both"/>
        <w:rPr>
          <w:rFonts w:cs="Arial"/>
          <w:lang w:val="en-GB" w:eastAsia="en-US"/>
        </w:rPr>
      </w:pPr>
      <w:r>
        <w:rPr>
          <w:rFonts w:cs="Arial"/>
          <w:lang w:val="en-GB" w:eastAsia="en-US"/>
        </w:rPr>
        <w:t>Hourly average values ​​for NO</w:t>
      </w:r>
      <w:r>
        <w:rPr>
          <w:rFonts w:cs="Arial"/>
          <w:vertAlign w:val="subscript"/>
          <w:lang w:val="en-GB" w:eastAsia="en-US"/>
        </w:rPr>
        <w:t>2</w:t>
      </w:r>
      <w:r>
        <w:rPr>
          <w:rFonts w:cs="Arial"/>
          <w:lang w:val="en-GB" w:eastAsia="en-US"/>
        </w:rPr>
        <w:t xml:space="preserve"> was under the hourly limit value of 200 mg/m</w:t>
      </w:r>
      <w:r>
        <w:rPr>
          <w:rFonts w:cs="Arial"/>
          <w:vertAlign w:val="superscript"/>
          <w:lang w:val="en-GB" w:eastAsia="en-US"/>
        </w:rPr>
        <w:t>3</w:t>
      </w:r>
      <w:r>
        <w:rPr>
          <w:rFonts w:cs="Arial"/>
          <w:lang w:val="en-GB" w:eastAsia="en-US"/>
        </w:rPr>
        <w:t>.</w:t>
      </w:r>
    </w:p>
    <w:p w:rsidR="006378A3" w:rsidRDefault="006378A3" w:rsidP="006378A3">
      <w:pPr>
        <w:autoSpaceDE w:val="0"/>
        <w:autoSpaceDN w:val="0"/>
        <w:adjustRightInd w:val="0"/>
        <w:spacing w:before="60" w:after="60" w:line="288" w:lineRule="auto"/>
        <w:ind w:firstLine="720"/>
        <w:jc w:val="both"/>
        <w:rPr>
          <w:rFonts w:cs="Arial"/>
          <w:i/>
          <w:lang w:val="en-GB"/>
        </w:rPr>
      </w:pPr>
      <w:r>
        <w:rPr>
          <w:rFonts w:cs="Arial"/>
          <w:i/>
          <w:lang w:val="en-GB"/>
        </w:rPr>
        <w:t>Analyzing NO</w:t>
      </w:r>
      <w:r w:rsidRPr="0088539B">
        <w:rPr>
          <w:rFonts w:cs="Arial"/>
          <w:i/>
          <w:vertAlign w:val="subscript"/>
          <w:lang w:val="en-GB"/>
        </w:rPr>
        <w:t>2</w:t>
      </w:r>
      <w:r>
        <w:rPr>
          <w:rFonts w:cs="Arial"/>
          <w:i/>
          <w:lang w:val="en-GB"/>
        </w:rPr>
        <w:t xml:space="preserve"> measurements it appears that in 2013 no exceedances of the alert threshold of 400 µg / m</w:t>
      </w:r>
      <w:r w:rsidRPr="0088539B">
        <w:rPr>
          <w:rFonts w:cs="Arial"/>
          <w:i/>
          <w:vertAlign w:val="superscript"/>
          <w:lang w:val="en-GB"/>
        </w:rPr>
        <w:t>3</w:t>
      </w:r>
      <w:r>
        <w:rPr>
          <w:rFonts w:cs="Arial"/>
          <w:i/>
          <w:lang w:val="en-GB"/>
        </w:rPr>
        <w:t xml:space="preserve"> were recorded and nor of the annual limit value of 40 µg /m</w:t>
      </w:r>
      <w:r w:rsidRPr="0088539B">
        <w:rPr>
          <w:rFonts w:cs="Arial"/>
          <w:i/>
          <w:vertAlign w:val="superscript"/>
          <w:lang w:val="en-GB"/>
        </w:rPr>
        <w:t>3</w:t>
      </w:r>
      <w:r>
        <w:rPr>
          <w:rFonts w:cs="Arial"/>
          <w:i/>
          <w:lang w:val="en-GB"/>
        </w:rPr>
        <w:t xml:space="preserve">. </w:t>
      </w:r>
    </w:p>
    <w:p w:rsidR="006378A3" w:rsidRDefault="006378A3" w:rsidP="006378A3">
      <w:pPr>
        <w:autoSpaceDE w:val="0"/>
        <w:autoSpaceDN w:val="0"/>
        <w:adjustRightInd w:val="0"/>
        <w:spacing w:before="60" w:after="60" w:line="288" w:lineRule="auto"/>
        <w:ind w:firstLine="720"/>
        <w:jc w:val="both"/>
        <w:rPr>
          <w:rFonts w:cs="Arial"/>
          <w:i/>
          <w:lang w:val="en-GB"/>
        </w:rPr>
      </w:pPr>
      <w:r>
        <w:rPr>
          <w:rFonts w:cs="Arial"/>
          <w:i/>
          <w:lang w:val="en-GB"/>
        </w:rPr>
        <w:t>Particulate matter</w:t>
      </w:r>
    </w:p>
    <w:p w:rsidR="006378A3" w:rsidRDefault="006378A3" w:rsidP="006378A3">
      <w:pPr>
        <w:spacing w:before="60" w:after="60" w:line="288" w:lineRule="auto"/>
        <w:ind w:firstLine="720"/>
        <w:jc w:val="both"/>
        <w:rPr>
          <w:rFonts w:cs="Arial"/>
          <w:lang w:val="en-GB"/>
        </w:rPr>
      </w:pPr>
      <w:r>
        <w:rPr>
          <w:rFonts w:cs="Arial"/>
          <w:lang w:val="en-GB"/>
        </w:rPr>
        <w:t>In 2013, measurements for PM10were made at two automatic air quality stations: TL1 and TL3, namely TL1 Ciuperca – traffic station and TL 3 Isaccea parallel to gravimetric determinationsValoarea limită anuală şi orară pentru protecţia sănătăţii nu a fost depăşită în nici una din staţiile automate  de monitorizare a  calităţii aerului situate în județul Tulcea..</w:t>
      </w:r>
    </w:p>
    <w:p w:rsidR="006378A3" w:rsidRDefault="006378A3" w:rsidP="006378A3">
      <w:pPr>
        <w:spacing w:before="60" w:after="60" w:line="288" w:lineRule="auto"/>
        <w:ind w:firstLine="720"/>
        <w:jc w:val="both"/>
        <w:rPr>
          <w:rFonts w:cs="Arial"/>
          <w:lang w:val="en-GB"/>
        </w:rPr>
      </w:pPr>
      <w:r>
        <w:rPr>
          <w:rFonts w:cs="Arial"/>
          <w:lang w:val="en-GB"/>
        </w:rPr>
        <w:t>Annual and hourly limit value for health protection was not exceeded in any of the automatic stations located in Tulcea.</w:t>
      </w:r>
    </w:p>
    <w:p w:rsidR="006378A3" w:rsidRDefault="006378A3" w:rsidP="006378A3">
      <w:pPr>
        <w:autoSpaceDE w:val="0"/>
        <w:autoSpaceDN w:val="0"/>
        <w:adjustRightInd w:val="0"/>
        <w:spacing w:before="60" w:after="60" w:line="288" w:lineRule="auto"/>
        <w:jc w:val="both"/>
        <w:rPr>
          <w:rFonts w:cs="Arial"/>
          <w:lang w:val="en-GB"/>
        </w:rPr>
      </w:pPr>
      <w:r>
        <w:rPr>
          <w:rFonts w:cs="Arial"/>
          <w:lang w:val="en-GB"/>
        </w:rPr>
        <w:t>During 2013 no major environmental incidents with impact on air quality were recorded</w:t>
      </w:r>
    </w:p>
    <w:p w:rsidR="006378A3" w:rsidRDefault="006378A3" w:rsidP="006378A3">
      <w:pPr>
        <w:spacing w:before="60" w:after="60" w:line="288" w:lineRule="auto"/>
        <w:jc w:val="both"/>
        <w:rPr>
          <w:b/>
          <w:lang w:val="en-GB"/>
        </w:rPr>
      </w:pPr>
    </w:p>
    <w:p w:rsidR="006378A3" w:rsidRDefault="006378A3" w:rsidP="006378A3">
      <w:pPr>
        <w:numPr>
          <w:ilvl w:val="0"/>
          <w:numId w:val="3"/>
        </w:numPr>
        <w:spacing w:before="60" w:after="60" w:line="288" w:lineRule="auto"/>
        <w:jc w:val="both"/>
        <w:rPr>
          <w:rFonts w:cs="Arial"/>
          <w:b/>
          <w:lang w:val="en-GB"/>
        </w:rPr>
      </w:pPr>
      <w:r>
        <w:rPr>
          <w:rFonts w:cs="Arial"/>
          <w:b/>
          <w:lang w:val="en-GB"/>
        </w:rPr>
        <w:t>SOIL</w:t>
      </w:r>
    </w:p>
    <w:p w:rsidR="006378A3" w:rsidRDefault="006378A3" w:rsidP="006378A3">
      <w:pPr>
        <w:autoSpaceDE w:val="0"/>
        <w:autoSpaceDN w:val="0"/>
        <w:adjustRightInd w:val="0"/>
        <w:spacing w:before="60" w:after="60" w:line="288" w:lineRule="auto"/>
        <w:ind w:firstLine="720"/>
        <w:jc w:val="both"/>
        <w:rPr>
          <w:rFonts w:eastAsia="Calibri" w:cs="Arial"/>
          <w:bCs/>
          <w:lang w:val="en-GB"/>
        </w:rPr>
      </w:pPr>
      <w:r>
        <w:rPr>
          <w:rFonts w:eastAsia="Calibri" w:cs="Arial"/>
          <w:b/>
          <w:bCs/>
          <w:lang w:val="en-GB"/>
        </w:rPr>
        <w:t>Table 4.5.2</w:t>
      </w:r>
      <w:r>
        <w:rPr>
          <w:rFonts w:eastAsia="Calibri" w:cs="Arial"/>
          <w:bCs/>
          <w:lang w:val="en-GB"/>
        </w:rPr>
        <w:t xml:space="preserve"> shows the distribution of land uses in different categories.</w:t>
      </w:r>
    </w:p>
    <w:p w:rsidR="006378A3" w:rsidRDefault="006378A3" w:rsidP="006378A3">
      <w:pPr>
        <w:autoSpaceDE w:val="0"/>
        <w:autoSpaceDN w:val="0"/>
        <w:adjustRightInd w:val="0"/>
        <w:spacing w:before="60" w:after="60" w:line="288" w:lineRule="auto"/>
        <w:ind w:left="360"/>
        <w:jc w:val="both"/>
        <w:rPr>
          <w:rFonts w:eastAsia="Calibri" w:cs="Arial"/>
          <w:b/>
          <w:bCs/>
          <w:i/>
          <w:sz w:val="22"/>
          <w:szCs w:val="22"/>
          <w:lang w:val="en-GB"/>
        </w:rPr>
      </w:pPr>
    </w:p>
    <w:p w:rsidR="006378A3" w:rsidRDefault="006378A3" w:rsidP="006378A3">
      <w:pPr>
        <w:autoSpaceDE w:val="0"/>
        <w:autoSpaceDN w:val="0"/>
        <w:adjustRightInd w:val="0"/>
        <w:spacing w:before="60" w:after="60" w:line="288" w:lineRule="auto"/>
        <w:ind w:left="360"/>
        <w:jc w:val="both"/>
        <w:rPr>
          <w:rFonts w:eastAsia="Calibri" w:cs="Arial"/>
          <w:b/>
          <w:bCs/>
          <w:i/>
          <w:sz w:val="22"/>
          <w:szCs w:val="22"/>
          <w:lang w:val="en-GB"/>
        </w:rPr>
      </w:pPr>
      <w:r>
        <w:rPr>
          <w:rFonts w:eastAsia="Calibri" w:cs="Arial"/>
          <w:b/>
          <w:bCs/>
          <w:i/>
          <w:sz w:val="22"/>
          <w:szCs w:val="22"/>
          <w:lang w:val="en-GB"/>
        </w:rPr>
        <w:t xml:space="preserve">Table 4.5.2 </w:t>
      </w:r>
      <w:r>
        <w:rPr>
          <w:rFonts w:eastAsia="Calibri" w:cs="Arial"/>
          <w:bCs/>
          <w:sz w:val="22"/>
          <w:szCs w:val="22"/>
          <w:lang w:val="en-GB"/>
        </w:rPr>
        <w:t>Distribution of soil by use</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1"/>
        <w:gridCol w:w="1600"/>
        <w:gridCol w:w="1599"/>
        <w:gridCol w:w="1586"/>
        <w:gridCol w:w="1584"/>
        <w:gridCol w:w="1638"/>
      </w:tblGrid>
      <w:tr w:rsidR="006378A3" w:rsidTr="002E01ED">
        <w:tc>
          <w:tcPr>
            <w:tcW w:w="1641" w:type="dxa"/>
            <w:vMerge w:val="restart"/>
            <w:shd w:val="clear" w:color="auto" w:fill="E6E6E6"/>
            <w:vAlign w:val="center"/>
          </w:tcPr>
          <w:p w:rsidR="006378A3" w:rsidRDefault="006378A3" w:rsidP="002E01ED">
            <w:pPr>
              <w:jc w:val="both"/>
              <w:rPr>
                <w:rFonts w:cs="Arial"/>
                <w:b/>
                <w:sz w:val="22"/>
                <w:szCs w:val="22"/>
                <w:lang w:val="en-GB"/>
              </w:rPr>
            </w:pPr>
            <w:r>
              <w:rPr>
                <w:rFonts w:cs="Arial"/>
                <w:b/>
                <w:sz w:val="22"/>
                <w:szCs w:val="22"/>
                <w:lang w:val="en-GB"/>
              </w:rPr>
              <w:t>Year</w:t>
            </w:r>
          </w:p>
        </w:tc>
        <w:tc>
          <w:tcPr>
            <w:tcW w:w="8007" w:type="dxa"/>
            <w:gridSpan w:val="5"/>
            <w:shd w:val="clear" w:color="auto" w:fill="E6E6E6"/>
            <w:vAlign w:val="center"/>
          </w:tcPr>
          <w:p w:rsidR="006378A3" w:rsidRDefault="006378A3" w:rsidP="002E01ED">
            <w:pPr>
              <w:jc w:val="both"/>
              <w:rPr>
                <w:rFonts w:cs="Arial"/>
                <w:b/>
                <w:sz w:val="22"/>
                <w:szCs w:val="22"/>
                <w:lang w:val="en-GB"/>
              </w:rPr>
            </w:pPr>
            <w:r>
              <w:rPr>
                <w:rFonts w:cs="Arial"/>
                <w:b/>
                <w:sz w:val="22"/>
                <w:szCs w:val="22"/>
                <w:lang w:val="en-GB"/>
              </w:rPr>
              <w:t>Use category (ha)</w:t>
            </w:r>
          </w:p>
        </w:tc>
      </w:tr>
      <w:tr w:rsidR="006378A3" w:rsidTr="002E01ED">
        <w:tc>
          <w:tcPr>
            <w:tcW w:w="1641" w:type="dxa"/>
            <w:vMerge/>
            <w:shd w:val="clear" w:color="auto" w:fill="E6E6E6"/>
            <w:vAlign w:val="center"/>
          </w:tcPr>
          <w:p w:rsidR="006378A3" w:rsidRDefault="006378A3" w:rsidP="002E01ED">
            <w:pPr>
              <w:jc w:val="both"/>
              <w:rPr>
                <w:rFonts w:cs="Arial"/>
                <w:b/>
                <w:sz w:val="22"/>
                <w:szCs w:val="22"/>
                <w:lang w:val="en-GB"/>
              </w:rPr>
            </w:pPr>
          </w:p>
        </w:tc>
        <w:tc>
          <w:tcPr>
            <w:tcW w:w="1600" w:type="dxa"/>
            <w:shd w:val="clear" w:color="auto" w:fill="E6E6E6"/>
            <w:vAlign w:val="center"/>
          </w:tcPr>
          <w:p w:rsidR="006378A3" w:rsidRDefault="006378A3" w:rsidP="002E01ED">
            <w:pPr>
              <w:jc w:val="both"/>
              <w:rPr>
                <w:rFonts w:cs="Arial"/>
                <w:b/>
                <w:sz w:val="22"/>
                <w:szCs w:val="22"/>
                <w:lang w:val="en-GB"/>
              </w:rPr>
            </w:pPr>
            <w:r>
              <w:rPr>
                <w:rFonts w:cs="Arial"/>
                <w:b/>
                <w:bCs/>
                <w:sz w:val="22"/>
                <w:szCs w:val="22"/>
                <w:lang w:val="en-GB"/>
              </w:rPr>
              <w:t>Arable</w:t>
            </w:r>
          </w:p>
        </w:tc>
        <w:tc>
          <w:tcPr>
            <w:tcW w:w="1599" w:type="dxa"/>
            <w:shd w:val="clear" w:color="auto" w:fill="E6E6E6"/>
            <w:vAlign w:val="center"/>
          </w:tcPr>
          <w:p w:rsidR="006378A3" w:rsidRDefault="006378A3" w:rsidP="002E01ED">
            <w:pPr>
              <w:jc w:val="both"/>
              <w:rPr>
                <w:rFonts w:cs="Arial"/>
                <w:b/>
                <w:sz w:val="22"/>
                <w:szCs w:val="22"/>
                <w:lang w:val="en-GB"/>
              </w:rPr>
            </w:pPr>
            <w:r>
              <w:rPr>
                <w:rFonts w:cs="Arial"/>
                <w:b/>
                <w:bCs/>
                <w:sz w:val="22"/>
                <w:szCs w:val="22"/>
                <w:lang w:val="en-GB"/>
              </w:rPr>
              <w:t>Pasture and meadow</w:t>
            </w:r>
          </w:p>
        </w:tc>
        <w:tc>
          <w:tcPr>
            <w:tcW w:w="1586" w:type="dxa"/>
            <w:shd w:val="clear" w:color="auto" w:fill="E6E6E6"/>
            <w:vAlign w:val="center"/>
          </w:tcPr>
          <w:p w:rsidR="006378A3" w:rsidRDefault="006378A3" w:rsidP="002E01ED">
            <w:pPr>
              <w:jc w:val="both"/>
              <w:rPr>
                <w:rFonts w:cs="Arial"/>
                <w:b/>
                <w:sz w:val="22"/>
                <w:szCs w:val="22"/>
                <w:lang w:val="en-GB"/>
              </w:rPr>
            </w:pPr>
            <w:r>
              <w:rPr>
                <w:rFonts w:cs="Arial"/>
                <w:b/>
                <w:bCs/>
                <w:sz w:val="22"/>
                <w:szCs w:val="22"/>
                <w:lang w:val="en-GB"/>
              </w:rPr>
              <w:t>Vineyard</w:t>
            </w:r>
          </w:p>
        </w:tc>
        <w:tc>
          <w:tcPr>
            <w:tcW w:w="1584" w:type="dxa"/>
            <w:shd w:val="clear" w:color="auto" w:fill="E6E6E6"/>
            <w:vAlign w:val="center"/>
          </w:tcPr>
          <w:p w:rsidR="006378A3" w:rsidRDefault="006378A3" w:rsidP="002E01ED">
            <w:pPr>
              <w:jc w:val="both"/>
              <w:rPr>
                <w:rFonts w:cs="Arial"/>
                <w:b/>
                <w:sz w:val="22"/>
                <w:szCs w:val="22"/>
                <w:lang w:val="en-GB"/>
              </w:rPr>
            </w:pPr>
            <w:r>
              <w:rPr>
                <w:rFonts w:cs="Arial"/>
                <w:b/>
                <w:bCs/>
                <w:sz w:val="22"/>
                <w:szCs w:val="22"/>
                <w:lang w:val="en-GB"/>
              </w:rPr>
              <w:t>Orchards</w:t>
            </w:r>
          </w:p>
        </w:tc>
        <w:tc>
          <w:tcPr>
            <w:tcW w:w="1638" w:type="dxa"/>
            <w:shd w:val="clear" w:color="auto" w:fill="E6E6E6"/>
            <w:vAlign w:val="center"/>
          </w:tcPr>
          <w:p w:rsidR="006378A3" w:rsidRDefault="006378A3" w:rsidP="002E01ED">
            <w:pPr>
              <w:jc w:val="both"/>
              <w:rPr>
                <w:rFonts w:cs="Arial"/>
                <w:b/>
                <w:sz w:val="22"/>
                <w:szCs w:val="22"/>
                <w:lang w:val="en-GB"/>
              </w:rPr>
            </w:pPr>
            <w:r>
              <w:rPr>
                <w:rFonts w:cs="Arial"/>
                <w:b/>
                <w:bCs/>
                <w:i/>
                <w:sz w:val="22"/>
                <w:szCs w:val="22"/>
                <w:lang w:val="en-GB"/>
              </w:rPr>
              <w:t xml:space="preserve">TOTAL </w:t>
            </w:r>
          </w:p>
        </w:tc>
      </w:tr>
      <w:tr w:rsidR="006378A3" w:rsidTr="002E01ED">
        <w:tc>
          <w:tcPr>
            <w:tcW w:w="1641" w:type="dxa"/>
            <w:vAlign w:val="center"/>
          </w:tcPr>
          <w:p w:rsidR="006378A3" w:rsidRDefault="006378A3" w:rsidP="002E01ED">
            <w:pPr>
              <w:jc w:val="both"/>
              <w:rPr>
                <w:rFonts w:cs="Arial"/>
                <w:b/>
                <w:sz w:val="22"/>
                <w:szCs w:val="22"/>
                <w:lang w:val="en-GB"/>
              </w:rPr>
            </w:pPr>
            <w:r>
              <w:rPr>
                <w:rFonts w:cs="Arial"/>
                <w:b/>
                <w:sz w:val="22"/>
                <w:szCs w:val="22"/>
                <w:lang w:val="en-GB"/>
              </w:rPr>
              <w:t>2008</w:t>
            </w:r>
          </w:p>
        </w:tc>
        <w:tc>
          <w:tcPr>
            <w:tcW w:w="1600" w:type="dxa"/>
            <w:vAlign w:val="center"/>
          </w:tcPr>
          <w:p w:rsidR="006378A3" w:rsidRDefault="006378A3" w:rsidP="002E01ED">
            <w:pPr>
              <w:jc w:val="both"/>
              <w:rPr>
                <w:rFonts w:cs="Arial"/>
                <w:sz w:val="22"/>
                <w:szCs w:val="22"/>
                <w:lang w:val="en-GB"/>
              </w:rPr>
            </w:pPr>
            <w:r>
              <w:rPr>
                <w:rFonts w:cs="Arial"/>
                <w:sz w:val="22"/>
                <w:szCs w:val="22"/>
                <w:lang w:val="en-GB"/>
              </w:rPr>
              <w:t>291.923</w:t>
            </w:r>
          </w:p>
        </w:tc>
        <w:tc>
          <w:tcPr>
            <w:tcW w:w="1599" w:type="dxa"/>
            <w:vAlign w:val="center"/>
          </w:tcPr>
          <w:p w:rsidR="006378A3" w:rsidRDefault="006378A3" w:rsidP="002E01ED">
            <w:pPr>
              <w:jc w:val="both"/>
              <w:rPr>
                <w:rFonts w:cs="Arial"/>
                <w:sz w:val="22"/>
                <w:szCs w:val="22"/>
                <w:lang w:val="en-GB"/>
              </w:rPr>
            </w:pPr>
            <w:r>
              <w:rPr>
                <w:rFonts w:cs="Arial"/>
                <w:sz w:val="22"/>
                <w:szCs w:val="22"/>
                <w:lang w:val="en-GB"/>
              </w:rPr>
              <w:t>62.806</w:t>
            </w:r>
          </w:p>
        </w:tc>
        <w:tc>
          <w:tcPr>
            <w:tcW w:w="1586" w:type="dxa"/>
            <w:vAlign w:val="center"/>
          </w:tcPr>
          <w:p w:rsidR="006378A3" w:rsidRDefault="006378A3" w:rsidP="002E01ED">
            <w:pPr>
              <w:jc w:val="both"/>
              <w:rPr>
                <w:rFonts w:cs="Arial"/>
                <w:sz w:val="22"/>
                <w:szCs w:val="22"/>
                <w:lang w:val="en-GB"/>
              </w:rPr>
            </w:pPr>
            <w:r>
              <w:rPr>
                <w:rFonts w:cs="Arial"/>
                <w:sz w:val="22"/>
                <w:szCs w:val="22"/>
                <w:lang w:val="en-GB"/>
              </w:rPr>
              <w:t>8.202</w:t>
            </w:r>
          </w:p>
        </w:tc>
        <w:tc>
          <w:tcPr>
            <w:tcW w:w="1584" w:type="dxa"/>
            <w:vAlign w:val="center"/>
          </w:tcPr>
          <w:p w:rsidR="006378A3" w:rsidRDefault="006378A3" w:rsidP="002E01ED">
            <w:pPr>
              <w:jc w:val="both"/>
              <w:rPr>
                <w:rFonts w:cs="Arial"/>
                <w:sz w:val="22"/>
                <w:szCs w:val="22"/>
                <w:lang w:val="en-GB"/>
              </w:rPr>
            </w:pPr>
            <w:r>
              <w:rPr>
                <w:rFonts w:cs="Arial"/>
                <w:sz w:val="22"/>
                <w:szCs w:val="22"/>
                <w:lang w:val="en-GB"/>
              </w:rPr>
              <w:t>1.010</w:t>
            </w:r>
          </w:p>
        </w:tc>
        <w:tc>
          <w:tcPr>
            <w:tcW w:w="1638" w:type="dxa"/>
            <w:vAlign w:val="center"/>
          </w:tcPr>
          <w:p w:rsidR="006378A3" w:rsidRDefault="006378A3" w:rsidP="002E01ED">
            <w:pPr>
              <w:jc w:val="both"/>
              <w:rPr>
                <w:rFonts w:cs="Arial"/>
                <w:sz w:val="22"/>
                <w:szCs w:val="22"/>
                <w:lang w:val="en-GB"/>
              </w:rPr>
            </w:pPr>
            <w:r>
              <w:rPr>
                <w:rFonts w:cs="Arial"/>
                <w:sz w:val="22"/>
                <w:szCs w:val="22"/>
                <w:lang w:val="en-GB"/>
              </w:rPr>
              <w:t>363.941</w:t>
            </w:r>
          </w:p>
        </w:tc>
      </w:tr>
      <w:tr w:rsidR="006378A3" w:rsidTr="002E01ED">
        <w:tc>
          <w:tcPr>
            <w:tcW w:w="1641" w:type="dxa"/>
            <w:vAlign w:val="center"/>
          </w:tcPr>
          <w:p w:rsidR="006378A3" w:rsidRDefault="006378A3" w:rsidP="002E01ED">
            <w:pPr>
              <w:jc w:val="both"/>
              <w:rPr>
                <w:rFonts w:cs="Arial"/>
                <w:b/>
                <w:sz w:val="22"/>
                <w:szCs w:val="22"/>
                <w:lang w:val="en-GB"/>
              </w:rPr>
            </w:pPr>
            <w:r>
              <w:rPr>
                <w:rFonts w:cs="Arial"/>
                <w:b/>
                <w:sz w:val="22"/>
                <w:szCs w:val="22"/>
                <w:lang w:val="en-GB"/>
              </w:rPr>
              <w:t>2009</w:t>
            </w:r>
          </w:p>
        </w:tc>
        <w:tc>
          <w:tcPr>
            <w:tcW w:w="1600" w:type="dxa"/>
            <w:vAlign w:val="center"/>
          </w:tcPr>
          <w:p w:rsidR="006378A3" w:rsidRDefault="006378A3" w:rsidP="002E01ED">
            <w:pPr>
              <w:jc w:val="both"/>
              <w:rPr>
                <w:rFonts w:cs="Arial"/>
                <w:sz w:val="22"/>
                <w:szCs w:val="22"/>
                <w:lang w:val="en-GB"/>
              </w:rPr>
            </w:pPr>
            <w:r>
              <w:rPr>
                <w:rFonts w:cs="Arial"/>
                <w:sz w:val="22"/>
                <w:szCs w:val="22"/>
                <w:lang w:val="en-GB"/>
              </w:rPr>
              <w:t>294.039</w:t>
            </w:r>
          </w:p>
        </w:tc>
        <w:tc>
          <w:tcPr>
            <w:tcW w:w="1599" w:type="dxa"/>
            <w:vAlign w:val="center"/>
          </w:tcPr>
          <w:p w:rsidR="006378A3" w:rsidRDefault="006378A3" w:rsidP="002E01ED">
            <w:pPr>
              <w:jc w:val="both"/>
              <w:rPr>
                <w:rFonts w:cs="Arial"/>
                <w:sz w:val="22"/>
                <w:szCs w:val="22"/>
                <w:lang w:val="en-GB"/>
              </w:rPr>
            </w:pPr>
            <w:r>
              <w:rPr>
                <w:rFonts w:cs="Arial"/>
                <w:sz w:val="22"/>
                <w:szCs w:val="22"/>
                <w:lang w:val="en-GB"/>
              </w:rPr>
              <w:t>60.688</w:t>
            </w:r>
          </w:p>
        </w:tc>
        <w:tc>
          <w:tcPr>
            <w:tcW w:w="1586" w:type="dxa"/>
            <w:vAlign w:val="center"/>
          </w:tcPr>
          <w:p w:rsidR="006378A3" w:rsidRDefault="006378A3" w:rsidP="002E01ED">
            <w:pPr>
              <w:jc w:val="both"/>
              <w:rPr>
                <w:rFonts w:cs="Arial"/>
                <w:sz w:val="22"/>
                <w:szCs w:val="22"/>
                <w:lang w:val="en-GB"/>
              </w:rPr>
            </w:pPr>
            <w:r>
              <w:rPr>
                <w:rFonts w:cs="Arial"/>
                <w:sz w:val="22"/>
                <w:szCs w:val="22"/>
                <w:lang w:val="en-GB"/>
              </w:rPr>
              <w:t>8.202</w:t>
            </w:r>
          </w:p>
        </w:tc>
        <w:tc>
          <w:tcPr>
            <w:tcW w:w="1584" w:type="dxa"/>
            <w:vAlign w:val="center"/>
          </w:tcPr>
          <w:p w:rsidR="006378A3" w:rsidRDefault="006378A3" w:rsidP="002E01ED">
            <w:pPr>
              <w:jc w:val="both"/>
              <w:rPr>
                <w:rFonts w:cs="Arial"/>
                <w:sz w:val="22"/>
                <w:szCs w:val="22"/>
                <w:lang w:val="en-GB"/>
              </w:rPr>
            </w:pPr>
            <w:r>
              <w:rPr>
                <w:rFonts w:cs="Arial"/>
                <w:sz w:val="22"/>
                <w:szCs w:val="22"/>
                <w:lang w:val="en-GB"/>
              </w:rPr>
              <w:t>1.012</w:t>
            </w:r>
          </w:p>
        </w:tc>
        <w:tc>
          <w:tcPr>
            <w:tcW w:w="1638" w:type="dxa"/>
            <w:vAlign w:val="center"/>
          </w:tcPr>
          <w:p w:rsidR="006378A3" w:rsidRDefault="006378A3" w:rsidP="002E01ED">
            <w:pPr>
              <w:jc w:val="both"/>
              <w:rPr>
                <w:rFonts w:cs="Arial"/>
                <w:sz w:val="22"/>
                <w:szCs w:val="22"/>
                <w:lang w:val="en-GB"/>
              </w:rPr>
            </w:pPr>
            <w:r>
              <w:rPr>
                <w:rFonts w:cs="Arial"/>
                <w:sz w:val="22"/>
                <w:szCs w:val="22"/>
                <w:lang w:val="en-GB"/>
              </w:rPr>
              <w:t>363.941</w:t>
            </w:r>
          </w:p>
        </w:tc>
      </w:tr>
      <w:tr w:rsidR="006378A3" w:rsidTr="002E01ED">
        <w:tc>
          <w:tcPr>
            <w:tcW w:w="1641" w:type="dxa"/>
            <w:vAlign w:val="center"/>
          </w:tcPr>
          <w:p w:rsidR="006378A3" w:rsidRDefault="006378A3" w:rsidP="002E01ED">
            <w:pPr>
              <w:jc w:val="both"/>
              <w:rPr>
                <w:rFonts w:cs="Arial"/>
                <w:b/>
                <w:sz w:val="22"/>
                <w:szCs w:val="22"/>
                <w:lang w:val="en-GB"/>
              </w:rPr>
            </w:pPr>
            <w:r>
              <w:rPr>
                <w:rFonts w:cs="Arial"/>
                <w:b/>
                <w:sz w:val="22"/>
                <w:szCs w:val="22"/>
                <w:lang w:val="en-GB"/>
              </w:rPr>
              <w:t>2010</w:t>
            </w:r>
          </w:p>
        </w:tc>
        <w:tc>
          <w:tcPr>
            <w:tcW w:w="1600" w:type="dxa"/>
            <w:vAlign w:val="center"/>
          </w:tcPr>
          <w:p w:rsidR="006378A3" w:rsidRDefault="006378A3" w:rsidP="002E01ED">
            <w:pPr>
              <w:jc w:val="both"/>
              <w:rPr>
                <w:rFonts w:cs="Arial"/>
                <w:sz w:val="22"/>
                <w:szCs w:val="22"/>
                <w:lang w:val="en-GB"/>
              </w:rPr>
            </w:pPr>
            <w:r>
              <w:rPr>
                <w:rFonts w:cs="Arial"/>
                <w:sz w:val="22"/>
                <w:szCs w:val="22"/>
                <w:lang w:val="en-GB"/>
              </w:rPr>
              <w:t>291.866</w:t>
            </w:r>
          </w:p>
        </w:tc>
        <w:tc>
          <w:tcPr>
            <w:tcW w:w="1599" w:type="dxa"/>
            <w:vAlign w:val="center"/>
          </w:tcPr>
          <w:p w:rsidR="006378A3" w:rsidRDefault="006378A3" w:rsidP="002E01ED">
            <w:pPr>
              <w:jc w:val="both"/>
              <w:rPr>
                <w:rFonts w:cs="Arial"/>
                <w:sz w:val="22"/>
                <w:szCs w:val="22"/>
                <w:lang w:val="en-GB"/>
              </w:rPr>
            </w:pPr>
            <w:r>
              <w:rPr>
                <w:rFonts w:cs="Arial"/>
                <w:sz w:val="22"/>
                <w:szCs w:val="22"/>
                <w:lang w:val="en-GB"/>
              </w:rPr>
              <w:t>62.980</w:t>
            </w:r>
          </w:p>
        </w:tc>
        <w:tc>
          <w:tcPr>
            <w:tcW w:w="1586" w:type="dxa"/>
            <w:vAlign w:val="center"/>
          </w:tcPr>
          <w:p w:rsidR="006378A3" w:rsidRDefault="006378A3" w:rsidP="002E01ED">
            <w:pPr>
              <w:jc w:val="both"/>
              <w:rPr>
                <w:rFonts w:cs="Arial"/>
                <w:sz w:val="22"/>
                <w:szCs w:val="22"/>
                <w:lang w:val="en-GB"/>
              </w:rPr>
            </w:pPr>
            <w:r>
              <w:rPr>
                <w:rFonts w:cs="Arial"/>
                <w:sz w:val="22"/>
                <w:szCs w:val="22"/>
                <w:lang w:val="en-GB"/>
              </w:rPr>
              <w:t>8.274</w:t>
            </w:r>
          </w:p>
        </w:tc>
        <w:tc>
          <w:tcPr>
            <w:tcW w:w="1584" w:type="dxa"/>
            <w:vAlign w:val="center"/>
          </w:tcPr>
          <w:p w:rsidR="006378A3" w:rsidRDefault="006378A3" w:rsidP="002E01ED">
            <w:pPr>
              <w:jc w:val="both"/>
              <w:rPr>
                <w:rFonts w:cs="Arial"/>
                <w:sz w:val="22"/>
                <w:szCs w:val="22"/>
                <w:lang w:val="en-GB"/>
              </w:rPr>
            </w:pPr>
            <w:r>
              <w:rPr>
                <w:rFonts w:cs="Arial"/>
                <w:sz w:val="22"/>
                <w:szCs w:val="22"/>
                <w:lang w:val="en-GB"/>
              </w:rPr>
              <w:t>821</w:t>
            </w:r>
          </w:p>
        </w:tc>
        <w:tc>
          <w:tcPr>
            <w:tcW w:w="1638" w:type="dxa"/>
            <w:vAlign w:val="center"/>
          </w:tcPr>
          <w:p w:rsidR="006378A3" w:rsidRDefault="006378A3" w:rsidP="002E01ED">
            <w:pPr>
              <w:jc w:val="both"/>
              <w:rPr>
                <w:rFonts w:cs="Arial"/>
                <w:sz w:val="22"/>
                <w:szCs w:val="22"/>
                <w:lang w:val="en-GB"/>
              </w:rPr>
            </w:pPr>
            <w:r>
              <w:rPr>
                <w:rFonts w:cs="Arial"/>
                <w:sz w:val="22"/>
                <w:szCs w:val="22"/>
                <w:lang w:val="en-GB"/>
              </w:rPr>
              <w:t>363.941</w:t>
            </w:r>
          </w:p>
        </w:tc>
      </w:tr>
      <w:tr w:rsidR="006378A3" w:rsidTr="002E01ED">
        <w:tc>
          <w:tcPr>
            <w:tcW w:w="1641" w:type="dxa"/>
            <w:vAlign w:val="center"/>
          </w:tcPr>
          <w:p w:rsidR="006378A3" w:rsidRDefault="006378A3" w:rsidP="002E01ED">
            <w:pPr>
              <w:jc w:val="both"/>
              <w:rPr>
                <w:rFonts w:cs="Arial"/>
                <w:b/>
                <w:sz w:val="22"/>
                <w:szCs w:val="22"/>
                <w:lang w:val="en-GB"/>
              </w:rPr>
            </w:pPr>
            <w:r>
              <w:rPr>
                <w:rFonts w:cs="Arial"/>
                <w:b/>
                <w:sz w:val="22"/>
                <w:szCs w:val="22"/>
                <w:lang w:val="en-GB"/>
              </w:rPr>
              <w:t>2011</w:t>
            </w:r>
          </w:p>
        </w:tc>
        <w:tc>
          <w:tcPr>
            <w:tcW w:w="1600" w:type="dxa"/>
            <w:vAlign w:val="center"/>
          </w:tcPr>
          <w:p w:rsidR="006378A3" w:rsidRDefault="006378A3" w:rsidP="002E01ED">
            <w:pPr>
              <w:jc w:val="both"/>
              <w:rPr>
                <w:rFonts w:cs="Arial"/>
                <w:sz w:val="22"/>
                <w:szCs w:val="22"/>
                <w:lang w:val="en-GB"/>
              </w:rPr>
            </w:pPr>
            <w:r>
              <w:rPr>
                <w:rFonts w:cs="Arial"/>
                <w:sz w:val="22"/>
                <w:szCs w:val="22"/>
                <w:lang w:val="en-GB"/>
              </w:rPr>
              <w:t>294.039</w:t>
            </w:r>
          </w:p>
        </w:tc>
        <w:tc>
          <w:tcPr>
            <w:tcW w:w="1599" w:type="dxa"/>
            <w:vAlign w:val="center"/>
          </w:tcPr>
          <w:p w:rsidR="006378A3" w:rsidRDefault="006378A3" w:rsidP="002E01ED">
            <w:pPr>
              <w:jc w:val="both"/>
              <w:rPr>
                <w:rFonts w:cs="Arial"/>
                <w:sz w:val="22"/>
                <w:szCs w:val="22"/>
                <w:lang w:val="en-GB"/>
              </w:rPr>
            </w:pPr>
            <w:r>
              <w:rPr>
                <w:rFonts w:cs="Arial"/>
                <w:sz w:val="22"/>
                <w:szCs w:val="22"/>
                <w:lang w:val="en-GB"/>
              </w:rPr>
              <w:t>60.869</w:t>
            </w:r>
          </w:p>
        </w:tc>
        <w:tc>
          <w:tcPr>
            <w:tcW w:w="1586" w:type="dxa"/>
            <w:vAlign w:val="center"/>
          </w:tcPr>
          <w:p w:rsidR="006378A3" w:rsidRDefault="006378A3" w:rsidP="002E01ED">
            <w:pPr>
              <w:jc w:val="both"/>
              <w:rPr>
                <w:rFonts w:cs="Arial"/>
                <w:sz w:val="22"/>
                <w:szCs w:val="22"/>
                <w:lang w:val="en-GB"/>
              </w:rPr>
            </w:pPr>
            <w:r>
              <w:rPr>
                <w:rFonts w:cs="Arial"/>
                <w:sz w:val="22"/>
                <w:szCs w:val="22"/>
                <w:lang w:val="en-GB"/>
              </w:rPr>
              <w:t>8.202</w:t>
            </w:r>
          </w:p>
        </w:tc>
        <w:tc>
          <w:tcPr>
            <w:tcW w:w="1584" w:type="dxa"/>
            <w:vAlign w:val="center"/>
          </w:tcPr>
          <w:p w:rsidR="006378A3" w:rsidRDefault="006378A3" w:rsidP="002E01ED">
            <w:pPr>
              <w:jc w:val="both"/>
              <w:rPr>
                <w:rFonts w:cs="Arial"/>
                <w:sz w:val="22"/>
                <w:szCs w:val="22"/>
                <w:lang w:val="en-GB"/>
              </w:rPr>
            </w:pPr>
            <w:r>
              <w:rPr>
                <w:rFonts w:cs="Arial"/>
                <w:sz w:val="22"/>
                <w:szCs w:val="22"/>
                <w:lang w:val="en-GB"/>
              </w:rPr>
              <w:t>831</w:t>
            </w:r>
          </w:p>
        </w:tc>
        <w:tc>
          <w:tcPr>
            <w:tcW w:w="1638" w:type="dxa"/>
            <w:vAlign w:val="center"/>
          </w:tcPr>
          <w:p w:rsidR="006378A3" w:rsidRDefault="006378A3" w:rsidP="002E01ED">
            <w:pPr>
              <w:jc w:val="both"/>
              <w:rPr>
                <w:rFonts w:cs="Arial"/>
                <w:sz w:val="22"/>
                <w:szCs w:val="22"/>
                <w:lang w:val="en-GB"/>
              </w:rPr>
            </w:pPr>
            <w:r>
              <w:rPr>
                <w:rFonts w:cs="Arial"/>
                <w:sz w:val="22"/>
                <w:szCs w:val="22"/>
                <w:lang w:val="en-GB"/>
              </w:rPr>
              <w:t>363.941</w:t>
            </w:r>
          </w:p>
        </w:tc>
      </w:tr>
      <w:tr w:rsidR="006378A3" w:rsidTr="002E01ED">
        <w:tc>
          <w:tcPr>
            <w:tcW w:w="1641" w:type="dxa"/>
            <w:vAlign w:val="center"/>
          </w:tcPr>
          <w:p w:rsidR="006378A3" w:rsidRDefault="006378A3" w:rsidP="002E01ED">
            <w:pPr>
              <w:jc w:val="both"/>
              <w:rPr>
                <w:rFonts w:cs="Arial"/>
                <w:b/>
                <w:sz w:val="22"/>
                <w:szCs w:val="22"/>
                <w:lang w:val="en-GB"/>
              </w:rPr>
            </w:pPr>
            <w:r>
              <w:rPr>
                <w:rFonts w:cs="Arial"/>
                <w:b/>
                <w:sz w:val="22"/>
                <w:szCs w:val="22"/>
                <w:lang w:val="en-GB"/>
              </w:rPr>
              <w:t>2012</w:t>
            </w:r>
          </w:p>
        </w:tc>
        <w:tc>
          <w:tcPr>
            <w:tcW w:w="1600" w:type="dxa"/>
            <w:vAlign w:val="center"/>
          </w:tcPr>
          <w:p w:rsidR="006378A3" w:rsidRDefault="006378A3" w:rsidP="002E01ED">
            <w:pPr>
              <w:jc w:val="both"/>
              <w:rPr>
                <w:rFonts w:cs="Arial"/>
                <w:sz w:val="22"/>
                <w:szCs w:val="22"/>
                <w:lang w:val="en-GB"/>
              </w:rPr>
            </w:pPr>
            <w:r>
              <w:rPr>
                <w:rFonts w:cs="Arial"/>
                <w:sz w:val="22"/>
                <w:szCs w:val="22"/>
                <w:lang w:val="en-GB"/>
              </w:rPr>
              <w:t>194.039</w:t>
            </w:r>
          </w:p>
        </w:tc>
        <w:tc>
          <w:tcPr>
            <w:tcW w:w="1599" w:type="dxa"/>
            <w:vAlign w:val="center"/>
          </w:tcPr>
          <w:p w:rsidR="006378A3" w:rsidRDefault="006378A3" w:rsidP="002E01ED">
            <w:pPr>
              <w:jc w:val="both"/>
              <w:rPr>
                <w:rFonts w:cs="Arial"/>
                <w:sz w:val="22"/>
                <w:szCs w:val="22"/>
                <w:lang w:val="en-GB"/>
              </w:rPr>
            </w:pPr>
            <w:r>
              <w:rPr>
                <w:rFonts w:cs="Arial"/>
                <w:sz w:val="22"/>
                <w:szCs w:val="22"/>
                <w:lang w:val="en-GB"/>
              </w:rPr>
              <w:t>60.869</w:t>
            </w:r>
          </w:p>
        </w:tc>
        <w:tc>
          <w:tcPr>
            <w:tcW w:w="1586" w:type="dxa"/>
            <w:vAlign w:val="center"/>
          </w:tcPr>
          <w:p w:rsidR="006378A3" w:rsidRDefault="006378A3" w:rsidP="002E01ED">
            <w:pPr>
              <w:jc w:val="both"/>
              <w:rPr>
                <w:rFonts w:cs="Arial"/>
                <w:sz w:val="22"/>
                <w:szCs w:val="22"/>
                <w:lang w:val="en-GB"/>
              </w:rPr>
            </w:pPr>
            <w:r>
              <w:rPr>
                <w:rFonts w:cs="Arial"/>
                <w:sz w:val="22"/>
                <w:szCs w:val="22"/>
                <w:lang w:val="en-GB"/>
              </w:rPr>
              <w:t>8.202</w:t>
            </w:r>
          </w:p>
        </w:tc>
        <w:tc>
          <w:tcPr>
            <w:tcW w:w="1584" w:type="dxa"/>
            <w:vAlign w:val="center"/>
          </w:tcPr>
          <w:p w:rsidR="006378A3" w:rsidRDefault="006378A3" w:rsidP="002E01ED">
            <w:pPr>
              <w:jc w:val="both"/>
              <w:rPr>
                <w:rFonts w:cs="Arial"/>
                <w:sz w:val="22"/>
                <w:szCs w:val="22"/>
                <w:lang w:val="en-GB"/>
              </w:rPr>
            </w:pPr>
            <w:r>
              <w:rPr>
                <w:rFonts w:cs="Arial"/>
                <w:sz w:val="22"/>
                <w:szCs w:val="22"/>
                <w:lang w:val="en-GB"/>
              </w:rPr>
              <w:t>831</w:t>
            </w:r>
          </w:p>
        </w:tc>
        <w:tc>
          <w:tcPr>
            <w:tcW w:w="1638" w:type="dxa"/>
            <w:vAlign w:val="center"/>
          </w:tcPr>
          <w:p w:rsidR="006378A3" w:rsidRDefault="006378A3" w:rsidP="002E01ED">
            <w:pPr>
              <w:jc w:val="both"/>
              <w:rPr>
                <w:rFonts w:cs="Arial"/>
                <w:sz w:val="22"/>
                <w:szCs w:val="22"/>
                <w:lang w:val="en-GB"/>
              </w:rPr>
            </w:pPr>
            <w:r>
              <w:rPr>
                <w:rFonts w:cs="Arial"/>
                <w:sz w:val="22"/>
                <w:szCs w:val="22"/>
                <w:lang w:val="en-GB"/>
              </w:rPr>
              <w:t>363.941</w:t>
            </w:r>
          </w:p>
        </w:tc>
      </w:tr>
      <w:tr w:rsidR="006378A3" w:rsidTr="002E01ED">
        <w:tc>
          <w:tcPr>
            <w:tcW w:w="1641" w:type="dxa"/>
            <w:vAlign w:val="center"/>
          </w:tcPr>
          <w:p w:rsidR="006378A3" w:rsidRDefault="006378A3" w:rsidP="002E01ED">
            <w:pPr>
              <w:jc w:val="both"/>
              <w:rPr>
                <w:rFonts w:cs="Arial"/>
                <w:b/>
                <w:sz w:val="22"/>
                <w:szCs w:val="22"/>
                <w:lang w:val="en-GB"/>
              </w:rPr>
            </w:pPr>
            <w:r>
              <w:rPr>
                <w:rFonts w:cs="Arial"/>
                <w:b/>
                <w:sz w:val="22"/>
                <w:szCs w:val="22"/>
                <w:lang w:val="en-GB"/>
              </w:rPr>
              <w:t>2013</w:t>
            </w:r>
          </w:p>
        </w:tc>
        <w:tc>
          <w:tcPr>
            <w:tcW w:w="1600" w:type="dxa"/>
            <w:vAlign w:val="center"/>
          </w:tcPr>
          <w:p w:rsidR="006378A3" w:rsidRDefault="006378A3" w:rsidP="002E01ED">
            <w:pPr>
              <w:jc w:val="both"/>
              <w:rPr>
                <w:rFonts w:cs="Arial"/>
                <w:sz w:val="22"/>
                <w:szCs w:val="22"/>
                <w:lang w:val="en-GB"/>
              </w:rPr>
            </w:pPr>
            <w:r>
              <w:rPr>
                <w:rFonts w:cs="Arial"/>
                <w:sz w:val="22"/>
                <w:szCs w:val="22"/>
                <w:lang w:val="en-GB"/>
              </w:rPr>
              <w:t>294.180</w:t>
            </w:r>
          </w:p>
        </w:tc>
        <w:tc>
          <w:tcPr>
            <w:tcW w:w="1599" w:type="dxa"/>
            <w:vAlign w:val="center"/>
          </w:tcPr>
          <w:p w:rsidR="006378A3" w:rsidRDefault="006378A3" w:rsidP="002E01ED">
            <w:pPr>
              <w:jc w:val="both"/>
              <w:rPr>
                <w:rFonts w:cs="Arial"/>
                <w:sz w:val="22"/>
                <w:szCs w:val="22"/>
                <w:lang w:val="en-GB"/>
              </w:rPr>
            </w:pPr>
            <w:r>
              <w:rPr>
                <w:rFonts w:cs="Arial"/>
                <w:sz w:val="22"/>
                <w:szCs w:val="22"/>
                <w:lang w:val="en-GB"/>
              </w:rPr>
              <w:t>60.869</w:t>
            </w:r>
          </w:p>
        </w:tc>
        <w:tc>
          <w:tcPr>
            <w:tcW w:w="1586" w:type="dxa"/>
            <w:vAlign w:val="center"/>
          </w:tcPr>
          <w:p w:rsidR="006378A3" w:rsidRDefault="006378A3" w:rsidP="002E01ED">
            <w:pPr>
              <w:jc w:val="both"/>
              <w:rPr>
                <w:rFonts w:cs="Arial"/>
                <w:sz w:val="22"/>
                <w:szCs w:val="22"/>
                <w:lang w:val="en-GB"/>
              </w:rPr>
            </w:pPr>
            <w:r>
              <w:rPr>
                <w:rFonts w:cs="Arial"/>
                <w:sz w:val="22"/>
                <w:szCs w:val="22"/>
                <w:lang w:val="en-GB"/>
              </w:rPr>
              <w:t>8.102</w:t>
            </w:r>
          </w:p>
        </w:tc>
        <w:tc>
          <w:tcPr>
            <w:tcW w:w="1584" w:type="dxa"/>
            <w:vAlign w:val="center"/>
          </w:tcPr>
          <w:p w:rsidR="006378A3" w:rsidRDefault="006378A3" w:rsidP="002E01ED">
            <w:pPr>
              <w:jc w:val="both"/>
              <w:rPr>
                <w:rFonts w:cs="Arial"/>
                <w:sz w:val="22"/>
                <w:szCs w:val="22"/>
                <w:lang w:val="en-GB"/>
              </w:rPr>
            </w:pPr>
            <w:r>
              <w:rPr>
                <w:rFonts w:cs="Arial"/>
                <w:sz w:val="22"/>
                <w:szCs w:val="22"/>
                <w:lang w:val="en-GB"/>
              </w:rPr>
              <w:t>790</w:t>
            </w:r>
          </w:p>
        </w:tc>
        <w:tc>
          <w:tcPr>
            <w:tcW w:w="1638" w:type="dxa"/>
            <w:vAlign w:val="center"/>
          </w:tcPr>
          <w:p w:rsidR="006378A3" w:rsidRDefault="006378A3" w:rsidP="002E01ED">
            <w:pPr>
              <w:jc w:val="both"/>
              <w:rPr>
                <w:rFonts w:cs="Arial"/>
                <w:sz w:val="22"/>
                <w:szCs w:val="22"/>
                <w:lang w:val="en-GB"/>
              </w:rPr>
            </w:pPr>
            <w:r>
              <w:rPr>
                <w:rFonts w:cs="Arial"/>
                <w:sz w:val="22"/>
                <w:szCs w:val="22"/>
                <w:lang w:val="en-GB"/>
              </w:rPr>
              <w:t>363.941</w:t>
            </w:r>
          </w:p>
        </w:tc>
      </w:tr>
    </w:tbl>
    <w:p w:rsidR="006378A3" w:rsidRDefault="006378A3" w:rsidP="006378A3">
      <w:pPr>
        <w:spacing w:before="60" w:after="60" w:line="288" w:lineRule="auto"/>
        <w:jc w:val="both"/>
        <w:rPr>
          <w:rFonts w:cs="Arial"/>
          <w:i/>
          <w:sz w:val="18"/>
          <w:szCs w:val="18"/>
          <w:lang w:val="en-GB"/>
        </w:rPr>
      </w:pPr>
      <w:r>
        <w:rPr>
          <w:rFonts w:cs="Arial"/>
          <w:i/>
          <w:sz w:val="18"/>
          <w:szCs w:val="18"/>
          <w:lang w:val="en-GB"/>
        </w:rPr>
        <w:t>Source: DADR Tulcea</w:t>
      </w:r>
      <w:r>
        <w:rPr>
          <w:rFonts w:cs="Arial"/>
          <w:sz w:val="18"/>
          <w:szCs w:val="18"/>
          <w:lang w:val="en-GB"/>
        </w:rPr>
        <w:t xml:space="preserve">                  </w:t>
      </w:r>
    </w:p>
    <w:p w:rsidR="006378A3" w:rsidRDefault="006378A3" w:rsidP="006378A3">
      <w:pPr>
        <w:autoSpaceDE w:val="0"/>
        <w:autoSpaceDN w:val="0"/>
        <w:adjustRightInd w:val="0"/>
        <w:spacing w:before="60" w:after="60" w:line="288" w:lineRule="auto"/>
        <w:ind w:firstLine="720"/>
        <w:jc w:val="both"/>
        <w:rPr>
          <w:lang w:val="en-GB"/>
        </w:rPr>
      </w:pPr>
      <w:r>
        <w:rPr>
          <w:lang w:val="en-GB"/>
        </w:rPr>
        <w:t>In 2013 there was no major environmental pollution or accidental pollution.</w:t>
      </w:r>
    </w:p>
    <w:p w:rsidR="006378A3" w:rsidRDefault="006378A3" w:rsidP="006378A3">
      <w:pPr>
        <w:autoSpaceDE w:val="0"/>
        <w:autoSpaceDN w:val="0"/>
        <w:adjustRightInd w:val="0"/>
        <w:spacing w:before="60" w:after="60" w:line="288" w:lineRule="auto"/>
        <w:jc w:val="both"/>
        <w:rPr>
          <w:lang w:val="en-GB"/>
        </w:rPr>
      </w:pPr>
    </w:p>
    <w:p w:rsidR="006378A3" w:rsidRDefault="006378A3" w:rsidP="006378A3">
      <w:pPr>
        <w:pStyle w:val="Heading1"/>
        <w:rPr>
          <w:rFonts w:ascii="Arial" w:hAnsi="Arial" w:cs="Arial"/>
          <w:sz w:val="24"/>
          <w:szCs w:val="24"/>
          <w:lang w:val="en-GB" w:eastAsia="ro-RO"/>
        </w:rPr>
      </w:pPr>
      <w:bookmarkStart w:id="17" w:name="_Toc419704929"/>
      <w:r>
        <w:rPr>
          <w:rFonts w:ascii="Arial" w:hAnsi="Arial" w:cs="Arial"/>
          <w:sz w:val="24"/>
          <w:szCs w:val="24"/>
          <w:lang w:val="en-GB" w:eastAsia="ro-RO"/>
        </w:rPr>
        <w:t>II. UKRAINE</w:t>
      </w:r>
      <w:bookmarkEnd w:id="17"/>
    </w:p>
    <w:p w:rsidR="006378A3" w:rsidRDefault="006378A3" w:rsidP="006378A3">
      <w:pPr>
        <w:autoSpaceDE w:val="0"/>
        <w:autoSpaceDN w:val="0"/>
        <w:adjustRightInd w:val="0"/>
        <w:spacing w:before="60" w:after="60" w:line="288" w:lineRule="auto"/>
        <w:jc w:val="both"/>
        <w:rPr>
          <w:b/>
          <w:u w:val="single"/>
          <w:lang w:val="en-GB"/>
        </w:rPr>
      </w:pPr>
      <w:r>
        <w:rPr>
          <w:b/>
          <w:u w:val="single"/>
          <w:lang w:val="en-GB"/>
        </w:rPr>
        <w:t>Informations regarding environmental description in Ukraine are based on documents from websites:  urile http://eng.menr.gov.ua/index.php/normbaza and</w:t>
      </w:r>
    </w:p>
    <w:p w:rsidR="006378A3" w:rsidRDefault="006378A3" w:rsidP="006378A3">
      <w:pPr>
        <w:autoSpaceDE w:val="0"/>
        <w:autoSpaceDN w:val="0"/>
        <w:adjustRightInd w:val="0"/>
        <w:spacing w:before="60" w:after="60" w:line="288" w:lineRule="auto"/>
        <w:jc w:val="both"/>
        <w:rPr>
          <w:b/>
          <w:u w:val="single"/>
          <w:lang w:val="en-GB"/>
        </w:rPr>
      </w:pPr>
      <w:r>
        <w:rPr>
          <w:b/>
          <w:u w:val="single"/>
          <w:lang w:val="en-GB"/>
        </w:rPr>
        <w:t>http://www.kmu.gov.ua/control/en/publish/article?art_id=91651</w:t>
      </w:r>
    </w:p>
    <w:p w:rsidR="006378A3" w:rsidRDefault="006378A3" w:rsidP="006378A3">
      <w:pPr>
        <w:numPr>
          <w:ilvl w:val="0"/>
          <w:numId w:val="22"/>
        </w:numPr>
        <w:autoSpaceDE w:val="0"/>
        <w:autoSpaceDN w:val="0"/>
        <w:adjustRightInd w:val="0"/>
        <w:spacing w:before="60" w:after="60" w:line="288" w:lineRule="auto"/>
        <w:jc w:val="both"/>
        <w:rPr>
          <w:rFonts w:eastAsia="Calibri" w:cs="Arial"/>
          <w:b/>
          <w:lang w:val="en-GB"/>
        </w:rPr>
      </w:pPr>
      <w:r>
        <w:rPr>
          <w:rFonts w:eastAsia="Calibri" w:cs="Arial"/>
          <w:b/>
          <w:lang w:val="en-GB"/>
        </w:rPr>
        <w:t>AIR</w:t>
      </w:r>
    </w:p>
    <w:p w:rsidR="006378A3" w:rsidRDefault="006378A3" w:rsidP="006378A3">
      <w:pPr>
        <w:spacing w:before="60" w:after="60" w:line="288" w:lineRule="auto"/>
        <w:jc w:val="both"/>
        <w:rPr>
          <w:rFonts w:cs="Arial"/>
          <w:lang w:val="en-GB"/>
        </w:rPr>
      </w:pPr>
      <w:r>
        <w:rPr>
          <w:rFonts w:cs="Arial"/>
          <w:lang w:val="en-GB"/>
        </w:rPr>
        <w:t>Lately, in Ukraine there was a reduction of pollutants in the atmosphere due to the economic crisis and recession. However, the country has made significant steps to protect air quality, reducing the rate of emission of greenhouse gases (Figure 4.6.1).</w:t>
      </w:r>
    </w:p>
    <w:p w:rsidR="006378A3" w:rsidRDefault="006378A3" w:rsidP="006378A3">
      <w:pPr>
        <w:jc w:val="both"/>
        <w:rPr>
          <w:rFonts w:cs="Arial"/>
          <w:u w:val="single"/>
          <w:lang w:val="en-GB"/>
        </w:rPr>
      </w:pPr>
      <w:r w:rsidRPr="002E01ED">
        <w:rPr>
          <w:rFonts w:cs="Arial"/>
          <w:noProof/>
          <w:lang w:val="en-US" w:eastAsia="en-US"/>
        </w:rPr>
        <w:lastRenderedPageBreak/>
        <w:drawing>
          <wp:inline distT="0" distB="0" distL="0" distR="0" wp14:anchorId="2B61F2D6" wp14:editId="67ADC0C0">
            <wp:extent cx="4484370" cy="2260600"/>
            <wp:effectExtent l="0" t="0" r="0" b="6350"/>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84370" cy="2260600"/>
                    </a:xfrm>
                    <a:prstGeom prst="rect">
                      <a:avLst/>
                    </a:prstGeom>
                    <a:noFill/>
                    <a:ln>
                      <a:noFill/>
                    </a:ln>
                  </pic:spPr>
                </pic:pic>
              </a:graphicData>
            </a:graphic>
          </wp:inline>
        </w:drawing>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
          <w:i/>
          <w:sz w:val="22"/>
          <w:szCs w:val="22"/>
          <w:lang w:val="en-GB" w:eastAsia="en-US"/>
        </w:rPr>
      </w:pPr>
      <w:r>
        <w:rPr>
          <w:rFonts w:cs="Arial"/>
          <w:b/>
          <w:i/>
          <w:sz w:val="22"/>
          <w:szCs w:val="22"/>
          <w:lang w:val="en-GB" w:eastAsia="en-US"/>
        </w:rPr>
        <w:t xml:space="preserve">Figure 4.6.1 </w:t>
      </w:r>
      <w:r>
        <w:rPr>
          <w:rFonts w:cs="Arial"/>
          <w:sz w:val="22"/>
          <w:szCs w:val="22"/>
          <w:lang w:val="en-GB" w:eastAsia="en-US"/>
        </w:rPr>
        <w:t>Changes in atmospheric emissions per unit GDP, 1990 ÷ 2009</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
          <w:i/>
          <w:lang w:val="en-GB" w:eastAsia="en-US"/>
        </w:rPr>
      </w:pPr>
    </w:p>
    <w:p w:rsidR="006378A3" w:rsidRDefault="006378A3" w:rsidP="006378A3">
      <w:pPr>
        <w:spacing w:before="60" w:after="60" w:line="288" w:lineRule="auto"/>
        <w:jc w:val="both"/>
        <w:rPr>
          <w:rFonts w:cs="Arial"/>
          <w:lang w:val="en-GB"/>
        </w:rPr>
      </w:pPr>
      <w:r>
        <w:rPr>
          <w:rFonts w:cs="Arial"/>
          <w:lang w:val="en-GB"/>
        </w:rPr>
        <w:t>Emissions of pollutants in Ukraine into the atmosphere came from industrial sources, around 62 %, and the remaining emissions from stationary and mobile sources (Table 4.6.1).</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b/>
          <w:u w:val="single"/>
          <w:lang w:val="en-GB" w:eastAsia="en-US"/>
        </w:rPr>
      </w:pPr>
      <w:r>
        <w:rPr>
          <w:rFonts w:eastAsia="Calibri" w:cs="Arial"/>
          <w:b/>
          <w:u w:val="single"/>
          <w:lang w:val="en-GB" w:eastAsia="en-US"/>
        </w:rPr>
        <w:t>Stationary and mobile sources</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b/>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sz w:val="22"/>
          <w:szCs w:val="22"/>
          <w:lang w:val="en-GB" w:eastAsia="en-US"/>
        </w:rPr>
      </w:pPr>
      <w:r>
        <w:rPr>
          <w:rFonts w:eastAsia="Calibri" w:cs="Arial"/>
          <w:b/>
          <w:i/>
          <w:sz w:val="22"/>
          <w:szCs w:val="22"/>
          <w:lang w:val="en-GB" w:eastAsia="en-US"/>
        </w:rPr>
        <w:t>Table 4.6.1</w:t>
      </w:r>
      <w:r>
        <w:rPr>
          <w:rFonts w:eastAsia="Calibri" w:cs="Arial"/>
          <w:sz w:val="22"/>
          <w:szCs w:val="22"/>
          <w:lang w:val="en-GB" w:eastAsia="en-US"/>
        </w:rPr>
        <w:t xml:space="preserve"> Variation of atmospheric pollutants from stationary and mobile sources for 2000 ÷ 2011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1058"/>
        <w:gridCol w:w="1742"/>
        <w:gridCol w:w="1555"/>
        <w:gridCol w:w="941"/>
        <w:gridCol w:w="1742"/>
        <w:gridCol w:w="1555"/>
      </w:tblGrid>
      <w:tr w:rsidR="006378A3" w:rsidTr="002E01ED">
        <w:trPr>
          <w:trHeight w:val="542"/>
          <w:jc w:val="center"/>
        </w:trPr>
        <w:tc>
          <w:tcPr>
            <w:tcW w:w="974" w:type="dxa"/>
            <w:vMerge w:val="restart"/>
            <w:shd w:val="clear" w:color="auto" w:fill="auto"/>
            <w:vAlign w:val="center"/>
          </w:tcPr>
          <w:p w:rsidR="006378A3" w:rsidRDefault="006378A3" w:rsidP="002E01ED">
            <w:pPr>
              <w:jc w:val="both"/>
              <w:rPr>
                <w:rFonts w:cs="Arial"/>
                <w:b/>
                <w:sz w:val="22"/>
                <w:szCs w:val="22"/>
                <w:lang w:val="en-GB" w:eastAsia="ru-RU"/>
              </w:rPr>
            </w:pPr>
            <w:r>
              <w:rPr>
                <w:rFonts w:cs="Arial"/>
                <w:b/>
                <w:sz w:val="22"/>
                <w:szCs w:val="22"/>
                <w:lang w:val="en-GB" w:eastAsia="ru-RU"/>
              </w:rPr>
              <w:t>Year</w:t>
            </w:r>
          </w:p>
        </w:tc>
        <w:tc>
          <w:tcPr>
            <w:tcW w:w="4355" w:type="dxa"/>
            <w:gridSpan w:val="3"/>
            <w:shd w:val="clear" w:color="auto" w:fill="auto"/>
            <w:vAlign w:val="center"/>
          </w:tcPr>
          <w:p w:rsidR="006378A3" w:rsidRDefault="006378A3" w:rsidP="002E01ED">
            <w:pPr>
              <w:jc w:val="both"/>
              <w:rPr>
                <w:rFonts w:cs="Arial"/>
                <w:b/>
                <w:sz w:val="22"/>
                <w:szCs w:val="22"/>
                <w:lang w:val="en-GB" w:eastAsia="ru-RU"/>
              </w:rPr>
            </w:pPr>
            <w:r>
              <w:rPr>
                <w:rFonts w:cs="Arial"/>
                <w:b/>
                <w:sz w:val="22"/>
                <w:szCs w:val="22"/>
                <w:lang w:val="en-GB" w:eastAsia="ru-RU"/>
              </w:rPr>
              <w:t>The amount of emissions of pollutants</w:t>
            </w:r>
          </w:p>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
                <w:sz w:val="22"/>
                <w:szCs w:val="22"/>
                <w:lang w:val="en-GB" w:eastAsia="ru-RU"/>
              </w:rPr>
            </w:pPr>
            <w:r>
              <w:rPr>
                <w:rFonts w:cs="Arial"/>
                <w:b/>
                <w:sz w:val="22"/>
                <w:szCs w:val="22"/>
                <w:lang w:val="en-GB" w:eastAsia="ru-RU"/>
              </w:rPr>
              <w:t>(thousand tons)</w:t>
            </w:r>
          </w:p>
        </w:tc>
        <w:tc>
          <w:tcPr>
            <w:tcW w:w="4238" w:type="dxa"/>
            <w:gridSpan w:val="3"/>
            <w:shd w:val="clear" w:color="auto" w:fill="auto"/>
            <w:vAlign w:val="center"/>
          </w:tcPr>
          <w:p w:rsidR="006378A3" w:rsidRDefault="006378A3" w:rsidP="002E01ED">
            <w:pPr>
              <w:jc w:val="both"/>
              <w:rPr>
                <w:rFonts w:cs="Arial"/>
                <w:b/>
                <w:sz w:val="22"/>
                <w:szCs w:val="22"/>
                <w:lang w:val="en-GB" w:eastAsia="ru-RU"/>
              </w:rPr>
            </w:pPr>
            <w:r>
              <w:rPr>
                <w:rFonts w:cs="Arial"/>
                <w:b/>
                <w:sz w:val="22"/>
                <w:szCs w:val="22"/>
                <w:lang w:val="en-GB" w:eastAsia="ru-RU"/>
              </w:rPr>
              <w:t>CO</w:t>
            </w:r>
            <w:r>
              <w:rPr>
                <w:rFonts w:cs="Arial"/>
                <w:b/>
                <w:sz w:val="22"/>
                <w:szCs w:val="22"/>
                <w:vertAlign w:val="subscript"/>
                <w:lang w:val="en-GB" w:eastAsia="ru-RU"/>
              </w:rPr>
              <w:t>2</w:t>
            </w:r>
            <w:r>
              <w:rPr>
                <w:rFonts w:cs="Arial"/>
                <w:b/>
                <w:sz w:val="22"/>
                <w:szCs w:val="22"/>
                <w:lang w:val="en-GB" w:eastAsia="ru-RU"/>
              </w:rPr>
              <w:t xml:space="preserve"> emissions</w:t>
            </w:r>
          </w:p>
          <w:p w:rsidR="006378A3" w:rsidRDefault="006378A3" w:rsidP="002E01ED">
            <w:pPr>
              <w:jc w:val="both"/>
              <w:rPr>
                <w:rFonts w:cs="Arial"/>
                <w:b/>
                <w:sz w:val="22"/>
                <w:szCs w:val="22"/>
                <w:lang w:val="en-GB" w:eastAsia="ru-RU"/>
              </w:rPr>
            </w:pPr>
            <w:r>
              <w:rPr>
                <w:rFonts w:cs="Arial"/>
                <w:b/>
                <w:sz w:val="22"/>
                <w:szCs w:val="22"/>
                <w:lang w:val="en-GB" w:eastAsia="ru-RU"/>
              </w:rPr>
              <w:t xml:space="preserve"> ( thousand tons)</w:t>
            </w:r>
          </w:p>
          <w:p w:rsidR="006378A3" w:rsidRDefault="006378A3" w:rsidP="002E01ED">
            <w:pPr>
              <w:jc w:val="both"/>
              <w:rPr>
                <w:rFonts w:cs="Arial"/>
                <w:b/>
                <w:sz w:val="22"/>
                <w:szCs w:val="22"/>
                <w:lang w:val="en-GB" w:eastAsia="ru-RU"/>
              </w:rPr>
            </w:pPr>
          </w:p>
        </w:tc>
      </w:tr>
      <w:tr w:rsidR="006378A3" w:rsidTr="002E01ED">
        <w:trPr>
          <w:trHeight w:val="282"/>
          <w:jc w:val="center"/>
        </w:trPr>
        <w:tc>
          <w:tcPr>
            <w:tcW w:w="974" w:type="dxa"/>
            <w:vMerge/>
            <w:shd w:val="clear" w:color="auto" w:fill="auto"/>
            <w:vAlign w:val="center"/>
          </w:tcPr>
          <w:p w:rsidR="006378A3" w:rsidRDefault="006378A3" w:rsidP="002E01ED">
            <w:pPr>
              <w:jc w:val="both"/>
              <w:rPr>
                <w:rFonts w:cs="Arial"/>
                <w:b/>
                <w:sz w:val="22"/>
                <w:szCs w:val="22"/>
                <w:lang w:val="en-GB" w:eastAsia="ru-RU"/>
              </w:rPr>
            </w:pPr>
          </w:p>
        </w:tc>
        <w:tc>
          <w:tcPr>
            <w:tcW w:w="1058" w:type="dxa"/>
            <w:vMerge w:val="restart"/>
            <w:shd w:val="clear" w:color="auto" w:fill="auto"/>
            <w:vAlign w:val="center"/>
          </w:tcPr>
          <w:p w:rsidR="006378A3" w:rsidRDefault="006378A3" w:rsidP="002E01ED">
            <w:pPr>
              <w:jc w:val="both"/>
              <w:rPr>
                <w:rFonts w:cs="Arial"/>
                <w:b/>
                <w:sz w:val="22"/>
                <w:szCs w:val="22"/>
                <w:lang w:val="en-GB" w:eastAsia="ru-RU"/>
              </w:rPr>
            </w:pPr>
            <w:r>
              <w:rPr>
                <w:rFonts w:cs="Arial"/>
                <w:b/>
                <w:sz w:val="22"/>
                <w:szCs w:val="22"/>
                <w:lang w:val="en-GB" w:eastAsia="ru-RU"/>
              </w:rPr>
              <w:t>Total</w:t>
            </w:r>
          </w:p>
        </w:tc>
        <w:tc>
          <w:tcPr>
            <w:tcW w:w="3297" w:type="dxa"/>
            <w:gridSpan w:val="2"/>
            <w:shd w:val="clear" w:color="auto" w:fill="auto"/>
            <w:vAlign w:val="center"/>
          </w:tcPr>
          <w:p w:rsidR="006378A3" w:rsidRDefault="006378A3" w:rsidP="002E01ED">
            <w:pPr>
              <w:jc w:val="both"/>
              <w:rPr>
                <w:rFonts w:cs="Arial"/>
                <w:b/>
                <w:sz w:val="22"/>
                <w:szCs w:val="22"/>
                <w:lang w:val="en-GB" w:eastAsia="ru-RU"/>
              </w:rPr>
            </w:pPr>
          </w:p>
        </w:tc>
        <w:tc>
          <w:tcPr>
            <w:tcW w:w="941" w:type="dxa"/>
            <w:vMerge w:val="restart"/>
            <w:shd w:val="clear" w:color="auto" w:fill="auto"/>
            <w:vAlign w:val="center"/>
          </w:tcPr>
          <w:p w:rsidR="006378A3" w:rsidRDefault="006378A3" w:rsidP="002E01ED">
            <w:pPr>
              <w:jc w:val="both"/>
              <w:rPr>
                <w:rFonts w:cs="Arial"/>
                <w:b/>
                <w:sz w:val="22"/>
                <w:szCs w:val="22"/>
                <w:lang w:val="en-GB" w:eastAsia="ru-RU"/>
              </w:rPr>
            </w:pPr>
            <w:r>
              <w:rPr>
                <w:rFonts w:cs="Arial"/>
                <w:b/>
                <w:sz w:val="22"/>
                <w:szCs w:val="22"/>
                <w:lang w:val="en-GB" w:eastAsia="ru-RU"/>
              </w:rPr>
              <w:t>Total</w:t>
            </w:r>
          </w:p>
        </w:tc>
        <w:tc>
          <w:tcPr>
            <w:tcW w:w="3297" w:type="dxa"/>
            <w:gridSpan w:val="2"/>
            <w:shd w:val="clear" w:color="auto" w:fill="auto"/>
            <w:vAlign w:val="center"/>
          </w:tcPr>
          <w:p w:rsidR="006378A3" w:rsidRDefault="006378A3" w:rsidP="002E01ED">
            <w:pPr>
              <w:jc w:val="both"/>
              <w:rPr>
                <w:rFonts w:cs="Arial"/>
                <w:b/>
                <w:sz w:val="22"/>
                <w:szCs w:val="22"/>
                <w:lang w:val="en-GB" w:eastAsia="ru-RU"/>
              </w:rPr>
            </w:pPr>
          </w:p>
        </w:tc>
      </w:tr>
      <w:tr w:rsidR="006378A3" w:rsidTr="002E01ED">
        <w:trPr>
          <w:trHeight w:val="563"/>
          <w:jc w:val="center"/>
        </w:trPr>
        <w:tc>
          <w:tcPr>
            <w:tcW w:w="974" w:type="dxa"/>
            <w:vMerge/>
            <w:shd w:val="clear" w:color="auto" w:fill="auto"/>
            <w:vAlign w:val="center"/>
          </w:tcPr>
          <w:p w:rsidR="006378A3" w:rsidRDefault="006378A3" w:rsidP="002E01ED">
            <w:pPr>
              <w:jc w:val="both"/>
              <w:rPr>
                <w:rFonts w:cs="Arial"/>
                <w:b/>
                <w:sz w:val="22"/>
                <w:szCs w:val="22"/>
                <w:lang w:val="en-GB" w:eastAsia="ru-RU"/>
              </w:rPr>
            </w:pPr>
          </w:p>
        </w:tc>
        <w:tc>
          <w:tcPr>
            <w:tcW w:w="1058" w:type="dxa"/>
            <w:vMerge/>
            <w:shd w:val="clear" w:color="auto" w:fill="auto"/>
            <w:vAlign w:val="center"/>
          </w:tcPr>
          <w:p w:rsidR="006378A3" w:rsidRDefault="006378A3" w:rsidP="002E01ED">
            <w:pPr>
              <w:jc w:val="both"/>
              <w:rPr>
                <w:rFonts w:cs="Arial"/>
                <w:b/>
                <w:sz w:val="22"/>
                <w:szCs w:val="22"/>
                <w:lang w:val="en-GB" w:eastAsia="ru-RU"/>
              </w:rPr>
            </w:pPr>
          </w:p>
        </w:tc>
        <w:tc>
          <w:tcPr>
            <w:tcW w:w="1742" w:type="dxa"/>
            <w:shd w:val="clear" w:color="auto" w:fill="auto"/>
            <w:vAlign w:val="center"/>
          </w:tcPr>
          <w:p w:rsidR="006378A3" w:rsidRDefault="006378A3" w:rsidP="002E01ED">
            <w:pPr>
              <w:jc w:val="both"/>
              <w:rPr>
                <w:rFonts w:cs="Arial"/>
                <w:b/>
                <w:sz w:val="22"/>
                <w:szCs w:val="22"/>
                <w:lang w:val="en-GB" w:eastAsia="ru-RU"/>
              </w:rPr>
            </w:pPr>
            <w:r>
              <w:rPr>
                <w:rFonts w:cs="Arial"/>
                <w:b/>
                <w:sz w:val="22"/>
                <w:szCs w:val="22"/>
                <w:lang w:val="en-GB" w:eastAsia="ru-RU"/>
              </w:rPr>
              <w:t>Stationary sources</w:t>
            </w:r>
          </w:p>
        </w:tc>
        <w:tc>
          <w:tcPr>
            <w:tcW w:w="1555" w:type="dxa"/>
            <w:shd w:val="clear" w:color="auto" w:fill="auto"/>
            <w:vAlign w:val="center"/>
          </w:tcPr>
          <w:p w:rsidR="006378A3" w:rsidRDefault="006378A3" w:rsidP="002E01ED">
            <w:pPr>
              <w:jc w:val="both"/>
              <w:rPr>
                <w:rFonts w:cs="Arial"/>
                <w:b/>
                <w:sz w:val="22"/>
                <w:szCs w:val="22"/>
                <w:lang w:val="en-GB" w:eastAsia="ru-RU"/>
              </w:rPr>
            </w:pPr>
            <w:r>
              <w:rPr>
                <w:rFonts w:cs="Arial"/>
                <w:b/>
                <w:sz w:val="22"/>
                <w:szCs w:val="22"/>
                <w:lang w:val="en-GB" w:eastAsia="ru-RU"/>
              </w:rPr>
              <w:t>Mobile sources</w:t>
            </w:r>
          </w:p>
        </w:tc>
        <w:tc>
          <w:tcPr>
            <w:tcW w:w="941" w:type="dxa"/>
            <w:vMerge/>
            <w:shd w:val="clear" w:color="auto" w:fill="auto"/>
            <w:vAlign w:val="center"/>
          </w:tcPr>
          <w:p w:rsidR="006378A3" w:rsidRDefault="006378A3" w:rsidP="002E01ED">
            <w:pPr>
              <w:jc w:val="both"/>
              <w:rPr>
                <w:rFonts w:cs="Arial"/>
                <w:b/>
                <w:sz w:val="22"/>
                <w:szCs w:val="22"/>
                <w:lang w:val="en-GB" w:eastAsia="ru-RU"/>
              </w:rPr>
            </w:pPr>
          </w:p>
        </w:tc>
        <w:tc>
          <w:tcPr>
            <w:tcW w:w="1742" w:type="dxa"/>
            <w:shd w:val="clear" w:color="auto" w:fill="auto"/>
            <w:vAlign w:val="center"/>
          </w:tcPr>
          <w:p w:rsidR="006378A3" w:rsidRDefault="006378A3" w:rsidP="002E01ED">
            <w:pPr>
              <w:jc w:val="both"/>
              <w:rPr>
                <w:rFonts w:cs="Arial"/>
                <w:b/>
                <w:sz w:val="22"/>
                <w:szCs w:val="22"/>
                <w:lang w:val="en-GB" w:eastAsia="ru-RU"/>
              </w:rPr>
            </w:pPr>
            <w:r>
              <w:rPr>
                <w:rFonts w:cs="Arial"/>
                <w:b/>
                <w:sz w:val="22"/>
                <w:szCs w:val="22"/>
                <w:lang w:val="en-GB" w:eastAsia="ru-RU"/>
              </w:rPr>
              <w:t>Stationary sources</w:t>
            </w:r>
          </w:p>
        </w:tc>
        <w:tc>
          <w:tcPr>
            <w:tcW w:w="1555" w:type="dxa"/>
            <w:shd w:val="clear" w:color="auto" w:fill="auto"/>
            <w:vAlign w:val="center"/>
          </w:tcPr>
          <w:p w:rsidR="006378A3" w:rsidRDefault="006378A3" w:rsidP="002E01ED">
            <w:pPr>
              <w:jc w:val="both"/>
              <w:rPr>
                <w:rFonts w:cs="Arial"/>
                <w:b/>
                <w:sz w:val="22"/>
                <w:szCs w:val="22"/>
                <w:lang w:val="en-GB" w:eastAsia="ru-RU"/>
              </w:rPr>
            </w:pPr>
            <w:r>
              <w:rPr>
                <w:rFonts w:cs="Arial"/>
                <w:b/>
                <w:sz w:val="22"/>
                <w:szCs w:val="22"/>
                <w:lang w:val="en-GB" w:eastAsia="ru-RU"/>
              </w:rPr>
              <w:t>Mobile sources</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2000</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5.908,6</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3.959,4</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1.949,2</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2001</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6.049,5</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4.054,8</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1.994,7</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2002</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6.101,9</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4.075,0</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2.026,9</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2003</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6.191,3</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4.087,8</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2.103,5</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2004</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6.325,9</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4.151,9</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2.174,0</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126,9</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126,9</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2005</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6.615,6</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4.464,1</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2.151,5</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152,0</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152,0</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2006</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7.027,6</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4.822,2</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2.205,4</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178,8</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178,8</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2007</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7.380,0</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4.813,3</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2.566,7</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218,1</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184,0</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34,1</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2008</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7.210,3</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4.524,9</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2.685,4</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209,4</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174,2</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35,2</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2009</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6.442,9</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3.928,1</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2.514,8</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185,2</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152,8</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32,4</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2010</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6.678,0</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4.131,6</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2.546,4</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198,2</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165,0</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33,2</w:t>
            </w:r>
          </w:p>
        </w:tc>
      </w:tr>
      <w:tr w:rsidR="006378A3" w:rsidTr="002E01ED">
        <w:trPr>
          <w:trHeight w:val="282"/>
          <w:jc w:val="center"/>
        </w:trPr>
        <w:tc>
          <w:tcPr>
            <w:tcW w:w="974"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2011</w:t>
            </w:r>
          </w:p>
        </w:tc>
        <w:tc>
          <w:tcPr>
            <w:tcW w:w="1058"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6.877,3</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4.374,6</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2.502,7</w:t>
            </w:r>
          </w:p>
        </w:tc>
        <w:tc>
          <w:tcPr>
            <w:tcW w:w="94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227,7</w:t>
            </w:r>
          </w:p>
        </w:tc>
        <w:tc>
          <w:tcPr>
            <w:tcW w:w="1742"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202,2</w:t>
            </w:r>
          </w:p>
        </w:tc>
        <w:tc>
          <w:tcPr>
            <w:tcW w:w="1555"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25,5</w:t>
            </w:r>
          </w:p>
        </w:tc>
      </w:tr>
    </w:tbl>
    <w:p w:rsidR="006378A3" w:rsidRDefault="006378A3" w:rsidP="006378A3">
      <w:pPr>
        <w:jc w:val="both"/>
        <w:rPr>
          <w:rFonts w:cs="Arial"/>
          <w:u w:val="single"/>
          <w:lang w:val="en-GB"/>
        </w:rPr>
      </w:pPr>
    </w:p>
    <w:p w:rsidR="006378A3" w:rsidRDefault="006378A3" w:rsidP="006378A3">
      <w:pPr>
        <w:spacing w:before="60" w:after="60" w:line="288" w:lineRule="auto"/>
        <w:jc w:val="both"/>
        <w:rPr>
          <w:rFonts w:cs="Arial"/>
          <w:lang w:val="en-GB"/>
        </w:rPr>
      </w:pPr>
      <w:r>
        <w:rPr>
          <w:rFonts w:cs="Arial"/>
          <w:lang w:val="en-GB"/>
        </w:rPr>
        <w:t>In terms of air pollution in Ukraine - 14 cities exceed 100 thousand tons. The total amount of emission of pollutants into the atmosphere in these cities represents 54.2 % of total emissions.</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ourier New" w:hAnsi="Courier New" w:cs="Courier New"/>
          <w:sz w:val="22"/>
          <w:szCs w:val="22"/>
          <w:lang w:val="en-GB" w:eastAsia="en-US"/>
        </w:rPr>
      </w:pPr>
      <w:r>
        <w:rPr>
          <w:rFonts w:cs="Arial"/>
          <w:b/>
          <w:bCs/>
          <w:i/>
          <w:sz w:val="22"/>
          <w:szCs w:val="22"/>
          <w:lang w:val="en-GB"/>
        </w:rPr>
        <w:t xml:space="preserve">Table 4.6.2. </w:t>
      </w:r>
      <w:r>
        <w:rPr>
          <w:rFonts w:eastAsia="Calibri" w:cs="Arial"/>
          <w:sz w:val="22"/>
          <w:szCs w:val="22"/>
          <w:lang w:val="en-GB" w:eastAsia="en-US"/>
        </w:rPr>
        <w:t>Variation of emissions of pollutant in atmosphere in cities in Ukraine</w:t>
      </w:r>
    </w:p>
    <w:p w:rsidR="006378A3" w:rsidRDefault="006378A3" w:rsidP="006378A3">
      <w:pPr>
        <w:autoSpaceDE w:val="0"/>
        <w:autoSpaceDN w:val="0"/>
        <w:adjustRightInd w:val="0"/>
        <w:spacing w:before="60" w:after="60" w:line="288" w:lineRule="auto"/>
        <w:jc w:val="both"/>
        <w:rPr>
          <w:rFonts w:eastAsia="Calibri" w:cs="Arial"/>
          <w:b/>
          <w:bCs/>
          <w:i/>
          <w:sz w:val="22"/>
          <w:szCs w:val="22"/>
          <w:lang w:val="en-GB"/>
        </w:rPr>
      </w:pPr>
      <w:r>
        <w:rPr>
          <w:rFonts w:eastAsia="Calibri" w:cs="Arial"/>
          <w:bCs/>
          <w:sz w:val="22"/>
          <w:szCs w:val="22"/>
          <w:lang w:val="en-GB"/>
        </w:rPr>
        <w:t xml:space="preserve"> (Thousand tons)</w:t>
      </w:r>
    </w:p>
    <w:tbl>
      <w:tblPr>
        <w:tblW w:w="106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1795"/>
        <w:gridCol w:w="961"/>
        <w:gridCol w:w="989"/>
        <w:gridCol w:w="990"/>
        <w:gridCol w:w="990"/>
        <w:gridCol w:w="990"/>
        <w:gridCol w:w="990"/>
        <w:gridCol w:w="990"/>
        <w:gridCol w:w="1470"/>
      </w:tblGrid>
      <w:tr w:rsidR="006378A3" w:rsidTr="002E01ED">
        <w:trPr>
          <w:jc w:val="center"/>
        </w:trPr>
        <w:tc>
          <w:tcPr>
            <w:tcW w:w="516" w:type="dxa"/>
            <w:shd w:val="clear" w:color="auto" w:fill="auto"/>
          </w:tcPr>
          <w:p w:rsidR="006378A3" w:rsidRDefault="006378A3" w:rsidP="002E01ED">
            <w:pPr>
              <w:jc w:val="both"/>
              <w:rPr>
                <w:rFonts w:cs="Arial"/>
                <w:b/>
                <w:sz w:val="22"/>
                <w:szCs w:val="22"/>
                <w:lang w:val="en-GB" w:eastAsia="ru-RU"/>
              </w:rPr>
            </w:pPr>
            <w:r>
              <w:rPr>
                <w:rFonts w:cs="Arial"/>
                <w:b/>
                <w:sz w:val="22"/>
                <w:szCs w:val="22"/>
                <w:lang w:val="en-GB" w:eastAsia="ru-RU"/>
              </w:rPr>
              <w:t>No</w:t>
            </w:r>
          </w:p>
        </w:tc>
        <w:tc>
          <w:tcPr>
            <w:tcW w:w="1795" w:type="dxa"/>
            <w:shd w:val="clear" w:color="auto" w:fill="auto"/>
          </w:tcPr>
          <w:p w:rsidR="006378A3" w:rsidRDefault="006378A3" w:rsidP="002E01ED">
            <w:pPr>
              <w:jc w:val="both"/>
              <w:rPr>
                <w:rFonts w:cs="Arial"/>
                <w:b/>
                <w:sz w:val="22"/>
                <w:szCs w:val="22"/>
                <w:lang w:val="en-GB" w:eastAsia="ru-RU"/>
              </w:rPr>
            </w:pPr>
            <w:r>
              <w:rPr>
                <w:rFonts w:cs="Arial"/>
                <w:b/>
                <w:sz w:val="22"/>
                <w:szCs w:val="22"/>
                <w:lang w:val="en-GB" w:eastAsia="ru-RU"/>
              </w:rPr>
              <w:t>Cities</w:t>
            </w:r>
          </w:p>
        </w:tc>
        <w:tc>
          <w:tcPr>
            <w:tcW w:w="961" w:type="dxa"/>
            <w:shd w:val="clear" w:color="auto" w:fill="auto"/>
          </w:tcPr>
          <w:p w:rsidR="006378A3" w:rsidRDefault="006378A3" w:rsidP="002E01ED">
            <w:pPr>
              <w:jc w:val="both"/>
              <w:rPr>
                <w:rFonts w:cs="Arial"/>
                <w:b/>
                <w:sz w:val="22"/>
                <w:szCs w:val="22"/>
                <w:lang w:val="en-GB" w:eastAsia="ru-RU"/>
              </w:rPr>
            </w:pPr>
            <w:r>
              <w:rPr>
                <w:rFonts w:cs="Arial"/>
                <w:b/>
                <w:sz w:val="22"/>
                <w:szCs w:val="22"/>
                <w:lang w:val="en-GB" w:eastAsia="ru-RU"/>
              </w:rPr>
              <w:t>2000</w:t>
            </w:r>
          </w:p>
        </w:tc>
        <w:tc>
          <w:tcPr>
            <w:tcW w:w="989" w:type="dxa"/>
            <w:shd w:val="clear" w:color="auto" w:fill="auto"/>
          </w:tcPr>
          <w:p w:rsidR="006378A3" w:rsidRDefault="006378A3" w:rsidP="002E01ED">
            <w:pPr>
              <w:jc w:val="both"/>
              <w:rPr>
                <w:rFonts w:cs="Arial"/>
                <w:b/>
                <w:sz w:val="22"/>
                <w:szCs w:val="22"/>
                <w:lang w:val="en-GB" w:eastAsia="ru-RU"/>
              </w:rPr>
            </w:pPr>
            <w:r>
              <w:rPr>
                <w:rFonts w:cs="Arial"/>
                <w:b/>
                <w:sz w:val="22"/>
                <w:szCs w:val="22"/>
                <w:lang w:val="en-GB" w:eastAsia="ru-RU"/>
              </w:rPr>
              <w:t>2005</w:t>
            </w:r>
          </w:p>
        </w:tc>
        <w:tc>
          <w:tcPr>
            <w:tcW w:w="990" w:type="dxa"/>
            <w:shd w:val="clear" w:color="auto" w:fill="auto"/>
          </w:tcPr>
          <w:p w:rsidR="006378A3" w:rsidRDefault="006378A3" w:rsidP="002E01ED">
            <w:pPr>
              <w:jc w:val="both"/>
              <w:rPr>
                <w:rFonts w:cs="Arial"/>
                <w:b/>
                <w:sz w:val="22"/>
                <w:szCs w:val="22"/>
                <w:lang w:val="en-GB" w:eastAsia="ru-RU"/>
              </w:rPr>
            </w:pPr>
            <w:r>
              <w:rPr>
                <w:rFonts w:cs="Arial"/>
                <w:b/>
                <w:sz w:val="22"/>
                <w:szCs w:val="22"/>
                <w:lang w:val="en-GB" w:eastAsia="ru-RU"/>
              </w:rPr>
              <w:t>2007</w:t>
            </w:r>
          </w:p>
        </w:tc>
        <w:tc>
          <w:tcPr>
            <w:tcW w:w="990" w:type="dxa"/>
            <w:shd w:val="clear" w:color="auto" w:fill="auto"/>
          </w:tcPr>
          <w:p w:rsidR="006378A3" w:rsidRDefault="006378A3" w:rsidP="002E01ED">
            <w:pPr>
              <w:jc w:val="both"/>
              <w:rPr>
                <w:rFonts w:cs="Arial"/>
                <w:b/>
                <w:sz w:val="22"/>
                <w:szCs w:val="22"/>
                <w:lang w:val="en-GB" w:eastAsia="ru-RU"/>
              </w:rPr>
            </w:pPr>
            <w:r>
              <w:rPr>
                <w:rFonts w:cs="Arial"/>
                <w:b/>
                <w:sz w:val="22"/>
                <w:szCs w:val="22"/>
                <w:lang w:val="en-GB" w:eastAsia="ru-RU"/>
              </w:rPr>
              <w:t>2008</w:t>
            </w:r>
          </w:p>
        </w:tc>
        <w:tc>
          <w:tcPr>
            <w:tcW w:w="990" w:type="dxa"/>
            <w:shd w:val="clear" w:color="auto" w:fill="auto"/>
          </w:tcPr>
          <w:p w:rsidR="006378A3" w:rsidRDefault="006378A3" w:rsidP="002E01ED">
            <w:pPr>
              <w:jc w:val="both"/>
              <w:rPr>
                <w:rFonts w:cs="Arial"/>
                <w:b/>
                <w:sz w:val="22"/>
                <w:szCs w:val="22"/>
                <w:lang w:val="en-GB" w:eastAsia="ru-RU"/>
              </w:rPr>
            </w:pPr>
            <w:r>
              <w:rPr>
                <w:rFonts w:cs="Arial"/>
                <w:b/>
                <w:sz w:val="22"/>
                <w:szCs w:val="22"/>
                <w:lang w:val="en-GB" w:eastAsia="ru-RU"/>
              </w:rPr>
              <w:t>2009</w:t>
            </w:r>
          </w:p>
        </w:tc>
        <w:tc>
          <w:tcPr>
            <w:tcW w:w="990" w:type="dxa"/>
            <w:shd w:val="clear" w:color="auto" w:fill="auto"/>
          </w:tcPr>
          <w:p w:rsidR="006378A3" w:rsidRDefault="006378A3" w:rsidP="002E01ED">
            <w:pPr>
              <w:jc w:val="both"/>
              <w:rPr>
                <w:rFonts w:cs="Arial"/>
                <w:b/>
                <w:sz w:val="22"/>
                <w:szCs w:val="22"/>
                <w:lang w:val="en-GB" w:eastAsia="ru-RU"/>
              </w:rPr>
            </w:pPr>
            <w:r>
              <w:rPr>
                <w:rFonts w:cs="Arial"/>
                <w:b/>
                <w:sz w:val="22"/>
                <w:szCs w:val="22"/>
                <w:lang w:val="en-GB" w:eastAsia="ru-RU"/>
              </w:rPr>
              <w:t>2010</w:t>
            </w:r>
          </w:p>
        </w:tc>
        <w:tc>
          <w:tcPr>
            <w:tcW w:w="990" w:type="dxa"/>
          </w:tcPr>
          <w:p w:rsidR="006378A3" w:rsidRDefault="006378A3" w:rsidP="002E01ED">
            <w:pPr>
              <w:jc w:val="both"/>
              <w:rPr>
                <w:rFonts w:cs="Arial"/>
                <w:b/>
                <w:sz w:val="22"/>
                <w:szCs w:val="22"/>
                <w:lang w:val="en-GB" w:eastAsia="ru-RU"/>
              </w:rPr>
            </w:pPr>
            <w:r>
              <w:rPr>
                <w:rFonts w:cs="Arial"/>
                <w:b/>
                <w:sz w:val="22"/>
                <w:szCs w:val="22"/>
                <w:lang w:val="en-GB" w:eastAsia="ru-RU"/>
              </w:rPr>
              <w:t>2011</w:t>
            </w:r>
          </w:p>
        </w:tc>
        <w:tc>
          <w:tcPr>
            <w:tcW w:w="1470" w:type="dxa"/>
            <w:shd w:val="clear" w:color="auto" w:fill="auto"/>
          </w:tcPr>
          <w:p w:rsidR="006378A3" w:rsidRDefault="006378A3" w:rsidP="002E01ED">
            <w:pPr>
              <w:jc w:val="both"/>
              <w:rPr>
                <w:rFonts w:cs="Arial"/>
                <w:b/>
                <w:sz w:val="22"/>
                <w:szCs w:val="22"/>
                <w:lang w:val="en-GB" w:eastAsia="ru-RU"/>
              </w:rPr>
            </w:pPr>
            <w:r>
              <w:rPr>
                <w:rFonts w:cs="Arial"/>
                <w:b/>
                <w:sz w:val="22"/>
                <w:szCs w:val="22"/>
                <w:lang w:val="en-GB" w:eastAsia="ru-RU"/>
              </w:rPr>
              <w:t>Percentage of the total area</w:t>
            </w:r>
          </w:p>
          <w:p w:rsidR="006378A3" w:rsidRDefault="006378A3" w:rsidP="002E01ED">
            <w:pPr>
              <w:jc w:val="both"/>
              <w:rPr>
                <w:rFonts w:cs="Arial"/>
                <w:b/>
                <w:sz w:val="22"/>
                <w:szCs w:val="22"/>
                <w:lang w:val="en-GB" w:eastAsia="ru-RU"/>
              </w:rPr>
            </w:pP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1.</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Burștîn</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118,9</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176,5</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246,1</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218,3</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191,2</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146,8</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198,7</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4,5</w:t>
            </w:r>
          </w:p>
        </w:tc>
      </w:tr>
      <w:tr w:rsidR="006378A3" w:rsidTr="002E01ED">
        <w:trPr>
          <w:trHeight w:val="296"/>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2.</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Debaltseve</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108,6</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95,5</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101,9</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114,9</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119,2</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112,8</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127,0</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2,9</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lastRenderedPageBreak/>
              <w:t>3.</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Dnipropetrovsk</w:t>
            </w:r>
            <w:r>
              <w:rPr>
                <w:rFonts w:cs="Arial"/>
                <w:sz w:val="22"/>
                <w:szCs w:val="22"/>
                <w:lang w:val="en-GB" w:eastAsia="ru-RU"/>
              </w:rPr>
              <w:t xml:space="preserve"> </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97,3</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128,8</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122,8</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120,3</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105,6</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110,0</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110,0</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2,5</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4.</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Dniprodzerjînsk</w:t>
            </w:r>
            <w:r>
              <w:rPr>
                <w:rFonts w:cs="Arial"/>
                <w:sz w:val="22"/>
                <w:szCs w:val="22"/>
                <w:lang w:val="en-GB" w:eastAsia="ru-RU"/>
              </w:rPr>
              <w:t xml:space="preserve"> </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105,0</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126,1</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120,7</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110,3</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110,8</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108,5</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124,7</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2,8</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5.</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Zaporijjea</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135,5</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153,9</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147,5</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130,4</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94,3</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109,6</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117,1</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2,7</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6.</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Zelenodolsk</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79,4</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108,6</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142,6</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146,0</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133,6</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173,4</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205,3</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4,7</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7.</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Enerhodar</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80,8</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98,4</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75,5</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80,6</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79,2</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100,3</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104,9</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2,4</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8.</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Komsomolske</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95,2</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104,4</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98,8</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115,5</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95,1</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108,1</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126,2</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2,9</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9.</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Krivoi Rog</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443,4</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523,9</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608,5</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449,4</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321,6</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395,0</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358,6</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8,2</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10</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Kurahove</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117,2</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103,4</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160,2</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162,8</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121,9</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123,9</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166,2</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3,8</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11</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Luhansk</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144,2</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118,8</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150,6</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175,8</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150,4</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160,7</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142,6</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3,3</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12</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Mariupol</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340,4</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425,7</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421,1</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359,3</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283,9</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364,3</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382,4</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8,7</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13</w:t>
            </w:r>
          </w:p>
        </w:tc>
        <w:tc>
          <w:tcPr>
            <w:tcW w:w="1795" w:type="dxa"/>
            <w:shd w:val="clear" w:color="auto" w:fill="auto"/>
          </w:tcPr>
          <w:p w:rsidR="006378A3" w:rsidRDefault="006378A3" w:rsidP="002E01ED">
            <w:pPr>
              <w:jc w:val="both"/>
              <w:rPr>
                <w:rFonts w:cs="Arial"/>
                <w:sz w:val="22"/>
                <w:szCs w:val="22"/>
                <w:lang w:val="en-GB" w:eastAsia="ru-RU"/>
              </w:rPr>
            </w:pPr>
            <w:r>
              <w:rPr>
                <w:rFonts w:cs="Arial"/>
                <w:sz w:val="22"/>
                <w:szCs w:val="22"/>
                <w:lang w:val="en-GB"/>
              </w:rPr>
              <w:t>Novi Svet</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121,8</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123,7</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108,6</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98,1</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104,8</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109,9</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105,4</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2,4</w:t>
            </w:r>
          </w:p>
        </w:tc>
      </w:tr>
      <w:tr w:rsidR="006378A3" w:rsidTr="002E01ED">
        <w:trPr>
          <w:jc w:val="center"/>
        </w:trPr>
        <w:tc>
          <w:tcPr>
            <w:tcW w:w="516" w:type="dxa"/>
            <w:shd w:val="clear" w:color="auto" w:fill="auto"/>
          </w:tcPr>
          <w:p w:rsidR="006378A3" w:rsidRDefault="006378A3" w:rsidP="002E01ED">
            <w:pPr>
              <w:jc w:val="both"/>
              <w:rPr>
                <w:rFonts w:cs="Arial"/>
                <w:sz w:val="22"/>
                <w:szCs w:val="22"/>
                <w:lang w:val="en-GB" w:eastAsia="ru-RU"/>
              </w:rPr>
            </w:pPr>
            <w:r>
              <w:rPr>
                <w:rFonts w:cs="Arial"/>
                <w:sz w:val="22"/>
                <w:szCs w:val="22"/>
                <w:lang w:val="en-GB" w:eastAsia="ru-RU"/>
              </w:rPr>
              <w:t>14</w:t>
            </w:r>
          </w:p>
        </w:tc>
        <w:tc>
          <w:tcPr>
            <w:tcW w:w="1795" w:type="dxa"/>
            <w:shd w:val="clear" w:color="auto" w:fill="auto"/>
          </w:tcPr>
          <w:p w:rsidR="006378A3" w:rsidRDefault="006378A3" w:rsidP="002E01ED">
            <w:pPr>
              <w:widowControl w:val="0"/>
              <w:autoSpaceDE w:val="0"/>
              <w:autoSpaceDN w:val="0"/>
              <w:adjustRightInd w:val="0"/>
              <w:jc w:val="both"/>
              <w:rPr>
                <w:rFonts w:cs="Arial"/>
                <w:color w:val="000000"/>
                <w:sz w:val="22"/>
                <w:szCs w:val="22"/>
                <w:lang w:val="en-GB" w:eastAsia="en-GB"/>
              </w:rPr>
            </w:pPr>
            <w:r>
              <w:rPr>
                <w:rFonts w:cs="Arial"/>
                <w:sz w:val="22"/>
                <w:szCs w:val="22"/>
                <w:lang w:val="en-GB"/>
              </w:rPr>
              <w:t>Harțîzk</w:t>
            </w:r>
          </w:p>
        </w:tc>
        <w:tc>
          <w:tcPr>
            <w:tcW w:w="961"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88,4</w:t>
            </w:r>
          </w:p>
        </w:tc>
        <w:tc>
          <w:tcPr>
            <w:tcW w:w="989"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68,9</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91,4</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73,3</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73,0</w:t>
            </w:r>
          </w:p>
        </w:tc>
        <w:tc>
          <w:tcPr>
            <w:tcW w:w="99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75,4</w:t>
            </w:r>
          </w:p>
        </w:tc>
        <w:tc>
          <w:tcPr>
            <w:tcW w:w="990" w:type="dxa"/>
            <w:vAlign w:val="center"/>
          </w:tcPr>
          <w:p w:rsidR="006378A3" w:rsidRDefault="006378A3" w:rsidP="002E01ED">
            <w:pPr>
              <w:jc w:val="both"/>
              <w:rPr>
                <w:rFonts w:cs="Arial"/>
                <w:sz w:val="22"/>
                <w:szCs w:val="22"/>
                <w:lang w:val="en-GB" w:eastAsia="ru-RU"/>
              </w:rPr>
            </w:pPr>
            <w:r>
              <w:rPr>
                <w:rFonts w:cs="Arial"/>
                <w:sz w:val="22"/>
                <w:szCs w:val="22"/>
                <w:lang w:val="en-GB" w:eastAsia="ru-RU"/>
              </w:rPr>
              <w:t>103,1</w:t>
            </w:r>
          </w:p>
        </w:tc>
        <w:tc>
          <w:tcPr>
            <w:tcW w:w="1470" w:type="dxa"/>
            <w:shd w:val="clear" w:color="auto" w:fill="auto"/>
            <w:vAlign w:val="center"/>
          </w:tcPr>
          <w:p w:rsidR="006378A3" w:rsidRDefault="006378A3" w:rsidP="002E01ED">
            <w:pPr>
              <w:jc w:val="both"/>
              <w:rPr>
                <w:rFonts w:cs="Arial"/>
                <w:sz w:val="22"/>
                <w:szCs w:val="22"/>
                <w:lang w:val="en-GB" w:eastAsia="ru-RU"/>
              </w:rPr>
            </w:pPr>
            <w:r>
              <w:rPr>
                <w:rFonts w:cs="Arial"/>
                <w:sz w:val="22"/>
                <w:szCs w:val="22"/>
                <w:lang w:val="en-GB" w:eastAsia="ru-RU"/>
              </w:rPr>
              <w:t>2,4</w:t>
            </w:r>
          </w:p>
        </w:tc>
      </w:tr>
      <w:tr w:rsidR="006378A3" w:rsidTr="002E01ED">
        <w:trPr>
          <w:trHeight w:val="161"/>
          <w:jc w:val="center"/>
        </w:trPr>
        <w:tc>
          <w:tcPr>
            <w:tcW w:w="516" w:type="dxa"/>
            <w:shd w:val="clear" w:color="auto" w:fill="auto"/>
          </w:tcPr>
          <w:p w:rsidR="006378A3" w:rsidRDefault="006378A3" w:rsidP="002E01ED">
            <w:pPr>
              <w:jc w:val="both"/>
              <w:rPr>
                <w:rFonts w:cs="Arial"/>
                <w:b/>
                <w:sz w:val="22"/>
                <w:szCs w:val="22"/>
                <w:lang w:val="en-GB" w:eastAsia="ru-RU"/>
              </w:rPr>
            </w:pPr>
          </w:p>
        </w:tc>
        <w:tc>
          <w:tcPr>
            <w:tcW w:w="1795" w:type="dxa"/>
            <w:shd w:val="clear" w:color="auto" w:fill="auto"/>
          </w:tcPr>
          <w:p w:rsidR="006378A3" w:rsidRDefault="006378A3" w:rsidP="002E01ED">
            <w:pPr>
              <w:jc w:val="both"/>
              <w:rPr>
                <w:rFonts w:cs="Arial"/>
                <w:b/>
                <w:sz w:val="22"/>
                <w:szCs w:val="22"/>
                <w:lang w:val="en-GB" w:eastAsia="ru-RU"/>
              </w:rPr>
            </w:pPr>
            <w:r>
              <w:rPr>
                <w:rFonts w:cs="Arial"/>
                <w:b/>
                <w:sz w:val="22"/>
                <w:szCs w:val="22"/>
                <w:lang w:val="en-GB" w:eastAsia="ru-RU"/>
              </w:rPr>
              <w:t>Total</w:t>
            </w:r>
          </w:p>
        </w:tc>
        <w:tc>
          <w:tcPr>
            <w:tcW w:w="961" w:type="dxa"/>
            <w:shd w:val="clear" w:color="auto" w:fill="auto"/>
            <w:vAlign w:val="center"/>
          </w:tcPr>
          <w:p w:rsidR="006378A3" w:rsidRDefault="006378A3" w:rsidP="002E01ED">
            <w:pPr>
              <w:jc w:val="both"/>
              <w:rPr>
                <w:rFonts w:cs="Arial"/>
                <w:b/>
                <w:color w:val="000000"/>
                <w:sz w:val="22"/>
                <w:szCs w:val="22"/>
                <w:lang w:val="en-GB" w:eastAsia="ru-RU"/>
              </w:rPr>
            </w:pPr>
            <w:r>
              <w:rPr>
                <w:rFonts w:cs="Arial"/>
                <w:b/>
                <w:color w:val="000000"/>
                <w:sz w:val="22"/>
                <w:szCs w:val="22"/>
                <w:lang w:val="en-GB" w:eastAsia="ru-RU"/>
              </w:rPr>
              <w:t>2.076,1</w:t>
            </w:r>
          </w:p>
        </w:tc>
        <w:tc>
          <w:tcPr>
            <w:tcW w:w="989" w:type="dxa"/>
            <w:shd w:val="clear" w:color="auto" w:fill="auto"/>
            <w:vAlign w:val="center"/>
          </w:tcPr>
          <w:p w:rsidR="006378A3" w:rsidRDefault="006378A3" w:rsidP="002E01ED">
            <w:pPr>
              <w:jc w:val="both"/>
              <w:rPr>
                <w:rFonts w:cs="Arial"/>
                <w:b/>
                <w:color w:val="000000"/>
                <w:sz w:val="22"/>
                <w:szCs w:val="22"/>
                <w:lang w:val="en-GB" w:eastAsia="ru-RU"/>
              </w:rPr>
            </w:pPr>
            <w:r>
              <w:rPr>
                <w:rFonts w:cs="Arial"/>
                <w:b/>
                <w:color w:val="000000"/>
                <w:sz w:val="22"/>
                <w:szCs w:val="22"/>
                <w:lang w:val="en-GB" w:eastAsia="ru-RU"/>
              </w:rPr>
              <w:t>2.356,6</w:t>
            </w:r>
          </w:p>
        </w:tc>
        <w:tc>
          <w:tcPr>
            <w:tcW w:w="990" w:type="dxa"/>
            <w:shd w:val="clear" w:color="auto" w:fill="auto"/>
            <w:vAlign w:val="center"/>
          </w:tcPr>
          <w:p w:rsidR="006378A3" w:rsidRDefault="006378A3" w:rsidP="002E01ED">
            <w:pPr>
              <w:jc w:val="both"/>
              <w:rPr>
                <w:rFonts w:cs="Arial"/>
                <w:b/>
                <w:color w:val="000000"/>
                <w:sz w:val="22"/>
                <w:szCs w:val="22"/>
                <w:lang w:val="en-GB" w:eastAsia="ru-RU"/>
              </w:rPr>
            </w:pPr>
            <w:r>
              <w:rPr>
                <w:rFonts w:cs="Arial"/>
                <w:b/>
                <w:color w:val="000000"/>
                <w:sz w:val="22"/>
                <w:szCs w:val="22"/>
                <w:lang w:val="en-GB" w:eastAsia="ru-RU"/>
              </w:rPr>
              <w:t>2.596,3</w:t>
            </w:r>
          </w:p>
        </w:tc>
        <w:tc>
          <w:tcPr>
            <w:tcW w:w="990" w:type="dxa"/>
            <w:shd w:val="clear" w:color="auto" w:fill="auto"/>
            <w:vAlign w:val="center"/>
          </w:tcPr>
          <w:p w:rsidR="006378A3" w:rsidRDefault="006378A3" w:rsidP="002E01ED">
            <w:pPr>
              <w:jc w:val="both"/>
              <w:rPr>
                <w:rFonts w:cs="Arial"/>
                <w:b/>
                <w:color w:val="000000"/>
                <w:sz w:val="22"/>
                <w:szCs w:val="22"/>
                <w:lang w:val="en-GB" w:eastAsia="ru-RU"/>
              </w:rPr>
            </w:pPr>
            <w:r>
              <w:rPr>
                <w:rFonts w:cs="Arial"/>
                <w:b/>
                <w:color w:val="000000"/>
                <w:sz w:val="22"/>
                <w:szCs w:val="22"/>
                <w:lang w:val="en-GB" w:eastAsia="ru-RU"/>
              </w:rPr>
              <w:t>2.555,0</w:t>
            </w:r>
          </w:p>
        </w:tc>
        <w:tc>
          <w:tcPr>
            <w:tcW w:w="990" w:type="dxa"/>
            <w:shd w:val="clear" w:color="auto" w:fill="auto"/>
            <w:vAlign w:val="center"/>
          </w:tcPr>
          <w:p w:rsidR="006378A3" w:rsidRDefault="006378A3" w:rsidP="002E01ED">
            <w:pPr>
              <w:jc w:val="both"/>
              <w:rPr>
                <w:rFonts w:cs="Arial"/>
                <w:b/>
                <w:color w:val="000000"/>
                <w:sz w:val="22"/>
                <w:szCs w:val="22"/>
                <w:lang w:val="en-GB" w:eastAsia="ru-RU"/>
              </w:rPr>
            </w:pPr>
            <w:r>
              <w:rPr>
                <w:rFonts w:cs="Arial"/>
                <w:b/>
                <w:color w:val="000000"/>
                <w:sz w:val="22"/>
                <w:szCs w:val="22"/>
                <w:lang w:val="en-GB" w:eastAsia="ru-RU"/>
              </w:rPr>
              <w:t>1.984,6</w:t>
            </w:r>
          </w:p>
        </w:tc>
        <w:tc>
          <w:tcPr>
            <w:tcW w:w="990" w:type="dxa"/>
            <w:shd w:val="clear" w:color="auto" w:fill="auto"/>
            <w:vAlign w:val="center"/>
          </w:tcPr>
          <w:p w:rsidR="006378A3" w:rsidRDefault="006378A3" w:rsidP="002E01ED">
            <w:pPr>
              <w:jc w:val="both"/>
              <w:rPr>
                <w:rFonts w:cs="Arial"/>
                <w:b/>
                <w:color w:val="000000"/>
                <w:sz w:val="22"/>
                <w:szCs w:val="22"/>
                <w:lang w:val="en-GB" w:eastAsia="ru-RU"/>
              </w:rPr>
            </w:pPr>
            <w:r>
              <w:rPr>
                <w:rFonts w:cs="Arial"/>
                <w:b/>
                <w:color w:val="000000"/>
                <w:sz w:val="22"/>
                <w:szCs w:val="22"/>
                <w:lang w:val="en-GB" w:eastAsia="ru-RU"/>
              </w:rPr>
              <w:t>2.198,7</w:t>
            </w:r>
          </w:p>
        </w:tc>
        <w:tc>
          <w:tcPr>
            <w:tcW w:w="990" w:type="dxa"/>
            <w:vAlign w:val="center"/>
          </w:tcPr>
          <w:p w:rsidR="006378A3" w:rsidRDefault="006378A3" w:rsidP="002E01ED">
            <w:pPr>
              <w:jc w:val="both"/>
              <w:rPr>
                <w:rFonts w:cs="Arial"/>
                <w:b/>
                <w:color w:val="000000"/>
                <w:sz w:val="22"/>
                <w:szCs w:val="22"/>
                <w:lang w:val="en-GB" w:eastAsia="ru-RU"/>
              </w:rPr>
            </w:pPr>
            <w:r>
              <w:rPr>
                <w:rFonts w:cs="Arial"/>
                <w:b/>
                <w:color w:val="000000"/>
                <w:sz w:val="22"/>
                <w:szCs w:val="22"/>
                <w:lang w:val="en-GB" w:eastAsia="ru-RU"/>
              </w:rPr>
              <w:t>2.372,2</w:t>
            </w:r>
          </w:p>
        </w:tc>
        <w:tc>
          <w:tcPr>
            <w:tcW w:w="1470" w:type="dxa"/>
            <w:shd w:val="clear" w:color="auto" w:fill="auto"/>
            <w:vAlign w:val="center"/>
          </w:tcPr>
          <w:p w:rsidR="006378A3" w:rsidRDefault="006378A3" w:rsidP="002E01ED">
            <w:pPr>
              <w:jc w:val="both"/>
              <w:rPr>
                <w:rFonts w:cs="Arial"/>
                <w:b/>
                <w:sz w:val="22"/>
                <w:szCs w:val="22"/>
                <w:lang w:val="en-GB" w:eastAsia="ru-RU"/>
              </w:rPr>
            </w:pPr>
            <w:r>
              <w:rPr>
                <w:rFonts w:cs="Arial"/>
                <w:b/>
                <w:sz w:val="22"/>
                <w:szCs w:val="22"/>
                <w:lang w:val="en-GB" w:eastAsia="ru-RU"/>
              </w:rPr>
              <w:t>54,2</w:t>
            </w:r>
          </w:p>
        </w:tc>
      </w:tr>
    </w:tbl>
    <w:p w:rsidR="006378A3" w:rsidRDefault="006378A3" w:rsidP="006378A3">
      <w:pPr>
        <w:jc w:val="both"/>
        <w:rPr>
          <w:rFonts w:cs="Arial"/>
          <w:lang w:val="en-GB"/>
        </w:rPr>
      </w:pPr>
      <w:r>
        <w:rPr>
          <w:rFonts w:cs="Arial"/>
          <w:lang w:val="en-GB"/>
        </w:rPr>
        <w:tab/>
      </w:r>
    </w:p>
    <w:p w:rsidR="006378A3" w:rsidRDefault="006378A3" w:rsidP="006378A3">
      <w:pPr>
        <w:spacing w:before="60" w:after="60" w:line="288" w:lineRule="auto"/>
        <w:jc w:val="both"/>
        <w:rPr>
          <w:rFonts w:cs="Arial"/>
          <w:lang w:val="en-GB"/>
        </w:rPr>
      </w:pPr>
      <w:r>
        <w:rPr>
          <w:rFonts w:cs="Arial"/>
          <w:lang w:val="en-GB"/>
        </w:rPr>
        <w:t>Emissions of pollutants from stationary sources are:</w:t>
      </w:r>
    </w:p>
    <w:p w:rsidR="006378A3" w:rsidRDefault="006378A3" w:rsidP="006378A3">
      <w:pPr>
        <w:numPr>
          <w:ilvl w:val="0"/>
          <w:numId w:val="23"/>
        </w:numPr>
        <w:tabs>
          <w:tab w:val="left" w:pos="0"/>
          <w:tab w:val="left" w:pos="720"/>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The amount emissions of SO</w:t>
      </w:r>
      <w:r>
        <w:rPr>
          <w:rFonts w:cs="Arial"/>
          <w:vertAlign w:val="subscript"/>
          <w:lang w:val="en-GB" w:eastAsia="en-US"/>
        </w:rPr>
        <w:t>2</w:t>
      </w:r>
      <w:r>
        <w:rPr>
          <w:rFonts w:cs="Arial"/>
          <w:lang w:val="en-GB" w:eastAsia="en-US"/>
        </w:rPr>
        <w:t xml:space="preserve">  is 1 342 600 tons/year (representing 30.7 % of the total pollutants); </w:t>
      </w:r>
    </w:p>
    <w:p w:rsidR="006378A3" w:rsidRDefault="006378A3" w:rsidP="006378A3">
      <w:pPr>
        <w:numPr>
          <w:ilvl w:val="0"/>
          <w:numId w:val="23"/>
        </w:numPr>
        <w:tabs>
          <w:tab w:val="left" w:pos="0"/>
          <w:tab w:val="left" w:pos="720"/>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The amount emissions of CO is 1 066 100 tons/year (representing 24.4% of the total pollutants);</w:t>
      </w:r>
    </w:p>
    <w:p w:rsidR="006378A3" w:rsidRDefault="006378A3" w:rsidP="006378A3">
      <w:pPr>
        <w:numPr>
          <w:ilvl w:val="0"/>
          <w:numId w:val="23"/>
        </w:numPr>
        <w:tabs>
          <w:tab w:val="left" w:pos="0"/>
          <w:tab w:val="left" w:pos="720"/>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The amount emissions of CH</w:t>
      </w:r>
      <w:r>
        <w:rPr>
          <w:rFonts w:cs="Arial"/>
          <w:vertAlign w:val="subscript"/>
          <w:lang w:val="en-GB" w:eastAsia="en-US"/>
        </w:rPr>
        <w:t>4</w:t>
      </w:r>
      <w:r>
        <w:rPr>
          <w:rFonts w:cs="Arial"/>
          <w:lang w:val="en-GB" w:eastAsia="en-US"/>
        </w:rPr>
        <w:t xml:space="preserve"> is 878 200 tons/year (representing 20.1% of the total pollutants)</w:t>
      </w:r>
    </w:p>
    <w:p w:rsidR="006378A3" w:rsidRDefault="006378A3" w:rsidP="006378A3">
      <w:pPr>
        <w:numPr>
          <w:ilvl w:val="0"/>
          <w:numId w:val="23"/>
        </w:numPr>
        <w:tabs>
          <w:tab w:val="left" w:pos="0"/>
          <w:tab w:val="left" w:pos="720"/>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The amount emissions of particulate matter is 606 600 tons/year (representing 13.9 % of the total pollutants)</w:t>
      </w:r>
    </w:p>
    <w:p w:rsidR="006378A3" w:rsidRDefault="006378A3" w:rsidP="006378A3">
      <w:pPr>
        <w:numPr>
          <w:ilvl w:val="0"/>
          <w:numId w:val="23"/>
        </w:numPr>
        <w:tabs>
          <w:tab w:val="left" w:pos="0"/>
          <w:tab w:val="left" w:pos="720"/>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The amount emissions of NOx is 381 900 tons/year (representing 8.7 % of the total pollutants)</w:t>
      </w:r>
    </w:p>
    <w:p w:rsidR="006378A3" w:rsidRDefault="006378A3" w:rsidP="006378A3">
      <w:pPr>
        <w:tabs>
          <w:tab w:val="left" w:pos="0"/>
          <w:tab w:val="left" w:pos="72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p>
    <w:p w:rsidR="006378A3" w:rsidRDefault="006378A3" w:rsidP="006378A3">
      <w:pPr>
        <w:autoSpaceDE w:val="0"/>
        <w:autoSpaceDN w:val="0"/>
        <w:adjustRightInd w:val="0"/>
        <w:spacing w:before="60" w:after="60" w:line="288" w:lineRule="auto"/>
        <w:jc w:val="center"/>
        <w:rPr>
          <w:rFonts w:eastAsia="Calibri" w:cs="Arial"/>
          <w:bCs/>
          <w:sz w:val="22"/>
          <w:szCs w:val="22"/>
          <w:lang w:val="en-GB"/>
        </w:rPr>
      </w:pPr>
      <w:r>
        <w:rPr>
          <w:rFonts w:eastAsia="Calibri" w:cs="Arial"/>
          <w:b/>
          <w:bCs/>
          <w:i/>
          <w:sz w:val="22"/>
          <w:szCs w:val="22"/>
          <w:lang w:val="en-GB"/>
        </w:rPr>
        <w:t xml:space="preserve">Table 4.6.3 - </w:t>
      </w:r>
      <w:r>
        <w:rPr>
          <w:rFonts w:eastAsia="Calibri" w:cs="Arial"/>
          <w:bCs/>
          <w:sz w:val="22"/>
          <w:szCs w:val="22"/>
          <w:lang w:val="en-GB"/>
        </w:rPr>
        <w:t>Emissions of pollutant from stationary sources</w:t>
      </w:r>
    </w:p>
    <w:tbl>
      <w:tblPr>
        <w:tblW w:w="9276"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5"/>
        <w:gridCol w:w="1134"/>
        <w:gridCol w:w="992"/>
        <w:gridCol w:w="1559"/>
        <w:gridCol w:w="1080"/>
        <w:gridCol w:w="1710"/>
        <w:gridCol w:w="1176"/>
      </w:tblGrid>
      <w:tr w:rsidR="006378A3" w:rsidTr="002E01ED">
        <w:trPr>
          <w:trHeight w:val="593"/>
        </w:trPr>
        <w:tc>
          <w:tcPr>
            <w:tcW w:w="1625" w:type="dxa"/>
            <w:vMerge w:val="restart"/>
            <w:shd w:val="clear" w:color="auto" w:fill="auto"/>
          </w:tcPr>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r>
              <w:rPr>
                <w:rFonts w:cs="Arial"/>
                <w:b/>
                <w:color w:val="000000"/>
                <w:sz w:val="22"/>
                <w:szCs w:val="22"/>
                <w:lang w:val="en-GB" w:eastAsia="en-GB"/>
              </w:rPr>
              <w:t>Pollutants</w:t>
            </w:r>
          </w:p>
        </w:tc>
        <w:tc>
          <w:tcPr>
            <w:tcW w:w="2126" w:type="dxa"/>
            <w:gridSpan w:val="2"/>
            <w:shd w:val="clear" w:color="auto" w:fill="auto"/>
          </w:tcPr>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r>
              <w:rPr>
                <w:rFonts w:cs="Arial"/>
                <w:b/>
                <w:color w:val="000000"/>
                <w:sz w:val="22"/>
                <w:szCs w:val="22"/>
                <w:lang w:val="en-GB" w:eastAsia="en-GB"/>
              </w:rPr>
              <w:t>Number of emissions unities</w:t>
            </w:r>
          </w:p>
        </w:tc>
        <w:tc>
          <w:tcPr>
            <w:tcW w:w="5525" w:type="dxa"/>
            <w:gridSpan w:val="4"/>
            <w:shd w:val="clear" w:color="auto" w:fill="auto"/>
          </w:tcPr>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r>
              <w:rPr>
                <w:rFonts w:cs="Arial"/>
                <w:b/>
                <w:color w:val="000000"/>
                <w:sz w:val="22"/>
                <w:szCs w:val="22"/>
                <w:lang w:val="en-GB" w:eastAsia="en-GB"/>
              </w:rPr>
              <w:t xml:space="preserve">Emissions Volume </w:t>
            </w:r>
          </w:p>
        </w:tc>
      </w:tr>
      <w:tr w:rsidR="006378A3" w:rsidTr="002E01ED">
        <w:trPr>
          <w:trHeight w:val="173"/>
        </w:trPr>
        <w:tc>
          <w:tcPr>
            <w:tcW w:w="1625" w:type="dxa"/>
            <w:vMerge/>
            <w:shd w:val="clear" w:color="auto" w:fill="auto"/>
          </w:tcPr>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p>
        </w:tc>
        <w:tc>
          <w:tcPr>
            <w:tcW w:w="1134" w:type="dxa"/>
            <w:shd w:val="clear" w:color="auto" w:fill="auto"/>
          </w:tcPr>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r>
              <w:rPr>
                <w:rFonts w:cs="Arial"/>
                <w:b/>
                <w:color w:val="000000"/>
                <w:sz w:val="22"/>
                <w:szCs w:val="22"/>
                <w:lang w:val="en-GB" w:eastAsia="en-GB"/>
              </w:rPr>
              <w:t>Unities</w:t>
            </w:r>
          </w:p>
        </w:tc>
        <w:tc>
          <w:tcPr>
            <w:tcW w:w="992" w:type="dxa"/>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
                <w:color w:val="000000"/>
                <w:sz w:val="22"/>
                <w:szCs w:val="22"/>
                <w:lang w:val="en-GB" w:eastAsia="en-GB"/>
              </w:rPr>
            </w:pPr>
            <w:r>
              <w:rPr>
                <w:rFonts w:cs="Arial"/>
                <w:b/>
                <w:color w:val="000000"/>
                <w:sz w:val="22"/>
                <w:szCs w:val="22"/>
                <w:lang w:val="en-GB" w:eastAsia="en-GB"/>
              </w:rPr>
              <w:t>% until 2010</w:t>
            </w:r>
          </w:p>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p>
        </w:tc>
        <w:tc>
          <w:tcPr>
            <w:tcW w:w="1559" w:type="dxa"/>
            <w:shd w:val="clear" w:color="auto" w:fill="auto"/>
          </w:tcPr>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r>
              <w:rPr>
                <w:rFonts w:cs="Arial"/>
                <w:b/>
                <w:color w:val="000000"/>
                <w:sz w:val="22"/>
                <w:szCs w:val="22"/>
                <w:lang w:val="en-GB" w:eastAsia="en-GB"/>
              </w:rPr>
              <w:t>Tons</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r>
              <w:rPr>
                <w:rFonts w:cs="Arial"/>
                <w:b/>
                <w:color w:val="000000"/>
                <w:sz w:val="22"/>
                <w:szCs w:val="22"/>
                <w:lang w:val="en-GB" w:eastAsia="en-GB"/>
              </w:rPr>
              <w:t>% until 2010</w:t>
            </w:r>
          </w:p>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p>
        </w:tc>
        <w:tc>
          <w:tcPr>
            <w:tcW w:w="1710" w:type="dxa"/>
            <w:shd w:val="clear" w:color="auto" w:fill="auto"/>
          </w:tcPr>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r>
              <w:rPr>
                <w:rFonts w:cs="Arial"/>
                <w:b/>
                <w:color w:val="000000"/>
                <w:sz w:val="22"/>
                <w:szCs w:val="22"/>
                <w:lang w:val="en-GB" w:eastAsia="en-GB"/>
              </w:rPr>
              <w:t>Increase , decrease compared with 2010</w:t>
            </w:r>
          </w:p>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p>
        </w:tc>
        <w:tc>
          <w:tcPr>
            <w:tcW w:w="1176" w:type="dxa"/>
            <w:shd w:val="clear" w:color="auto" w:fill="auto"/>
          </w:tcPr>
          <w:p w:rsidR="006378A3" w:rsidRDefault="006378A3" w:rsidP="002E01ED">
            <w:pPr>
              <w:widowControl w:val="0"/>
              <w:autoSpaceDE w:val="0"/>
              <w:autoSpaceDN w:val="0"/>
              <w:adjustRightInd w:val="0"/>
              <w:contextualSpacing/>
              <w:jc w:val="both"/>
              <w:rPr>
                <w:rFonts w:cs="Arial"/>
                <w:b/>
                <w:color w:val="000000"/>
                <w:sz w:val="22"/>
                <w:szCs w:val="22"/>
                <w:lang w:val="en-GB" w:eastAsia="en-GB"/>
              </w:rPr>
            </w:pPr>
            <w:r>
              <w:rPr>
                <w:rFonts w:cs="Arial"/>
                <w:b/>
                <w:color w:val="000000"/>
                <w:sz w:val="22"/>
                <w:szCs w:val="22"/>
                <w:lang w:val="en-GB" w:eastAsia="en-GB"/>
              </w:rPr>
              <w:t>Variation %</w:t>
            </w:r>
          </w:p>
        </w:tc>
      </w:tr>
      <w:tr w:rsidR="006378A3" w:rsidTr="002E01ED">
        <w:trPr>
          <w:trHeight w:val="188"/>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Metals and their compounds</w:t>
            </w:r>
          </w:p>
          <w:p w:rsidR="006378A3" w:rsidRDefault="006378A3" w:rsidP="002E01ED">
            <w:pPr>
              <w:widowControl w:val="0"/>
              <w:autoSpaceDE w:val="0"/>
              <w:autoSpaceDN w:val="0"/>
              <w:adjustRightInd w:val="0"/>
              <w:contextualSpacing/>
              <w:jc w:val="both"/>
              <w:rPr>
                <w:rFonts w:cs="Arial"/>
                <w:color w:val="000000"/>
                <w:sz w:val="22"/>
                <w:szCs w:val="22"/>
                <w:lang w:val="en-GB" w:eastAsia="en-GB"/>
              </w:rPr>
            </w:pP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4.584</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96,0</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32.660,57</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98,5</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-491,994</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0,7</w:t>
            </w:r>
          </w:p>
        </w:tc>
      </w:tr>
      <w:tr w:rsidR="006378A3" w:rsidTr="002E01ED">
        <w:trPr>
          <w:trHeight w:val="641"/>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Arsenic and its compounds</w:t>
            </w:r>
          </w:p>
          <w:p w:rsidR="006378A3" w:rsidRDefault="006378A3" w:rsidP="002E01ED">
            <w:pPr>
              <w:widowControl w:val="0"/>
              <w:autoSpaceDE w:val="0"/>
              <w:autoSpaceDN w:val="0"/>
              <w:adjustRightInd w:val="0"/>
              <w:contextualSpacing/>
              <w:jc w:val="both"/>
              <w:rPr>
                <w:rFonts w:cs="Arial"/>
                <w:color w:val="000000"/>
                <w:sz w:val="22"/>
                <w:szCs w:val="22"/>
                <w:lang w:val="en-GB" w:eastAsia="en-GB"/>
              </w:rPr>
            </w:pP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421</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96,3</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56,78</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108,7</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4,56</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0,0</w:t>
            </w:r>
          </w:p>
        </w:tc>
      </w:tr>
      <w:tr w:rsidR="006378A3" w:rsidTr="002E01ED">
        <w:trPr>
          <w:trHeight w:val="816"/>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Lead and its compounds</w:t>
            </w:r>
          </w:p>
          <w:p w:rsidR="006378A3" w:rsidRDefault="006378A3" w:rsidP="002E01ED">
            <w:pPr>
              <w:widowControl w:val="0"/>
              <w:autoSpaceDE w:val="0"/>
              <w:autoSpaceDN w:val="0"/>
              <w:adjustRightInd w:val="0"/>
              <w:ind w:right="-103"/>
              <w:contextualSpacing/>
              <w:jc w:val="both"/>
              <w:rPr>
                <w:rFonts w:cs="Arial"/>
                <w:color w:val="000000"/>
                <w:sz w:val="22"/>
                <w:szCs w:val="22"/>
                <w:lang w:val="en-GB" w:eastAsia="en-GB"/>
              </w:rPr>
            </w:pP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37</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88,1</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5,147</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108,4</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0,399</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0,0</w:t>
            </w:r>
          </w:p>
        </w:tc>
      </w:tr>
      <w:tr w:rsidR="006378A3" w:rsidTr="002E01ED">
        <w:trPr>
          <w:trHeight w:val="782"/>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 xml:space="preserve">Particulate matter </w:t>
            </w: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6.674</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95,7</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606.615,34</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107,9</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44.548,537</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13,9</w:t>
            </w:r>
          </w:p>
        </w:tc>
      </w:tr>
      <w:tr w:rsidR="006378A3" w:rsidTr="002E01ED">
        <w:trPr>
          <w:trHeight w:val="283"/>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NOx</w:t>
            </w: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7.906</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95,7</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381.882,87</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110,9</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37.631,951</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8,7</w:t>
            </w:r>
          </w:p>
        </w:tc>
      </w:tr>
      <w:tr w:rsidR="006378A3" w:rsidTr="002E01ED">
        <w:trPr>
          <w:trHeight w:val="525"/>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lastRenderedPageBreak/>
              <w:t>SOx</w:t>
            </w: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4.306</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96,9</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1.342.561,9</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110,4</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126.689,053</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30,7</w:t>
            </w:r>
          </w:p>
        </w:tc>
      </w:tr>
      <w:tr w:rsidR="006378A3" w:rsidTr="002E01ED">
        <w:trPr>
          <w:trHeight w:val="283"/>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CO</w:t>
            </w: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7.400</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96,0</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1.066.118,4</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100,2</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2.287,411</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24,4</w:t>
            </w:r>
          </w:p>
        </w:tc>
      </w:tr>
      <w:tr w:rsidR="006378A3" w:rsidTr="002E01ED">
        <w:trPr>
          <w:trHeight w:val="283"/>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Ozone</w:t>
            </w: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68</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107,9</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14,783</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105,1</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0,712</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0,0</w:t>
            </w:r>
          </w:p>
        </w:tc>
      </w:tr>
      <w:tr w:rsidR="006378A3" w:rsidTr="002E01ED">
        <w:trPr>
          <w:trHeight w:val="751"/>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NMVOC</w:t>
            </w: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5.179</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94,7</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65.213,128</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98,8</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-802,787</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1,5</w:t>
            </w:r>
          </w:p>
        </w:tc>
      </w:tr>
      <w:tr w:rsidR="006378A3" w:rsidTr="002E01ED">
        <w:trPr>
          <w:trHeight w:val="283"/>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Formaldehyde</w:t>
            </w:r>
          </w:p>
          <w:p w:rsidR="006378A3" w:rsidRDefault="006378A3" w:rsidP="002E01ED">
            <w:pPr>
              <w:widowControl w:val="0"/>
              <w:autoSpaceDE w:val="0"/>
              <w:autoSpaceDN w:val="0"/>
              <w:adjustRightInd w:val="0"/>
              <w:contextualSpacing/>
              <w:jc w:val="both"/>
              <w:rPr>
                <w:rFonts w:cs="Arial"/>
                <w:color w:val="000000"/>
                <w:sz w:val="22"/>
                <w:szCs w:val="22"/>
                <w:lang w:val="en-GB" w:eastAsia="en-GB"/>
              </w:rPr>
            </w:pP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404</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101,3</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284,405</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109,4</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24,369</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0,0</w:t>
            </w:r>
          </w:p>
        </w:tc>
      </w:tr>
      <w:tr w:rsidR="006378A3" w:rsidTr="002E01ED">
        <w:trPr>
          <w:trHeight w:val="310"/>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CH4</w:t>
            </w: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4.005</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100,7</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878.159,56</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103,9</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33.341,908</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20,1</w:t>
            </w:r>
          </w:p>
        </w:tc>
      </w:tr>
      <w:tr w:rsidR="006378A3" w:rsidTr="002E01ED">
        <w:trPr>
          <w:trHeight w:val="391"/>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 xml:space="preserve">POPs  </w:t>
            </w: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153</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90</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266,938</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59,9</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-178,618</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0,0</w:t>
            </w:r>
          </w:p>
        </w:tc>
      </w:tr>
      <w:tr w:rsidR="006378A3" w:rsidTr="002E01ED">
        <w:trPr>
          <w:trHeight w:val="283"/>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Benzo ( a) pyrene</w:t>
            </w:r>
          </w:p>
          <w:p w:rsidR="006378A3" w:rsidRDefault="006378A3" w:rsidP="002E01ED">
            <w:pPr>
              <w:widowControl w:val="0"/>
              <w:autoSpaceDE w:val="0"/>
              <w:autoSpaceDN w:val="0"/>
              <w:adjustRightInd w:val="0"/>
              <w:contextualSpacing/>
              <w:jc w:val="both"/>
              <w:rPr>
                <w:rFonts w:cs="Arial"/>
                <w:color w:val="000000"/>
                <w:sz w:val="22"/>
                <w:szCs w:val="22"/>
                <w:lang w:val="en-GB" w:eastAsia="en-GB"/>
              </w:rPr>
            </w:pP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32</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100</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0,773</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100,8</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0,006</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0,0</w:t>
            </w:r>
          </w:p>
        </w:tc>
      </w:tr>
      <w:tr w:rsidR="006378A3" w:rsidTr="002E01ED">
        <w:trPr>
          <w:trHeight w:val="505"/>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Fluorine and fluorine compounds</w:t>
            </w:r>
          </w:p>
          <w:p w:rsidR="006378A3" w:rsidRDefault="006378A3" w:rsidP="002E01ED">
            <w:pPr>
              <w:widowControl w:val="0"/>
              <w:autoSpaceDE w:val="0"/>
              <w:autoSpaceDN w:val="0"/>
              <w:adjustRightInd w:val="0"/>
              <w:ind w:right="-103"/>
              <w:contextualSpacing/>
              <w:jc w:val="both"/>
              <w:rPr>
                <w:rFonts w:cs="Arial"/>
                <w:color w:val="000000"/>
                <w:sz w:val="22"/>
                <w:szCs w:val="22"/>
                <w:lang w:val="en-GB" w:eastAsia="en-GB"/>
              </w:rPr>
            </w:pP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734</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96,6</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209,61</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72,2</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-80,82</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0,0</w:t>
            </w:r>
          </w:p>
        </w:tc>
      </w:tr>
      <w:tr w:rsidR="006378A3" w:rsidTr="002E01ED">
        <w:trPr>
          <w:trHeight w:val="283"/>
        </w:trPr>
        <w:tc>
          <w:tcPr>
            <w:tcW w:w="1625" w:type="dxa"/>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color w:val="000000"/>
                <w:sz w:val="22"/>
                <w:szCs w:val="22"/>
                <w:lang w:val="en-GB" w:eastAsia="en-GB"/>
              </w:rPr>
            </w:pPr>
            <w:r>
              <w:rPr>
                <w:rFonts w:cs="Arial"/>
                <w:color w:val="000000"/>
                <w:sz w:val="22"/>
                <w:szCs w:val="22"/>
                <w:lang w:val="en-GB" w:eastAsia="en-GB"/>
              </w:rPr>
              <w:t>Cyanide</w:t>
            </w:r>
          </w:p>
          <w:p w:rsidR="006378A3" w:rsidRDefault="006378A3" w:rsidP="002E01ED">
            <w:pPr>
              <w:widowControl w:val="0"/>
              <w:autoSpaceDE w:val="0"/>
              <w:autoSpaceDN w:val="0"/>
              <w:adjustRightInd w:val="0"/>
              <w:contextualSpacing/>
              <w:jc w:val="both"/>
              <w:rPr>
                <w:rFonts w:cs="Arial"/>
                <w:color w:val="000000"/>
                <w:sz w:val="22"/>
                <w:szCs w:val="22"/>
                <w:lang w:val="en-GB" w:eastAsia="en-GB"/>
              </w:rPr>
            </w:pP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73</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104,3</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272,795</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106,3</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16,183</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0,0</w:t>
            </w:r>
          </w:p>
        </w:tc>
      </w:tr>
      <w:tr w:rsidR="006378A3" w:rsidTr="002E01ED">
        <w:trPr>
          <w:trHeight w:val="310"/>
        </w:trPr>
        <w:tc>
          <w:tcPr>
            <w:tcW w:w="1625"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Freon</w:t>
            </w:r>
          </w:p>
        </w:tc>
        <w:tc>
          <w:tcPr>
            <w:tcW w:w="1134"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212</w:t>
            </w:r>
          </w:p>
        </w:tc>
        <w:tc>
          <w:tcPr>
            <w:tcW w:w="992"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104,4</w:t>
            </w:r>
          </w:p>
        </w:tc>
        <w:tc>
          <w:tcPr>
            <w:tcW w:w="1559"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80,534</w:t>
            </w:r>
          </w:p>
        </w:tc>
        <w:tc>
          <w:tcPr>
            <w:tcW w:w="108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74,7</w:t>
            </w:r>
          </w:p>
        </w:tc>
        <w:tc>
          <w:tcPr>
            <w:tcW w:w="1710"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-27,238</w:t>
            </w:r>
          </w:p>
        </w:tc>
        <w:tc>
          <w:tcPr>
            <w:tcW w:w="1176" w:type="dxa"/>
            <w:shd w:val="clear" w:color="auto" w:fill="auto"/>
          </w:tcPr>
          <w:p w:rsidR="006378A3" w:rsidRDefault="006378A3" w:rsidP="002E01ED">
            <w:pPr>
              <w:widowControl w:val="0"/>
              <w:autoSpaceDE w:val="0"/>
              <w:autoSpaceDN w:val="0"/>
              <w:adjustRightInd w:val="0"/>
              <w:contextualSpacing/>
              <w:jc w:val="both"/>
              <w:rPr>
                <w:rFonts w:cs="Arial"/>
                <w:color w:val="000000"/>
                <w:sz w:val="22"/>
                <w:szCs w:val="22"/>
                <w:lang w:val="en-GB" w:eastAsia="en-GB"/>
              </w:rPr>
            </w:pPr>
            <w:r>
              <w:rPr>
                <w:rFonts w:cs="Arial"/>
                <w:color w:val="000000"/>
                <w:sz w:val="22"/>
                <w:szCs w:val="22"/>
                <w:lang w:val="en-GB" w:eastAsia="en-GB"/>
              </w:rPr>
              <w:t>0,0</w:t>
            </w:r>
          </w:p>
        </w:tc>
      </w:tr>
    </w:tbl>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
          <w:u w:val="single"/>
          <w:lang w:val="en-GB" w:eastAsia="en-US"/>
        </w:rPr>
      </w:pPr>
      <w:r>
        <w:rPr>
          <w:rFonts w:cs="Arial"/>
          <w:b/>
          <w:u w:val="single"/>
          <w:lang w:val="en-GB" w:eastAsia="en-US"/>
        </w:rPr>
        <w:t>Industrial sources</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In Ukraine, total emissions from industrial sources represent about 25.2%, higher by 2.3 % compared to 2010. After manufacturing, mining represents 19.6 % of total emissions which is higher by 0.5 % more than previous year, according to Table 4.6.4.</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312" w:lineRule="auto"/>
        <w:jc w:val="both"/>
        <w:rPr>
          <w:rFonts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b/>
          <w:bCs/>
          <w:i/>
          <w:sz w:val="22"/>
          <w:szCs w:val="22"/>
          <w:lang w:val="en-GB"/>
        </w:rPr>
      </w:pPr>
      <w:r>
        <w:rPr>
          <w:rFonts w:cs="Arial"/>
          <w:lang w:val="en-GB" w:eastAsia="en-US"/>
        </w:rPr>
        <w:t xml:space="preserve"> </w:t>
      </w:r>
      <w:r>
        <w:rPr>
          <w:rFonts w:eastAsia="Calibri" w:cs="Arial"/>
          <w:b/>
          <w:bCs/>
          <w:i/>
          <w:sz w:val="22"/>
          <w:szCs w:val="22"/>
          <w:lang w:val="en-GB"/>
        </w:rPr>
        <w:t xml:space="preserve">Table 4.6.4 – Emissions from industrial sources </w:t>
      </w:r>
    </w:p>
    <w:tbl>
      <w:tblPr>
        <w:tblW w:w="9677" w:type="dxa"/>
        <w:jc w:val="center"/>
        <w:tblLayout w:type="fixed"/>
        <w:tblLook w:val="01E0" w:firstRow="1" w:lastRow="1" w:firstColumn="1" w:lastColumn="1" w:noHBand="0" w:noVBand="0"/>
      </w:tblPr>
      <w:tblGrid>
        <w:gridCol w:w="2470"/>
        <w:gridCol w:w="1516"/>
        <w:gridCol w:w="1542"/>
        <w:gridCol w:w="1080"/>
        <w:gridCol w:w="1620"/>
        <w:gridCol w:w="1449"/>
      </w:tblGrid>
      <w:tr w:rsidR="006378A3" w:rsidTr="002E01ED">
        <w:trPr>
          <w:trHeight w:val="136"/>
          <w:jc w:val="center"/>
        </w:trPr>
        <w:tc>
          <w:tcPr>
            <w:tcW w:w="2470" w:type="dxa"/>
            <w:vMerge w:val="restart"/>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p>
        </w:tc>
        <w:tc>
          <w:tcPr>
            <w:tcW w:w="1516" w:type="dxa"/>
            <w:vMerge w:val="restart"/>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
                <w:sz w:val="22"/>
                <w:szCs w:val="22"/>
                <w:lang w:val="en-GB" w:eastAsia="en-US"/>
              </w:rPr>
            </w:pPr>
            <w:r>
              <w:rPr>
                <w:rFonts w:cs="Arial"/>
                <w:b/>
                <w:sz w:val="22"/>
                <w:szCs w:val="22"/>
                <w:lang w:val="en-GB" w:eastAsia="en-US"/>
              </w:rPr>
              <w:t>Number of enterprises</w:t>
            </w:r>
          </w:p>
          <w:p w:rsidR="006378A3" w:rsidRDefault="006378A3" w:rsidP="002E01ED">
            <w:pPr>
              <w:autoSpaceDE w:val="0"/>
              <w:autoSpaceDN w:val="0"/>
              <w:adjustRightInd w:val="0"/>
              <w:jc w:val="both"/>
              <w:rPr>
                <w:rFonts w:cs="Arial"/>
                <w:b/>
                <w:bCs/>
                <w:sz w:val="22"/>
                <w:szCs w:val="22"/>
                <w:lang w:val="en-GB" w:eastAsia="ru-RU"/>
              </w:rPr>
            </w:pPr>
          </w:p>
        </w:tc>
        <w:tc>
          <w:tcPr>
            <w:tcW w:w="5691" w:type="dxa"/>
            <w:gridSpan w:val="4"/>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cs="Arial"/>
                <w:b/>
                <w:bCs/>
                <w:sz w:val="22"/>
                <w:szCs w:val="22"/>
                <w:lang w:val="en-GB" w:eastAsia="ru-RU"/>
              </w:rPr>
              <w:t>Emissions</w:t>
            </w:r>
          </w:p>
        </w:tc>
      </w:tr>
      <w:tr w:rsidR="006378A3" w:rsidTr="002E01ED">
        <w:trPr>
          <w:trHeight w:val="166"/>
          <w:jc w:val="center"/>
        </w:trPr>
        <w:tc>
          <w:tcPr>
            <w:tcW w:w="2470" w:type="dxa"/>
            <w:vMerge/>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p>
        </w:tc>
        <w:tc>
          <w:tcPr>
            <w:tcW w:w="1516" w:type="dxa"/>
            <w:vMerge/>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p>
        </w:tc>
        <w:tc>
          <w:tcPr>
            <w:tcW w:w="2622" w:type="dxa"/>
            <w:gridSpan w:val="2"/>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cs="Arial"/>
                <w:b/>
                <w:bCs/>
                <w:sz w:val="22"/>
                <w:szCs w:val="22"/>
                <w:lang w:val="en-GB" w:eastAsia="ru-RU"/>
              </w:rPr>
              <w:t>Pollutants</w:t>
            </w:r>
          </w:p>
        </w:tc>
        <w:tc>
          <w:tcPr>
            <w:tcW w:w="3069" w:type="dxa"/>
            <w:gridSpan w:val="2"/>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cs="Arial"/>
                <w:b/>
                <w:bCs/>
                <w:sz w:val="22"/>
                <w:szCs w:val="22"/>
                <w:lang w:val="en-GB" w:eastAsia="ru-RU"/>
              </w:rPr>
              <w:t>CO</w:t>
            </w:r>
            <w:r>
              <w:rPr>
                <w:rFonts w:cs="Arial"/>
                <w:b/>
                <w:bCs/>
                <w:sz w:val="22"/>
                <w:szCs w:val="22"/>
                <w:vertAlign w:val="subscript"/>
                <w:lang w:val="en-GB" w:eastAsia="ru-RU"/>
              </w:rPr>
              <w:t>2</w:t>
            </w:r>
          </w:p>
        </w:tc>
      </w:tr>
      <w:tr w:rsidR="006378A3" w:rsidTr="002E01ED">
        <w:trPr>
          <w:trHeight w:val="166"/>
          <w:jc w:val="center"/>
        </w:trPr>
        <w:tc>
          <w:tcPr>
            <w:tcW w:w="2470" w:type="dxa"/>
            <w:vMerge/>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p>
        </w:tc>
        <w:tc>
          <w:tcPr>
            <w:tcW w:w="1516" w:type="dxa"/>
            <w:vMerge/>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
                <w:sz w:val="22"/>
                <w:szCs w:val="22"/>
                <w:lang w:val="en-GB" w:eastAsia="en-US"/>
              </w:rPr>
            </w:pPr>
            <w:r>
              <w:rPr>
                <w:rFonts w:cs="Arial"/>
                <w:b/>
                <w:sz w:val="22"/>
                <w:szCs w:val="22"/>
                <w:lang w:val="en-GB" w:eastAsia="en-US"/>
              </w:rPr>
              <w:t>Thousands tons</w:t>
            </w:r>
          </w:p>
          <w:p w:rsidR="006378A3" w:rsidRDefault="006378A3" w:rsidP="002E01ED">
            <w:pPr>
              <w:autoSpaceDE w:val="0"/>
              <w:autoSpaceDN w:val="0"/>
              <w:adjustRightInd w:val="0"/>
              <w:jc w:val="both"/>
              <w:rPr>
                <w:rFonts w:cs="Arial"/>
                <w:b/>
                <w:bCs/>
                <w:sz w:val="22"/>
                <w:szCs w:val="22"/>
                <w:lang w:val="en-GB" w:eastAsia="ru-RU"/>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cs="Arial"/>
                <w:b/>
                <w:bCs/>
                <w:sz w:val="22"/>
                <w:szCs w:val="22"/>
                <w:lang w:val="en-GB" w:eastAsia="ru-RU"/>
              </w:rPr>
              <w:t>%</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
                <w:sz w:val="22"/>
                <w:szCs w:val="22"/>
                <w:lang w:val="en-GB" w:eastAsia="en-US"/>
              </w:rPr>
            </w:pPr>
            <w:r>
              <w:rPr>
                <w:rFonts w:cs="Arial"/>
                <w:b/>
                <w:sz w:val="22"/>
                <w:szCs w:val="22"/>
                <w:lang w:val="en-GB" w:eastAsia="en-US"/>
              </w:rPr>
              <w:t>Thousands tons</w:t>
            </w:r>
          </w:p>
          <w:p w:rsidR="006378A3" w:rsidRDefault="006378A3" w:rsidP="002E01ED">
            <w:pPr>
              <w:autoSpaceDE w:val="0"/>
              <w:autoSpaceDN w:val="0"/>
              <w:adjustRightInd w:val="0"/>
              <w:jc w:val="both"/>
              <w:rPr>
                <w:rFonts w:cs="Arial"/>
                <w:b/>
                <w:bCs/>
                <w:sz w:val="22"/>
                <w:szCs w:val="22"/>
                <w:lang w:val="en-GB" w:eastAsia="ru-RU"/>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cs="Arial"/>
                <w:b/>
                <w:bCs/>
                <w:sz w:val="22"/>
                <w:szCs w:val="22"/>
                <w:lang w:val="en-GB" w:eastAsia="ru-RU"/>
              </w:rPr>
              <w:t>%</w:t>
            </w:r>
          </w:p>
        </w:tc>
      </w:tr>
      <w:tr w:rsidR="006378A3" w:rsidTr="002E01ED">
        <w:trPr>
          <w:trHeight w:val="260"/>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Agriculture</w:t>
            </w: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946</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72,7</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102,5</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790,5</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121,6</w:t>
            </w:r>
          </w:p>
        </w:tc>
      </w:tr>
      <w:tr w:rsidR="006378A3" w:rsidTr="002E01ED">
        <w:trPr>
          <w:trHeight w:val="323"/>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Forestry and related services</w:t>
            </w:r>
          </w:p>
          <w:p w:rsidR="006378A3" w:rsidRDefault="006378A3" w:rsidP="002E01ED">
            <w:pPr>
              <w:autoSpaceDE w:val="0"/>
              <w:autoSpaceDN w:val="0"/>
              <w:adjustRightInd w:val="0"/>
              <w:jc w:val="both"/>
              <w:rPr>
                <w:rFonts w:cs="Arial"/>
                <w:b/>
                <w:bCs/>
                <w:sz w:val="22"/>
                <w:szCs w:val="22"/>
                <w:lang w:val="en-GB" w:eastAsia="ru-RU"/>
              </w:rPr>
            </w:pP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121</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2,0</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91,4</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33,6</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105,1</w:t>
            </w:r>
          </w:p>
        </w:tc>
      </w:tr>
      <w:tr w:rsidR="006378A3" w:rsidTr="002E01ED">
        <w:trPr>
          <w:trHeight w:val="126"/>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Fishing</w:t>
            </w:r>
          </w:p>
          <w:p w:rsidR="006378A3" w:rsidRDefault="006378A3" w:rsidP="002E01ED">
            <w:pPr>
              <w:autoSpaceDE w:val="0"/>
              <w:autoSpaceDN w:val="0"/>
              <w:adjustRightInd w:val="0"/>
              <w:jc w:val="both"/>
              <w:rPr>
                <w:rFonts w:cs="Arial"/>
                <w:b/>
                <w:bCs/>
                <w:sz w:val="22"/>
                <w:szCs w:val="22"/>
                <w:lang w:val="en-GB" w:eastAsia="ru-RU"/>
              </w:rPr>
            </w:pP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12</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0,1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81,7</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0,5</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eastAsia="TimesNewRomanPSMT" w:cs="Arial"/>
                <w:sz w:val="22"/>
                <w:szCs w:val="22"/>
                <w:lang w:val="en-GB" w:eastAsia="ru-RU"/>
              </w:rPr>
            </w:pPr>
            <w:r>
              <w:rPr>
                <w:rFonts w:eastAsia="TimesNewRomanPSMT" w:cs="Arial"/>
                <w:sz w:val="22"/>
                <w:szCs w:val="22"/>
                <w:lang w:val="en-GB" w:eastAsia="ru-RU"/>
              </w:rPr>
              <w:t>327,4</w:t>
            </w:r>
          </w:p>
        </w:tc>
      </w:tr>
      <w:tr w:rsidR="006378A3" w:rsidTr="002E01ED">
        <w:trPr>
          <w:trHeight w:val="575"/>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Extractive Industry</w:t>
            </w:r>
          </w:p>
          <w:p w:rsidR="006378A3" w:rsidRDefault="006378A3" w:rsidP="002E01ED">
            <w:pPr>
              <w:autoSpaceDE w:val="0"/>
              <w:autoSpaceDN w:val="0"/>
              <w:adjustRightInd w:val="0"/>
              <w:jc w:val="both"/>
              <w:rPr>
                <w:rFonts w:cs="Arial"/>
                <w:b/>
                <w:bCs/>
                <w:sz w:val="22"/>
                <w:szCs w:val="22"/>
                <w:lang w:val="en-GB" w:eastAsia="ru-RU"/>
              </w:rPr>
            </w:pP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511</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856,0</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100,5</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3.784,9</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156,4</w:t>
            </w:r>
          </w:p>
        </w:tc>
      </w:tr>
      <w:tr w:rsidR="006378A3" w:rsidTr="002E01ED">
        <w:trPr>
          <w:trHeight w:val="341"/>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Fossil fuel extraction</w:t>
            </w:r>
          </w:p>
          <w:p w:rsidR="006378A3" w:rsidRDefault="006378A3" w:rsidP="002E01ED">
            <w:pPr>
              <w:autoSpaceDE w:val="0"/>
              <w:autoSpaceDN w:val="0"/>
              <w:adjustRightInd w:val="0"/>
              <w:jc w:val="both"/>
              <w:rPr>
                <w:rFonts w:cs="Arial"/>
                <w:b/>
                <w:bCs/>
                <w:sz w:val="22"/>
                <w:szCs w:val="22"/>
                <w:lang w:val="en-GB" w:eastAsia="ru-RU"/>
              </w:rPr>
            </w:pP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258</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743,2</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100,7</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2.329,7</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110,2</w:t>
            </w:r>
          </w:p>
        </w:tc>
      </w:tr>
      <w:tr w:rsidR="006378A3" w:rsidTr="002E01ED">
        <w:trPr>
          <w:trHeight w:val="260"/>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Minerals</w:t>
            </w: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253</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112,8</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99,4</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1.455,2</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476,0</w:t>
            </w:r>
          </w:p>
        </w:tc>
      </w:tr>
      <w:tr w:rsidR="006378A3" w:rsidTr="002E01ED">
        <w:trPr>
          <w:trHeight w:val="350"/>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Manufacturing industry</w:t>
            </w:r>
          </w:p>
          <w:p w:rsidR="006378A3" w:rsidRDefault="006378A3" w:rsidP="002E01ED">
            <w:pPr>
              <w:autoSpaceDE w:val="0"/>
              <w:autoSpaceDN w:val="0"/>
              <w:adjustRightInd w:val="0"/>
              <w:jc w:val="both"/>
              <w:rPr>
                <w:rFonts w:cs="Arial"/>
                <w:b/>
                <w:bCs/>
                <w:sz w:val="22"/>
                <w:szCs w:val="22"/>
                <w:lang w:val="en-GB" w:eastAsia="ru-RU"/>
              </w:rPr>
            </w:pP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3.337</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1.387,3</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103,0</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89.501,4</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151,3</w:t>
            </w:r>
          </w:p>
        </w:tc>
      </w:tr>
      <w:tr w:rsidR="006378A3" w:rsidTr="002E01ED">
        <w:trPr>
          <w:trHeight w:val="278"/>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Including food production food, drink</w:t>
            </w:r>
          </w:p>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and tobacco products</w:t>
            </w:r>
          </w:p>
          <w:p w:rsidR="006378A3" w:rsidRDefault="006378A3" w:rsidP="002E01ED">
            <w:pPr>
              <w:autoSpaceDE w:val="0"/>
              <w:autoSpaceDN w:val="0"/>
              <w:adjustRightInd w:val="0"/>
              <w:jc w:val="both"/>
              <w:rPr>
                <w:rFonts w:cs="Arial"/>
                <w:b/>
                <w:bCs/>
                <w:sz w:val="22"/>
                <w:szCs w:val="22"/>
                <w:lang w:val="en-GB" w:eastAsia="ru-RU"/>
              </w:rPr>
            </w:pP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1.010</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31,9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97,9</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2.674,3</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eastAsia="TimesNewRomanPSMT" w:cs="Arial"/>
                <w:sz w:val="22"/>
                <w:szCs w:val="22"/>
                <w:lang w:val="en-GB" w:eastAsia="ru-RU"/>
              </w:rPr>
            </w:pPr>
            <w:r>
              <w:rPr>
                <w:rFonts w:eastAsia="TimesNewRomanPSMT" w:cs="Arial"/>
                <w:sz w:val="22"/>
                <w:szCs w:val="22"/>
                <w:lang w:val="en-GB" w:eastAsia="ru-RU"/>
              </w:rPr>
              <w:t>107,2</w:t>
            </w:r>
          </w:p>
          <w:p w:rsidR="006378A3" w:rsidRDefault="006378A3" w:rsidP="002E01ED">
            <w:pPr>
              <w:autoSpaceDE w:val="0"/>
              <w:autoSpaceDN w:val="0"/>
              <w:adjustRightInd w:val="0"/>
              <w:jc w:val="both"/>
              <w:rPr>
                <w:rFonts w:cs="Arial"/>
                <w:b/>
                <w:bCs/>
                <w:sz w:val="22"/>
                <w:szCs w:val="22"/>
                <w:lang w:val="en-GB" w:eastAsia="ru-RU"/>
              </w:rPr>
            </w:pPr>
          </w:p>
        </w:tc>
      </w:tr>
      <w:tr w:rsidR="006378A3" w:rsidTr="002E01ED">
        <w:trPr>
          <w:trHeight w:val="269"/>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lastRenderedPageBreak/>
              <w:t>Coke, refinery products</w:t>
            </w:r>
          </w:p>
          <w:p w:rsidR="006378A3" w:rsidRDefault="006378A3" w:rsidP="002E01ED">
            <w:pPr>
              <w:autoSpaceDE w:val="0"/>
              <w:autoSpaceDN w:val="0"/>
              <w:adjustRightInd w:val="0"/>
              <w:jc w:val="both"/>
              <w:rPr>
                <w:rFonts w:cs="Arial"/>
                <w:b/>
                <w:bCs/>
                <w:sz w:val="22"/>
                <w:szCs w:val="22"/>
                <w:lang w:val="en-GB" w:eastAsia="ru-RU"/>
              </w:rPr>
            </w:pP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42</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93,2</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107,5</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5.749,9</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99,1</w:t>
            </w:r>
          </w:p>
        </w:tc>
      </w:tr>
      <w:tr w:rsidR="006378A3" w:rsidTr="002E01ED">
        <w:trPr>
          <w:trHeight w:val="431"/>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Chemical and petrochemical industries</w:t>
            </w:r>
          </w:p>
          <w:p w:rsidR="006378A3" w:rsidRDefault="006378A3" w:rsidP="002E01ED">
            <w:pPr>
              <w:autoSpaceDE w:val="0"/>
              <w:autoSpaceDN w:val="0"/>
              <w:adjustRightInd w:val="0"/>
              <w:jc w:val="both"/>
              <w:rPr>
                <w:rFonts w:cs="Arial"/>
                <w:b/>
                <w:bCs/>
                <w:sz w:val="22"/>
                <w:szCs w:val="22"/>
                <w:lang w:val="en-GB" w:eastAsia="ru-RU"/>
              </w:rPr>
            </w:pP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160</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67,8</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106,6</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7.190,7</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eastAsia="TimesNewRomanPSMT" w:cs="Arial"/>
                <w:sz w:val="22"/>
                <w:szCs w:val="22"/>
                <w:lang w:val="en-GB" w:eastAsia="ru-RU"/>
              </w:rPr>
            </w:pPr>
            <w:r>
              <w:rPr>
                <w:rFonts w:eastAsia="TimesNewRomanPSMT" w:cs="Arial"/>
                <w:sz w:val="22"/>
                <w:szCs w:val="22"/>
                <w:lang w:val="en-GB" w:eastAsia="ru-RU"/>
              </w:rPr>
              <w:t>124,5</w:t>
            </w:r>
          </w:p>
          <w:p w:rsidR="006378A3" w:rsidRDefault="006378A3" w:rsidP="002E01ED">
            <w:pPr>
              <w:autoSpaceDE w:val="0"/>
              <w:autoSpaceDN w:val="0"/>
              <w:adjustRightInd w:val="0"/>
              <w:jc w:val="both"/>
              <w:rPr>
                <w:rFonts w:cs="Arial"/>
                <w:b/>
                <w:bCs/>
                <w:sz w:val="22"/>
                <w:szCs w:val="22"/>
                <w:lang w:val="en-GB" w:eastAsia="ru-RU"/>
              </w:rPr>
            </w:pPr>
          </w:p>
        </w:tc>
      </w:tr>
      <w:tr w:rsidR="006378A3" w:rsidTr="002E01ED">
        <w:trPr>
          <w:trHeight w:val="494"/>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Production of non-metallic products</w:t>
            </w:r>
          </w:p>
          <w:p w:rsidR="006378A3" w:rsidRDefault="006378A3" w:rsidP="002E01ED">
            <w:pPr>
              <w:autoSpaceDE w:val="0"/>
              <w:autoSpaceDN w:val="0"/>
              <w:adjustRightInd w:val="0"/>
              <w:jc w:val="both"/>
              <w:rPr>
                <w:rFonts w:cs="Arial"/>
                <w:b/>
                <w:bCs/>
                <w:sz w:val="22"/>
                <w:szCs w:val="22"/>
                <w:lang w:val="en-GB" w:eastAsia="ru-RU"/>
              </w:rPr>
            </w:pP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501</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55,3</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106,3</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7.133,9</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eastAsia="TimesNewRomanPSMT" w:cs="Arial"/>
                <w:sz w:val="22"/>
                <w:szCs w:val="22"/>
                <w:lang w:val="en-GB" w:eastAsia="ru-RU"/>
              </w:rPr>
            </w:pPr>
            <w:r>
              <w:rPr>
                <w:rFonts w:eastAsia="TimesNewRomanPSMT" w:cs="Arial"/>
                <w:sz w:val="22"/>
                <w:szCs w:val="22"/>
                <w:lang w:val="en-GB" w:eastAsia="ru-RU"/>
              </w:rPr>
              <w:t>200,5</w:t>
            </w:r>
          </w:p>
          <w:p w:rsidR="006378A3" w:rsidRDefault="006378A3" w:rsidP="002E01ED">
            <w:pPr>
              <w:autoSpaceDE w:val="0"/>
              <w:autoSpaceDN w:val="0"/>
              <w:adjustRightInd w:val="0"/>
              <w:jc w:val="both"/>
              <w:rPr>
                <w:rFonts w:cs="Arial"/>
                <w:b/>
                <w:bCs/>
                <w:sz w:val="22"/>
                <w:szCs w:val="22"/>
                <w:lang w:val="en-GB" w:eastAsia="ru-RU"/>
              </w:rPr>
            </w:pPr>
          </w:p>
        </w:tc>
      </w:tr>
      <w:tr w:rsidR="006378A3" w:rsidTr="002E01ED">
        <w:trPr>
          <w:trHeight w:val="260"/>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Production of metal</w:t>
            </w: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305</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1.102,3</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102,3</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6.4071,3</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162,3</w:t>
            </w:r>
          </w:p>
        </w:tc>
      </w:tr>
      <w:tr w:rsidR="006378A3" w:rsidTr="002E01ED">
        <w:trPr>
          <w:trHeight w:val="260"/>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Factory equipment</w:t>
            </w:r>
          </w:p>
          <w:p w:rsidR="006378A3" w:rsidRDefault="006378A3" w:rsidP="002E01ED">
            <w:pPr>
              <w:autoSpaceDE w:val="0"/>
              <w:autoSpaceDN w:val="0"/>
              <w:adjustRightInd w:val="0"/>
              <w:jc w:val="both"/>
              <w:rPr>
                <w:rFonts w:cs="Arial"/>
                <w:b/>
                <w:bCs/>
                <w:sz w:val="22"/>
                <w:szCs w:val="22"/>
                <w:lang w:val="en-GB" w:eastAsia="ru-RU"/>
              </w:rPr>
            </w:pP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384</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10,3</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110,4</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1.198,9</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241,0</w:t>
            </w:r>
          </w:p>
        </w:tc>
      </w:tr>
      <w:tr w:rsidR="006378A3" w:rsidTr="002E01ED">
        <w:trPr>
          <w:trHeight w:val="440"/>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Production and distribution</w:t>
            </w:r>
          </w:p>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electricity , gas and water</w:t>
            </w:r>
          </w:p>
          <w:p w:rsidR="006378A3" w:rsidRDefault="006378A3" w:rsidP="002E01ED">
            <w:pPr>
              <w:autoSpaceDE w:val="0"/>
              <w:autoSpaceDN w:val="0"/>
              <w:adjustRightInd w:val="0"/>
              <w:jc w:val="both"/>
              <w:rPr>
                <w:rFonts w:cs="Arial"/>
                <w:b/>
                <w:bCs/>
                <w:sz w:val="22"/>
                <w:szCs w:val="22"/>
                <w:lang w:val="en-GB" w:eastAsia="ru-RU"/>
              </w:rPr>
            </w:pP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614</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1.804,5</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112,7</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100.531,2</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105,1</w:t>
            </w:r>
          </w:p>
        </w:tc>
      </w:tr>
      <w:tr w:rsidR="006378A3" w:rsidTr="002E01ED">
        <w:trPr>
          <w:trHeight w:val="323"/>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Industry of transport</w:t>
            </w: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951</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195,4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99,4</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5.710,6</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102,0</w:t>
            </w:r>
          </w:p>
        </w:tc>
      </w:tr>
      <w:tr w:rsidR="006378A3" w:rsidTr="002E01ED">
        <w:trPr>
          <w:trHeight w:val="269"/>
          <w:jc w:val="center"/>
        </w:trPr>
        <w:tc>
          <w:tcPr>
            <w:tcW w:w="247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Other industries</w:t>
            </w:r>
          </w:p>
        </w:tc>
        <w:tc>
          <w:tcPr>
            <w:tcW w:w="1516"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1.656</w:t>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35,3</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98,1</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1.249,5</w:t>
            </w:r>
          </w:p>
        </w:tc>
        <w:tc>
          <w:tcPr>
            <w:tcW w:w="1449" w:type="dxa"/>
            <w:tcBorders>
              <w:top w:val="single" w:sz="4" w:space="0" w:color="auto"/>
              <w:left w:val="single" w:sz="4" w:space="0" w:color="auto"/>
              <w:bottom w:val="single" w:sz="4" w:space="0" w:color="auto"/>
              <w:right w:val="single" w:sz="4" w:space="0" w:color="auto"/>
            </w:tcBorders>
            <w:shd w:val="clear" w:color="auto" w:fill="auto"/>
          </w:tcPr>
          <w:p w:rsidR="006378A3" w:rsidRDefault="006378A3" w:rsidP="002E01ED">
            <w:pPr>
              <w:autoSpaceDE w:val="0"/>
              <w:autoSpaceDN w:val="0"/>
              <w:adjustRightInd w:val="0"/>
              <w:jc w:val="both"/>
              <w:rPr>
                <w:rFonts w:cs="Arial"/>
                <w:b/>
                <w:bCs/>
                <w:sz w:val="22"/>
                <w:szCs w:val="22"/>
                <w:lang w:val="en-GB" w:eastAsia="ru-RU"/>
              </w:rPr>
            </w:pPr>
            <w:r>
              <w:rPr>
                <w:rFonts w:eastAsia="TimesNewRomanPSMT" w:cs="Arial"/>
                <w:sz w:val="22"/>
                <w:szCs w:val="22"/>
                <w:lang w:val="en-GB" w:eastAsia="ru-RU"/>
              </w:rPr>
              <w:t>177,4</w:t>
            </w:r>
          </w:p>
        </w:tc>
      </w:tr>
    </w:tbl>
    <w:p w:rsidR="006378A3" w:rsidRDefault="006378A3" w:rsidP="006378A3">
      <w:pPr>
        <w:jc w:val="both"/>
        <w:rPr>
          <w:rFonts w:cs="Arial"/>
          <w:lang w:val="en-GB"/>
        </w:rPr>
      </w:pPr>
    </w:p>
    <w:p w:rsidR="006378A3" w:rsidRDefault="006378A3" w:rsidP="006378A3">
      <w:pPr>
        <w:spacing w:before="60" w:after="60" w:line="288" w:lineRule="auto"/>
        <w:jc w:val="both"/>
        <w:rPr>
          <w:rFonts w:cs="Arial"/>
          <w:lang w:val="en-GB"/>
        </w:rPr>
      </w:pPr>
      <w:r>
        <w:rPr>
          <w:rFonts w:cs="Arial"/>
          <w:lang w:val="en-GB"/>
        </w:rPr>
        <w:t>According to the State Statistics Service of Ukraine, in 2011, 8699 enterprises emitted pollutants into the atmosphere. Most of these companies are concentrated in the Donetsk region - Nipru, especially in Donetsk regions (11.4 %), Lugansk (6.5 %), Dnipropetrovsk (5%).</w:t>
      </w:r>
    </w:p>
    <w:p w:rsidR="006378A3" w:rsidRDefault="006378A3" w:rsidP="006378A3">
      <w:pPr>
        <w:autoSpaceDE w:val="0"/>
        <w:autoSpaceDN w:val="0"/>
        <w:adjustRightInd w:val="0"/>
        <w:spacing w:before="60" w:after="60" w:line="288" w:lineRule="auto"/>
        <w:jc w:val="both"/>
        <w:rPr>
          <w:rFonts w:eastAsia="Calibri" w:cs="Arial"/>
          <w:b/>
          <w:lang w:val="en-GB"/>
        </w:rPr>
      </w:pPr>
    </w:p>
    <w:p w:rsidR="006378A3" w:rsidRDefault="006378A3" w:rsidP="006378A3">
      <w:pPr>
        <w:numPr>
          <w:ilvl w:val="0"/>
          <w:numId w:val="22"/>
        </w:numPr>
        <w:spacing w:before="60" w:after="60" w:line="288" w:lineRule="auto"/>
        <w:jc w:val="both"/>
        <w:rPr>
          <w:rFonts w:cs="Arial"/>
          <w:b/>
          <w:lang w:val="en-GB"/>
        </w:rPr>
      </w:pPr>
      <w:r>
        <w:rPr>
          <w:rFonts w:cs="Arial"/>
          <w:b/>
          <w:lang w:val="en-GB"/>
        </w:rPr>
        <w:t>WATER</w:t>
      </w:r>
    </w:p>
    <w:p w:rsidR="006378A3" w:rsidRDefault="006378A3" w:rsidP="006378A3">
      <w:pPr>
        <w:spacing w:before="60" w:after="60" w:line="288" w:lineRule="auto"/>
        <w:jc w:val="both"/>
        <w:rPr>
          <w:rFonts w:cs="Arial"/>
          <w:b/>
          <w:lang w:val="en-GB"/>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ab/>
        <w:t>Currently the annual demand of water resources for the population and industry is about 15 billion. Most water is extracted from the Nipru River about 8.7 km</w:t>
      </w:r>
      <w:r>
        <w:rPr>
          <w:rFonts w:cs="Arial"/>
          <w:vertAlign w:val="superscript"/>
          <w:lang w:val="en-GB" w:eastAsia="en-US"/>
        </w:rPr>
        <w:t>3</w:t>
      </w:r>
      <w:r>
        <w:rPr>
          <w:rFonts w:cs="Arial"/>
          <w:lang w:val="en-GB" w:eastAsia="en-US"/>
        </w:rPr>
        <w:t>, from Seversky Donets about 1.5 km</w:t>
      </w:r>
      <w:r>
        <w:rPr>
          <w:rFonts w:cs="Arial"/>
          <w:vertAlign w:val="superscript"/>
          <w:lang w:val="en-GB" w:eastAsia="en-US"/>
        </w:rPr>
        <w:t>3</w:t>
      </w:r>
      <w:r>
        <w:rPr>
          <w:rFonts w:cs="Arial"/>
          <w:lang w:val="en-GB" w:eastAsia="en-US"/>
        </w:rPr>
        <w:t>, the Southern Bug about 0.4 km</w:t>
      </w:r>
      <w:r>
        <w:rPr>
          <w:rFonts w:cs="Arial"/>
          <w:vertAlign w:val="superscript"/>
          <w:lang w:val="en-GB" w:eastAsia="en-US"/>
        </w:rPr>
        <w:t>3</w:t>
      </w:r>
      <w:r>
        <w:rPr>
          <w:rFonts w:cs="Arial"/>
          <w:lang w:val="en-GB" w:eastAsia="en-US"/>
        </w:rPr>
        <w:t xml:space="preserve"> and 0.6 km</w:t>
      </w:r>
      <w:r>
        <w:rPr>
          <w:rFonts w:cs="Arial"/>
          <w:vertAlign w:val="superscript"/>
          <w:lang w:val="en-GB" w:eastAsia="en-US"/>
        </w:rPr>
        <w:t>3</w:t>
      </w:r>
      <w:r>
        <w:rPr>
          <w:rFonts w:cs="Arial"/>
          <w:lang w:val="en-GB" w:eastAsia="en-US"/>
        </w:rPr>
        <w:t xml:space="preserve"> from Nistru. In 2011 almost all regions of Ukraine recorded an increased intake of water consumption. The major users of water areas are: Dnipropetrovsk, Donetsk, Zaporizhzhya, Kiev, Kherson and Autonomous Republic of Crimea.</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ab/>
        <w:t>In 2011 large consumers of water were industrial enterprises, which raises the consumption to 5.6 billion m</w:t>
      </w:r>
      <w:r>
        <w:rPr>
          <w:rFonts w:cs="Arial"/>
          <w:vertAlign w:val="superscript"/>
          <w:lang w:val="en-GB" w:eastAsia="en-US"/>
        </w:rPr>
        <w:t>3</w:t>
      </w:r>
      <w:r>
        <w:rPr>
          <w:rFonts w:cs="Arial"/>
          <w:lang w:val="en-GB" w:eastAsia="en-US"/>
        </w:rPr>
        <w:t xml:space="preserve"> representing 38 % of total intake in the country (including power plants, nuclear power plants, combined steel and mining), agriculture 40%, and utility 21%.</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ab/>
        <w:t>Losses during transport amounted to 2.3 billion m</w:t>
      </w:r>
      <w:r>
        <w:rPr>
          <w:rFonts w:cs="Arial"/>
          <w:vertAlign w:val="superscript"/>
          <w:lang w:val="en-GB" w:eastAsia="en-US"/>
        </w:rPr>
        <w:t>3</w:t>
      </w:r>
      <w:r>
        <w:rPr>
          <w:rFonts w:cs="Arial"/>
          <w:lang w:val="en-GB" w:eastAsia="en-US"/>
        </w:rPr>
        <w:t xml:space="preserve"> (15 % of consumption).</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ab/>
        <w:t>Distribution of water sources (million m</w:t>
      </w:r>
      <w:r>
        <w:rPr>
          <w:rFonts w:cs="Arial"/>
          <w:vertAlign w:val="superscript"/>
          <w:lang w:val="en-GB" w:eastAsia="en-US"/>
        </w:rPr>
        <w:t>3</w:t>
      </w:r>
      <w:r>
        <w:rPr>
          <w:rFonts w:cs="Arial"/>
          <w:lang w:val="en-GB" w:eastAsia="en-US"/>
        </w:rPr>
        <w:t>) of the territory of Ukraine is shown in Table 4.6.4.</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lang w:val="en-GB" w:eastAsia="en-US"/>
        </w:rPr>
      </w:pPr>
    </w:p>
    <w:p w:rsidR="006378A3" w:rsidRDefault="006378A3" w:rsidP="006378A3">
      <w:pPr>
        <w:autoSpaceDE w:val="0"/>
        <w:autoSpaceDN w:val="0"/>
        <w:adjustRightInd w:val="0"/>
        <w:spacing w:before="60" w:after="60" w:line="288" w:lineRule="auto"/>
        <w:jc w:val="center"/>
        <w:rPr>
          <w:rFonts w:eastAsia="Calibri" w:cs="Arial"/>
          <w:b/>
          <w:bCs/>
          <w:i/>
          <w:sz w:val="22"/>
          <w:szCs w:val="22"/>
          <w:lang w:val="en-GB"/>
        </w:rPr>
      </w:pPr>
      <w:r>
        <w:rPr>
          <w:rFonts w:eastAsia="Calibri" w:cs="Arial"/>
          <w:b/>
          <w:bCs/>
          <w:i/>
          <w:sz w:val="22"/>
          <w:szCs w:val="22"/>
          <w:lang w:val="en-GB"/>
        </w:rPr>
        <w:t xml:space="preserve">Table 4.6.4 </w:t>
      </w:r>
      <w:r>
        <w:rPr>
          <w:rFonts w:eastAsia="Calibri" w:cs="Arial"/>
          <w:bCs/>
          <w:sz w:val="22"/>
          <w:szCs w:val="22"/>
          <w:lang w:val="en-GB"/>
        </w:rPr>
        <w:t>Water distribution</w:t>
      </w:r>
    </w:p>
    <w:tbl>
      <w:tblPr>
        <w:tblW w:w="45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2"/>
        <w:gridCol w:w="893"/>
        <w:gridCol w:w="894"/>
        <w:gridCol w:w="894"/>
        <w:gridCol w:w="894"/>
        <w:gridCol w:w="894"/>
        <w:gridCol w:w="894"/>
        <w:gridCol w:w="894"/>
        <w:gridCol w:w="889"/>
      </w:tblGrid>
      <w:tr w:rsidR="006378A3" w:rsidTr="002E01ED">
        <w:trPr>
          <w:trHeight w:hRule="exact" w:val="469"/>
          <w:jc w:val="center"/>
        </w:trPr>
        <w:tc>
          <w:tcPr>
            <w:tcW w:w="1219" w:type="pct"/>
            <w:shd w:val="clear" w:color="auto" w:fill="auto"/>
          </w:tcPr>
          <w:p w:rsidR="006378A3" w:rsidRDefault="006378A3" w:rsidP="002E01ED">
            <w:pPr>
              <w:ind w:right="13"/>
              <w:jc w:val="both"/>
              <w:rPr>
                <w:rFonts w:cs="Arial"/>
                <w:b/>
                <w:sz w:val="22"/>
                <w:szCs w:val="22"/>
                <w:lang w:val="en-GB"/>
              </w:rPr>
            </w:pPr>
            <w:r>
              <w:rPr>
                <w:rFonts w:cs="Arial"/>
                <w:b/>
                <w:sz w:val="22"/>
                <w:szCs w:val="22"/>
                <w:lang w:val="en-GB"/>
              </w:rPr>
              <w:t>Unit</w:t>
            </w:r>
          </w:p>
        </w:tc>
        <w:tc>
          <w:tcPr>
            <w:tcW w:w="473" w:type="pct"/>
          </w:tcPr>
          <w:p w:rsidR="006378A3" w:rsidRDefault="006378A3" w:rsidP="002E01ED">
            <w:pPr>
              <w:jc w:val="both"/>
              <w:rPr>
                <w:rFonts w:cs="Arial"/>
                <w:b/>
                <w:sz w:val="22"/>
                <w:szCs w:val="22"/>
                <w:lang w:val="en-GB"/>
              </w:rPr>
            </w:pPr>
            <w:r>
              <w:rPr>
                <w:rFonts w:cs="Arial"/>
                <w:b/>
                <w:sz w:val="22"/>
                <w:szCs w:val="22"/>
                <w:lang w:val="en-GB"/>
              </w:rPr>
              <w:t>2000</w:t>
            </w:r>
          </w:p>
        </w:tc>
        <w:tc>
          <w:tcPr>
            <w:tcW w:w="473" w:type="pct"/>
          </w:tcPr>
          <w:p w:rsidR="006378A3" w:rsidRDefault="006378A3" w:rsidP="002E01ED">
            <w:pPr>
              <w:jc w:val="both"/>
              <w:rPr>
                <w:rFonts w:cs="Arial"/>
                <w:b/>
                <w:sz w:val="22"/>
                <w:szCs w:val="22"/>
                <w:lang w:val="en-GB"/>
              </w:rPr>
            </w:pPr>
            <w:r>
              <w:rPr>
                <w:rFonts w:cs="Arial"/>
                <w:b/>
                <w:sz w:val="22"/>
                <w:szCs w:val="22"/>
                <w:lang w:val="en-GB"/>
              </w:rPr>
              <w:t>2005</w:t>
            </w:r>
          </w:p>
        </w:tc>
        <w:tc>
          <w:tcPr>
            <w:tcW w:w="473" w:type="pct"/>
          </w:tcPr>
          <w:p w:rsidR="006378A3" w:rsidRDefault="006378A3" w:rsidP="002E01ED">
            <w:pPr>
              <w:jc w:val="both"/>
              <w:rPr>
                <w:rFonts w:cs="Arial"/>
                <w:b/>
                <w:sz w:val="22"/>
                <w:szCs w:val="22"/>
                <w:lang w:val="en-GB"/>
              </w:rPr>
            </w:pPr>
            <w:r>
              <w:rPr>
                <w:rFonts w:cs="Arial"/>
                <w:b/>
                <w:sz w:val="22"/>
                <w:szCs w:val="22"/>
                <w:lang w:val="en-GB"/>
              </w:rPr>
              <w:t>2006</w:t>
            </w:r>
          </w:p>
        </w:tc>
        <w:tc>
          <w:tcPr>
            <w:tcW w:w="473" w:type="pct"/>
          </w:tcPr>
          <w:p w:rsidR="006378A3" w:rsidRDefault="006378A3" w:rsidP="002E01ED">
            <w:pPr>
              <w:jc w:val="both"/>
              <w:rPr>
                <w:rFonts w:cs="Arial"/>
                <w:b/>
                <w:sz w:val="22"/>
                <w:szCs w:val="22"/>
                <w:lang w:val="en-GB"/>
              </w:rPr>
            </w:pPr>
            <w:r>
              <w:rPr>
                <w:rFonts w:cs="Arial"/>
                <w:b/>
                <w:sz w:val="22"/>
                <w:szCs w:val="22"/>
                <w:lang w:val="en-GB"/>
              </w:rPr>
              <w:t>2007</w:t>
            </w:r>
          </w:p>
        </w:tc>
        <w:tc>
          <w:tcPr>
            <w:tcW w:w="473" w:type="pct"/>
          </w:tcPr>
          <w:p w:rsidR="006378A3" w:rsidRDefault="006378A3" w:rsidP="002E01ED">
            <w:pPr>
              <w:jc w:val="both"/>
              <w:rPr>
                <w:rFonts w:cs="Arial"/>
                <w:b/>
                <w:sz w:val="22"/>
                <w:szCs w:val="22"/>
                <w:lang w:val="en-GB"/>
              </w:rPr>
            </w:pPr>
            <w:r>
              <w:rPr>
                <w:rFonts w:cs="Arial"/>
                <w:b/>
                <w:sz w:val="22"/>
                <w:szCs w:val="22"/>
                <w:lang w:val="en-GB"/>
              </w:rPr>
              <w:t>2008</w:t>
            </w:r>
          </w:p>
        </w:tc>
        <w:tc>
          <w:tcPr>
            <w:tcW w:w="473" w:type="pct"/>
          </w:tcPr>
          <w:p w:rsidR="006378A3" w:rsidRDefault="006378A3" w:rsidP="002E01ED">
            <w:pPr>
              <w:jc w:val="both"/>
              <w:rPr>
                <w:rFonts w:cs="Arial"/>
                <w:b/>
                <w:sz w:val="22"/>
                <w:szCs w:val="22"/>
                <w:lang w:val="en-GB"/>
              </w:rPr>
            </w:pPr>
            <w:r>
              <w:rPr>
                <w:rFonts w:cs="Arial"/>
                <w:b/>
                <w:sz w:val="22"/>
                <w:szCs w:val="22"/>
                <w:lang w:val="en-GB"/>
              </w:rPr>
              <w:t>2009</w:t>
            </w:r>
          </w:p>
        </w:tc>
        <w:tc>
          <w:tcPr>
            <w:tcW w:w="473" w:type="pct"/>
          </w:tcPr>
          <w:p w:rsidR="006378A3" w:rsidRDefault="006378A3" w:rsidP="002E01ED">
            <w:pPr>
              <w:jc w:val="both"/>
              <w:rPr>
                <w:rFonts w:cs="Arial"/>
                <w:b/>
                <w:sz w:val="22"/>
                <w:szCs w:val="22"/>
                <w:lang w:val="en-GB"/>
              </w:rPr>
            </w:pPr>
            <w:r>
              <w:rPr>
                <w:rFonts w:cs="Arial"/>
                <w:b/>
                <w:sz w:val="22"/>
                <w:szCs w:val="22"/>
                <w:lang w:val="en-GB"/>
              </w:rPr>
              <w:t>2010</w:t>
            </w:r>
          </w:p>
        </w:tc>
        <w:tc>
          <w:tcPr>
            <w:tcW w:w="473" w:type="pct"/>
          </w:tcPr>
          <w:p w:rsidR="006378A3" w:rsidRDefault="006378A3" w:rsidP="002E01ED">
            <w:pPr>
              <w:jc w:val="both"/>
              <w:rPr>
                <w:rFonts w:cs="Arial"/>
                <w:b/>
                <w:sz w:val="22"/>
                <w:szCs w:val="22"/>
                <w:lang w:val="en-GB"/>
              </w:rPr>
            </w:pPr>
            <w:r>
              <w:rPr>
                <w:rFonts w:cs="Arial"/>
                <w:b/>
                <w:sz w:val="22"/>
                <w:szCs w:val="22"/>
                <w:lang w:val="en-GB"/>
              </w:rPr>
              <w:t>2011</w:t>
            </w:r>
          </w:p>
        </w:tc>
      </w:tr>
      <w:tr w:rsidR="006378A3" w:rsidTr="002E01ED">
        <w:trPr>
          <w:trHeight w:hRule="exact" w:val="748"/>
          <w:jc w:val="center"/>
        </w:trPr>
        <w:tc>
          <w:tcPr>
            <w:tcW w:w="1219" w:type="pct"/>
          </w:tcPr>
          <w:p w:rsidR="006378A3" w:rsidRDefault="006378A3" w:rsidP="002E01ED">
            <w:pPr>
              <w:ind w:right="13"/>
              <w:jc w:val="both"/>
              <w:rPr>
                <w:rFonts w:cs="Arial"/>
                <w:b/>
                <w:sz w:val="22"/>
                <w:szCs w:val="22"/>
                <w:lang w:val="en-GB"/>
              </w:rPr>
            </w:pPr>
            <w:r>
              <w:rPr>
                <w:rFonts w:cs="Arial"/>
                <w:b/>
                <w:sz w:val="22"/>
                <w:szCs w:val="22"/>
                <w:lang w:val="en-GB"/>
              </w:rPr>
              <w:t>Amount of sewage</w:t>
            </w:r>
          </w:p>
          <w:p w:rsidR="006378A3" w:rsidRDefault="006378A3" w:rsidP="002E01ED">
            <w:pPr>
              <w:ind w:right="13"/>
              <w:jc w:val="both"/>
              <w:rPr>
                <w:rFonts w:cs="Arial"/>
                <w:b/>
                <w:sz w:val="22"/>
                <w:szCs w:val="22"/>
                <w:lang w:val="en-GB"/>
              </w:rPr>
            </w:pPr>
          </w:p>
        </w:tc>
        <w:tc>
          <w:tcPr>
            <w:tcW w:w="473" w:type="pct"/>
          </w:tcPr>
          <w:p w:rsidR="006378A3" w:rsidRDefault="006378A3" w:rsidP="002E01ED">
            <w:pPr>
              <w:jc w:val="both"/>
              <w:rPr>
                <w:rFonts w:cs="Arial"/>
                <w:sz w:val="22"/>
                <w:szCs w:val="22"/>
                <w:lang w:val="en-GB"/>
              </w:rPr>
            </w:pPr>
            <w:r>
              <w:rPr>
                <w:rFonts w:cs="Arial"/>
                <w:sz w:val="22"/>
                <w:szCs w:val="22"/>
                <w:lang w:val="en-GB"/>
              </w:rPr>
              <w:t>18.282</w:t>
            </w:r>
          </w:p>
        </w:tc>
        <w:tc>
          <w:tcPr>
            <w:tcW w:w="473" w:type="pct"/>
          </w:tcPr>
          <w:p w:rsidR="006378A3" w:rsidRDefault="006378A3" w:rsidP="002E01ED">
            <w:pPr>
              <w:jc w:val="both"/>
              <w:rPr>
                <w:rFonts w:cs="Arial"/>
                <w:sz w:val="22"/>
                <w:szCs w:val="22"/>
                <w:lang w:val="en-GB"/>
              </w:rPr>
            </w:pPr>
            <w:r>
              <w:rPr>
                <w:rFonts w:cs="Arial"/>
                <w:sz w:val="22"/>
                <w:szCs w:val="22"/>
                <w:lang w:val="en-GB"/>
              </w:rPr>
              <w:t>15.083</w:t>
            </w:r>
          </w:p>
        </w:tc>
        <w:tc>
          <w:tcPr>
            <w:tcW w:w="473" w:type="pct"/>
          </w:tcPr>
          <w:p w:rsidR="006378A3" w:rsidRDefault="006378A3" w:rsidP="002E01ED">
            <w:pPr>
              <w:jc w:val="both"/>
              <w:rPr>
                <w:rFonts w:cs="Arial"/>
                <w:sz w:val="22"/>
                <w:szCs w:val="22"/>
                <w:lang w:val="en-GB"/>
              </w:rPr>
            </w:pPr>
            <w:r>
              <w:rPr>
                <w:rFonts w:cs="Arial"/>
                <w:sz w:val="22"/>
                <w:szCs w:val="22"/>
                <w:lang w:val="en-GB"/>
              </w:rPr>
              <w:t>15.327</w:t>
            </w:r>
          </w:p>
        </w:tc>
        <w:tc>
          <w:tcPr>
            <w:tcW w:w="473" w:type="pct"/>
          </w:tcPr>
          <w:p w:rsidR="006378A3" w:rsidRDefault="006378A3" w:rsidP="002E01ED">
            <w:pPr>
              <w:jc w:val="both"/>
              <w:rPr>
                <w:rFonts w:cs="Arial"/>
                <w:sz w:val="22"/>
                <w:szCs w:val="22"/>
                <w:lang w:val="en-GB"/>
              </w:rPr>
            </w:pPr>
            <w:r>
              <w:rPr>
                <w:rFonts w:cs="Arial"/>
                <w:sz w:val="22"/>
                <w:szCs w:val="22"/>
                <w:lang w:val="en-GB"/>
              </w:rPr>
              <w:t>16.352</w:t>
            </w:r>
          </w:p>
        </w:tc>
        <w:tc>
          <w:tcPr>
            <w:tcW w:w="473" w:type="pct"/>
          </w:tcPr>
          <w:p w:rsidR="006378A3" w:rsidRDefault="006378A3" w:rsidP="002E01ED">
            <w:pPr>
              <w:jc w:val="both"/>
              <w:rPr>
                <w:rFonts w:cs="Arial"/>
                <w:sz w:val="22"/>
                <w:szCs w:val="22"/>
                <w:lang w:val="en-GB"/>
              </w:rPr>
            </w:pPr>
            <w:r>
              <w:rPr>
                <w:rFonts w:cs="Arial"/>
                <w:sz w:val="22"/>
                <w:szCs w:val="22"/>
                <w:lang w:val="en-GB"/>
              </w:rPr>
              <w:t>15.729</w:t>
            </w:r>
          </w:p>
        </w:tc>
        <w:tc>
          <w:tcPr>
            <w:tcW w:w="473" w:type="pct"/>
          </w:tcPr>
          <w:p w:rsidR="006378A3" w:rsidRDefault="006378A3" w:rsidP="002E01ED">
            <w:pPr>
              <w:jc w:val="both"/>
              <w:rPr>
                <w:rFonts w:cs="Arial"/>
                <w:sz w:val="22"/>
                <w:szCs w:val="22"/>
                <w:lang w:val="en-GB"/>
              </w:rPr>
            </w:pPr>
            <w:r>
              <w:rPr>
                <w:rFonts w:cs="Arial"/>
                <w:sz w:val="22"/>
                <w:szCs w:val="22"/>
                <w:lang w:val="en-GB"/>
              </w:rPr>
              <w:t>14.478</w:t>
            </w:r>
          </w:p>
        </w:tc>
        <w:tc>
          <w:tcPr>
            <w:tcW w:w="473" w:type="pct"/>
          </w:tcPr>
          <w:p w:rsidR="006378A3" w:rsidRDefault="006378A3" w:rsidP="002E01ED">
            <w:pPr>
              <w:jc w:val="both"/>
              <w:rPr>
                <w:rFonts w:cs="Arial"/>
                <w:sz w:val="22"/>
                <w:szCs w:val="22"/>
                <w:lang w:val="en-GB"/>
              </w:rPr>
            </w:pPr>
            <w:r>
              <w:rPr>
                <w:rFonts w:cs="Arial"/>
                <w:sz w:val="22"/>
                <w:szCs w:val="22"/>
                <w:lang w:val="en-GB"/>
              </w:rPr>
              <w:t>14.846</w:t>
            </w:r>
          </w:p>
        </w:tc>
        <w:tc>
          <w:tcPr>
            <w:tcW w:w="473" w:type="pct"/>
          </w:tcPr>
          <w:p w:rsidR="006378A3" w:rsidRDefault="006378A3" w:rsidP="002E01ED">
            <w:pPr>
              <w:jc w:val="both"/>
              <w:rPr>
                <w:rFonts w:cs="Arial"/>
                <w:sz w:val="22"/>
                <w:szCs w:val="22"/>
                <w:lang w:val="en-GB"/>
              </w:rPr>
            </w:pPr>
            <w:r>
              <w:rPr>
                <w:rFonts w:cs="Arial"/>
                <w:bCs/>
                <w:sz w:val="22"/>
                <w:szCs w:val="22"/>
                <w:lang w:val="en-GB"/>
              </w:rPr>
              <w:t>14.651</w:t>
            </w:r>
          </w:p>
        </w:tc>
      </w:tr>
      <w:tr w:rsidR="006378A3" w:rsidTr="002E01ED">
        <w:trPr>
          <w:trHeight w:hRule="exact" w:val="838"/>
          <w:jc w:val="center"/>
        </w:trPr>
        <w:tc>
          <w:tcPr>
            <w:tcW w:w="1219" w:type="pct"/>
          </w:tcPr>
          <w:p w:rsidR="006378A3" w:rsidRDefault="006378A3" w:rsidP="002E01ED">
            <w:pPr>
              <w:ind w:right="13"/>
              <w:jc w:val="both"/>
              <w:rPr>
                <w:rFonts w:cs="Arial"/>
                <w:b/>
                <w:sz w:val="22"/>
                <w:szCs w:val="22"/>
                <w:lang w:val="en-GB"/>
              </w:rPr>
            </w:pPr>
            <w:r>
              <w:rPr>
                <w:rFonts w:cs="Arial"/>
                <w:b/>
                <w:sz w:val="22"/>
                <w:szCs w:val="22"/>
                <w:lang w:val="en-GB"/>
              </w:rPr>
              <w:t>Groundwater quantities</w:t>
            </w:r>
          </w:p>
        </w:tc>
        <w:tc>
          <w:tcPr>
            <w:tcW w:w="473" w:type="pct"/>
          </w:tcPr>
          <w:p w:rsidR="006378A3" w:rsidRDefault="006378A3" w:rsidP="002E01ED">
            <w:pPr>
              <w:ind w:right="-167"/>
              <w:jc w:val="both"/>
              <w:rPr>
                <w:rFonts w:cs="Arial"/>
                <w:sz w:val="22"/>
                <w:szCs w:val="22"/>
                <w:lang w:val="en-GB"/>
              </w:rPr>
            </w:pPr>
            <w:r>
              <w:rPr>
                <w:rFonts w:cs="Arial"/>
                <w:sz w:val="22"/>
                <w:szCs w:val="22"/>
                <w:lang w:val="en-GB"/>
              </w:rPr>
              <w:t>2.987</w:t>
            </w:r>
          </w:p>
        </w:tc>
        <w:tc>
          <w:tcPr>
            <w:tcW w:w="473" w:type="pct"/>
          </w:tcPr>
          <w:p w:rsidR="006378A3" w:rsidRDefault="006378A3" w:rsidP="002E01ED">
            <w:pPr>
              <w:jc w:val="both"/>
              <w:rPr>
                <w:rFonts w:cs="Arial"/>
                <w:sz w:val="22"/>
                <w:szCs w:val="22"/>
                <w:lang w:val="en-GB"/>
              </w:rPr>
            </w:pPr>
            <w:r>
              <w:rPr>
                <w:rFonts w:cs="Arial"/>
                <w:sz w:val="22"/>
                <w:szCs w:val="22"/>
                <w:lang w:val="en-GB"/>
              </w:rPr>
              <w:t>2.449</w:t>
            </w:r>
          </w:p>
        </w:tc>
        <w:tc>
          <w:tcPr>
            <w:tcW w:w="473" w:type="pct"/>
          </w:tcPr>
          <w:p w:rsidR="006378A3" w:rsidRDefault="006378A3" w:rsidP="002E01ED">
            <w:pPr>
              <w:jc w:val="both"/>
              <w:rPr>
                <w:rFonts w:cs="Arial"/>
                <w:sz w:val="22"/>
                <w:szCs w:val="22"/>
                <w:lang w:val="en-GB"/>
              </w:rPr>
            </w:pPr>
            <w:r>
              <w:rPr>
                <w:rFonts w:cs="Arial"/>
                <w:sz w:val="22"/>
                <w:szCs w:val="22"/>
                <w:lang w:val="en-GB"/>
              </w:rPr>
              <w:t>2.408</w:t>
            </w:r>
          </w:p>
        </w:tc>
        <w:tc>
          <w:tcPr>
            <w:tcW w:w="473" w:type="pct"/>
          </w:tcPr>
          <w:p w:rsidR="006378A3" w:rsidRDefault="006378A3" w:rsidP="002E01ED">
            <w:pPr>
              <w:jc w:val="both"/>
              <w:rPr>
                <w:rFonts w:cs="Arial"/>
                <w:sz w:val="22"/>
                <w:szCs w:val="22"/>
                <w:lang w:val="en-GB"/>
              </w:rPr>
            </w:pPr>
            <w:r>
              <w:rPr>
                <w:rFonts w:cs="Arial"/>
                <w:sz w:val="22"/>
                <w:szCs w:val="22"/>
                <w:lang w:val="en-GB"/>
              </w:rPr>
              <w:t>2.315</w:t>
            </w:r>
          </w:p>
        </w:tc>
        <w:tc>
          <w:tcPr>
            <w:tcW w:w="473" w:type="pct"/>
          </w:tcPr>
          <w:p w:rsidR="006378A3" w:rsidRDefault="006378A3" w:rsidP="002E01ED">
            <w:pPr>
              <w:jc w:val="both"/>
              <w:rPr>
                <w:rFonts w:cs="Arial"/>
                <w:sz w:val="22"/>
                <w:szCs w:val="22"/>
                <w:lang w:val="en-GB"/>
              </w:rPr>
            </w:pPr>
            <w:r>
              <w:rPr>
                <w:rFonts w:cs="Arial"/>
                <w:sz w:val="22"/>
                <w:szCs w:val="22"/>
                <w:lang w:val="en-GB"/>
              </w:rPr>
              <w:t>2.175</w:t>
            </w:r>
          </w:p>
        </w:tc>
        <w:tc>
          <w:tcPr>
            <w:tcW w:w="473" w:type="pct"/>
          </w:tcPr>
          <w:p w:rsidR="006378A3" w:rsidRDefault="006378A3" w:rsidP="002E01ED">
            <w:pPr>
              <w:jc w:val="both"/>
              <w:rPr>
                <w:rFonts w:cs="Arial"/>
                <w:sz w:val="22"/>
                <w:szCs w:val="22"/>
                <w:lang w:val="en-GB"/>
              </w:rPr>
            </w:pPr>
            <w:r>
              <w:rPr>
                <w:rFonts w:cs="Arial"/>
                <w:sz w:val="22"/>
                <w:szCs w:val="22"/>
                <w:lang w:val="en-GB"/>
              </w:rPr>
              <w:t>2.007</w:t>
            </w:r>
          </w:p>
        </w:tc>
        <w:tc>
          <w:tcPr>
            <w:tcW w:w="473" w:type="pct"/>
          </w:tcPr>
          <w:p w:rsidR="006378A3" w:rsidRDefault="006378A3" w:rsidP="002E01ED">
            <w:pPr>
              <w:jc w:val="both"/>
              <w:rPr>
                <w:rFonts w:cs="Arial"/>
                <w:sz w:val="22"/>
                <w:szCs w:val="22"/>
                <w:lang w:val="en-GB"/>
              </w:rPr>
            </w:pPr>
            <w:r>
              <w:rPr>
                <w:rFonts w:cs="Arial"/>
                <w:sz w:val="22"/>
                <w:szCs w:val="22"/>
                <w:lang w:val="en-GB"/>
              </w:rPr>
              <w:t>2.023</w:t>
            </w:r>
          </w:p>
        </w:tc>
        <w:tc>
          <w:tcPr>
            <w:tcW w:w="473" w:type="pct"/>
          </w:tcPr>
          <w:p w:rsidR="006378A3" w:rsidRDefault="006378A3" w:rsidP="002E01ED">
            <w:pPr>
              <w:jc w:val="both"/>
              <w:rPr>
                <w:rFonts w:cs="Arial"/>
                <w:bCs/>
                <w:sz w:val="22"/>
                <w:szCs w:val="22"/>
                <w:lang w:val="en-GB"/>
              </w:rPr>
            </w:pPr>
            <w:r>
              <w:rPr>
                <w:rFonts w:cs="Arial"/>
                <w:sz w:val="22"/>
                <w:szCs w:val="22"/>
                <w:lang w:val="en-GB"/>
              </w:rPr>
              <w:t>1.961</w:t>
            </w:r>
          </w:p>
        </w:tc>
      </w:tr>
      <w:tr w:rsidR="006378A3" w:rsidTr="002E01ED">
        <w:trPr>
          <w:trHeight w:hRule="exact" w:val="712"/>
          <w:jc w:val="center"/>
        </w:trPr>
        <w:tc>
          <w:tcPr>
            <w:tcW w:w="1219" w:type="pct"/>
          </w:tcPr>
          <w:p w:rsidR="006378A3" w:rsidRDefault="006378A3" w:rsidP="002E01ED">
            <w:pPr>
              <w:ind w:right="13"/>
              <w:jc w:val="both"/>
              <w:rPr>
                <w:rFonts w:cs="Arial"/>
                <w:b/>
                <w:sz w:val="22"/>
                <w:szCs w:val="22"/>
                <w:lang w:val="en-GB"/>
              </w:rPr>
            </w:pPr>
            <w:r>
              <w:rPr>
                <w:rFonts w:cs="Arial"/>
                <w:b/>
                <w:sz w:val="22"/>
                <w:szCs w:val="22"/>
                <w:lang w:val="en-GB"/>
              </w:rPr>
              <w:lastRenderedPageBreak/>
              <w:t>Process water</w:t>
            </w:r>
          </w:p>
        </w:tc>
        <w:tc>
          <w:tcPr>
            <w:tcW w:w="473" w:type="pct"/>
          </w:tcPr>
          <w:p w:rsidR="006378A3" w:rsidRDefault="006378A3" w:rsidP="002E01ED">
            <w:pPr>
              <w:jc w:val="both"/>
              <w:rPr>
                <w:rFonts w:cs="Arial"/>
                <w:sz w:val="22"/>
                <w:szCs w:val="22"/>
                <w:lang w:val="en-GB"/>
              </w:rPr>
            </w:pPr>
            <w:r>
              <w:rPr>
                <w:rFonts w:cs="Arial"/>
                <w:sz w:val="22"/>
                <w:szCs w:val="22"/>
                <w:lang w:val="en-GB"/>
              </w:rPr>
              <w:t>6.957</w:t>
            </w:r>
          </w:p>
        </w:tc>
        <w:tc>
          <w:tcPr>
            <w:tcW w:w="473" w:type="pct"/>
          </w:tcPr>
          <w:p w:rsidR="006378A3" w:rsidRDefault="006378A3" w:rsidP="002E01ED">
            <w:pPr>
              <w:jc w:val="both"/>
              <w:rPr>
                <w:rFonts w:cs="Arial"/>
                <w:sz w:val="22"/>
                <w:szCs w:val="22"/>
                <w:lang w:val="en-GB"/>
              </w:rPr>
            </w:pPr>
            <w:r>
              <w:rPr>
                <w:rFonts w:cs="Arial"/>
                <w:sz w:val="22"/>
                <w:szCs w:val="22"/>
                <w:lang w:val="en-GB"/>
              </w:rPr>
              <w:t>5.706</w:t>
            </w:r>
          </w:p>
        </w:tc>
        <w:tc>
          <w:tcPr>
            <w:tcW w:w="473" w:type="pct"/>
          </w:tcPr>
          <w:p w:rsidR="006378A3" w:rsidRDefault="006378A3" w:rsidP="002E01ED">
            <w:pPr>
              <w:jc w:val="both"/>
              <w:rPr>
                <w:rFonts w:cs="Arial"/>
                <w:sz w:val="22"/>
                <w:szCs w:val="22"/>
                <w:lang w:val="en-GB"/>
              </w:rPr>
            </w:pPr>
            <w:r>
              <w:rPr>
                <w:rFonts w:cs="Arial"/>
                <w:sz w:val="22"/>
                <w:szCs w:val="22"/>
                <w:lang w:val="en-GB"/>
              </w:rPr>
              <w:t>5.783</w:t>
            </w:r>
          </w:p>
        </w:tc>
        <w:tc>
          <w:tcPr>
            <w:tcW w:w="473" w:type="pct"/>
          </w:tcPr>
          <w:p w:rsidR="006378A3" w:rsidRDefault="006378A3" w:rsidP="002E01ED">
            <w:pPr>
              <w:jc w:val="both"/>
              <w:rPr>
                <w:rFonts w:cs="Arial"/>
                <w:sz w:val="22"/>
                <w:szCs w:val="22"/>
                <w:lang w:val="en-GB"/>
              </w:rPr>
            </w:pPr>
            <w:r>
              <w:rPr>
                <w:rFonts w:cs="Arial"/>
                <w:sz w:val="22"/>
                <w:szCs w:val="22"/>
                <w:lang w:val="en-GB"/>
              </w:rPr>
              <w:t>6.162</w:t>
            </w:r>
          </w:p>
        </w:tc>
        <w:tc>
          <w:tcPr>
            <w:tcW w:w="473" w:type="pct"/>
          </w:tcPr>
          <w:p w:rsidR="006378A3" w:rsidRDefault="006378A3" w:rsidP="002E01ED">
            <w:pPr>
              <w:jc w:val="both"/>
              <w:rPr>
                <w:rFonts w:cs="Arial"/>
                <w:sz w:val="22"/>
                <w:szCs w:val="22"/>
                <w:lang w:val="en-GB"/>
              </w:rPr>
            </w:pPr>
            <w:r>
              <w:rPr>
                <w:rFonts w:cs="Arial"/>
                <w:sz w:val="22"/>
                <w:szCs w:val="22"/>
                <w:lang w:val="en-GB"/>
              </w:rPr>
              <w:t>5.970</w:t>
            </w:r>
          </w:p>
        </w:tc>
        <w:tc>
          <w:tcPr>
            <w:tcW w:w="473" w:type="pct"/>
          </w:tcPr>
          <w:p w:rsidR="006378A3" w:rsidRDefault="006378A3" w:rsidP="002E01ED">
            <w:pPr>
              <w:jc w:val="both"/>
              <w:rPr>
                <w:rFonts w:cs="Arial"/>
                <w:sz w:val="22"/>
                <w:szCs w:val="22"/>
                <w:lang w:val="en-GB"/>
              </w:rPr>
            </w:pPr>
            <w:r>
              <w:rPr>
                <w:rFonts w:cs="Arial"/>
                <w:sz w:val="22"/>
                <w:szCs w:val="22"/>
                <w:lang w:val="en-GB"/>
              </w:rPr>
              <w:t>5.149</w:t>
            </w:r>
          </w:p>
        </w:tc>
        <w:tc>
          <w:tcPr>
            <w:tcW w:w="473" w:type="pct"/>
          </w:tcPr>
          <w:p w:rsidR="006378A3" w:rsidRDefault="006378A3" w:rsidP="002E01ED">
            <w:pPr>
              <w:jc w:val="both"/>
              <w:rPr>
                <w:rFonts w:cs="Arial"/>
                <w:sz w:val="22"/>
                <w:szCs w:val="22"/>
                <w:lang w:val="en-GB"/>
              </w:rPr>
            </w:pPr>
            <w:r>
              <w:rPr>
                <w:rFonts w:cs="Arial"/>
                <w:sz w:val="22"/>
                <w:szCs w:val="22"/>
                <w:lang w:val="en-GB"/>
              </w:rPr>
              <w:t>5.511</w:t>
            </w:r>
          </w:p>
        </w:tc>
        <w:tc>
          <w:tcPr>
            <w:tcW w:w="473" w:type="pct"/>
          </w:tcPr>
          <w:p w:rsidR="006378A3" w:rsidRDefault="006378A3" w:rsidP="002E01ED">
            <w:pPr>
              <w:jc w:val="both"/>
              <w:rPr>
                <w:rFonts w:cs="Arial"/>
                <w:sz w:val="22"/>
                <w:szCs w:val="22"/>
                <w:lang w:val="en-GB"/>
              </w:rPr>
            </w:pPr>
            <w:r>
              <w:rPr>
                <w:rFonts w:cs="Arial"/>
                <w:sz w:val="22"/>
                <w:szCs w:val="22"/>
                <w:lang w:val="en-GB"/>
              </w:rPr>
              <w:t>5.514</w:t>
            </w:r>
          </w:p>
        </w:tc>
      </w:tr>
      <w:tr w:rsidR="006378A3" w:rsidTr="002E01ED">
        <w:trPr>
          <w:trHeight w:hRule="exact" w:val="712"/>
          <w:jc w:val="center"/>
        </w:trPr>
        <w:tc>
          <w:tcPr>
            <w:tcW w:w="1219" w:type="pct"/>
          </w:tcPr>
          <w:p w:rsidR="006378A3" w:rsidRDefault="006378A3" w:rsidP="002E01ED">
            <w:pPr>
              <w:ind w:right="13"/>
              <w:jc w:val="both"/>
              <w:rPr>
                <w:rFonts w:cs="Arial"/>
                <w:b/>
                <w:sz w:val="22"/>
                <w:szCs w:val="22"/>
                <w:lang w:val="en-GB"/>
              </w:rPr>
            </w:pPr>
            <w:r>
              <w:rPr>
                <w:rFonts w:cs="Arial"/>
                <w:b/>
                <w:sz w:val="22"/>
                <w:szCs w:val="22"/>
                <w:lang w:val="en-GB"/>
              </w:rPr>
              <w:t>Water</w:t>
            </w:r>
          </w:p>
        </w:tc>
        <w:tc>
          <w:tcPr>
            <w:tcW w:w="473" w:type="pct"/>
          </w:tcPr>
          <w:p w:rsidR="006378A3" w:rsidRDefault="006378A3" w:rsidP="002E01ED">
            <w:pPr>
              <w:jc w:val="both"/>
              <w:rPr>
                <w:rFonts w:cs="Arial"/>
                <w:sz w:val="22"/>
                <w:szCs w:val="22"/>
                <w:lang w:val="en-GB"/>
              </w:rPr>
            </w:pPr>
            <w:r>
              <w:rPr>
                <w:rFonts w:cs="Arial"/>
                <w:sz w:val="22"/>
                <w:szCs w:val="22"/>
                <w:lang w:val="en-GB"/>
              </w:rPr>
              <w:t>3.311</w:t>
            </w:r>
          </w:p>
        </w:tc>
        <w:tc>
          <w:tcPr>
            <w:tcW w:w="473" w:type="pct"/>
          </w:tcPr>
          <w:p w:rsidR="006378A3" w:rsidRDefault="006378A3" w:rsidP="002E01ED">
            <w:pPr>
              <w:jc w:val="both"/>
              <w:rPr>
                <w:rFonts w:cs="Arial"/>
                <w:sz w:val="22"/>
                <w:szCs w:val="22"/>
                <w:lang w:val="en-GB"/>
              </w:rPr>
            </w:pPr>
            <w:r>
              <w:rPr>
                <w:rFonts w:cs="Arial"/>
                <w:sz w:val="22"/>
                <w:szCs w:val="22"/>
                <w:lang w:val="en-GB"/>
              </w:rPr>
              <w:t>2.409</w:t>
            </w:r>
          </w:p>
        </w:tc>
        <w:tc>
          <w:tcPr>
            <w:tcW w:w="473" w:type="pct"/>
          </w:tcPr>
          <w:p w:rsidR="006378A3" w:rsidRDefault="006378A3" w:rsidP="002E01ED">
            <w:pPr>
              <w:jc w:val="both"/>
              <w:rPr>
                <w:rFonts w:cs="Arial"/>
                <w:sz w:val="22"/>
                <w:szCs w:val="22"/>
                <w:lang w:val="en-GB"/>
              </w:rPr>
            </w:pPr>
            <w:r>
              <w:rPr>
                <w:rFonts w:cs="Arial"/>
                <w:sz w:val="22"/>
                <w:szCs w:val="22"/>
                <w:lang w:val="en-GB"/>
              </w:rPr>
              <w:t>2.298</w:t>
            </w:r>
          </w:p>
        </w:tc>
        <w:tc>
          <w:tcPr>
            <w:tcW w:w="473" w:type="pct"/>
          </w:tcPr>
          <w:p w:rsidR="006378A3" w:rsidRDefault="006378A3" w:rsidP="002E01ED">
            <w:pPr>
              <w:jc w:val="both"/>
              <w:rPr>
                <w:rFonts w:cs="Arial"/>
                <w:sz w:val="22"/>
                <w:szCs w:val="22"/>
                <w:lang w:val="en-GB"/>
              </w:rPr>
            </w:pPr>
            <w:r>
              <w:rPr>
                <w:rFonts w:cs="Arial"/>
                <w:sz w:val="22"/>
                <w:szCs w:val="22"/>
                <w:lang w:val="en-GB"/>
              </w:rPr>
              <w:t>2.192</w:t>
            </w:r>
          </w:p>
        </w:tc>
        <w:tc>
          <w:tcPr>
            <w:tcW w:w="473" w:type="pct"/>
          </w:tcPr>
          <w:p w:rsidR="006378A3" w:rsidRDefault="006378A3" w:rsidP="002E01ED">
            <w:pPr>
              <w:jc w:val="both"/>
              <w:rPr>
                <w:rFonts w:cs="Arial"/>
                <w:sz w:val="22"/>
                <w:szCs w:val="22"/>
                <w:lang w:val="en-GB"/>
              </w:rPr>
            </w:pPr>
            <w:r>
              <w:rPr>
                <w:rFonts w:cs="Arial"/>
                <w:sz w:val="22"/>
                <w:szCs w:val="22"/>
                <w:lang w:val="en-GB"/>
              </w:rPr>
              <w:t>2.103</w:t>
            </w:r>
          </w:p>
        </w:tc>
        <w:tc>
          <w:tcPr>
            <w:tcW w:w="473" w:type="pct"/>
          </w:tcPr>
          <w:p w:rsidR="006378A3" w:rsidRDefault="006378A3" w:rsidP="002E01ED">
            <w:pPr>
              <w:jc w:val="both"/>
              <w:rPr>
                <w:rFonts w:cs="Arial"/>
                <w:sz w:val="22"/>
                <w:szCs w:val="22"/>
                <w:lang w:val="en-GB"/>
              </w:rPr>
            </w:pPr>
            <w:r>
              <w:rPr>
                <w:rFonts w:cs="Arial"/>
                <w:sz w:val="22"/>
                <w:szCs w:val="22"/>
                <w:lang w:val="en-GB"/>
              </w:rPr>
              <w:t>1.956</w:t>
            </w:r>
          </w:p>
        </w:tc>
        <w:tc>
          <w:tcPr>
            <w:tcW w:w="473" w:type="pct"/>
          </w:tcPr>
          <w:p w:rsidR="006378A3" w:rsidRDefault="006378A3" w:rsidP="002E01ED">
            <w:pPr>
              <w:jc w:val="both"/>
              <w:rPr>
                <w:rFonts w:cs="Arial"/>
                <w:sz w:val="22"/>
                <w:szCs w:val="22"/>
                <w:lang w:val="en-GB"/>
              </w:rPr>
            </w:pPr>
            <w:r>
              <w:rPr>
                <w:rFonts w:cs="Arial"/>
                <w:sz w:val="22"/>
                <w:szCs w:val="22"/>
                <w:lang w:val="en-GB"/>
              </w:rPr>
              <w:t>1.917</w:t>
            </w:r>
          </w:p>
        </w:tc>
        <w:tc>
          <w:tcPr>
            <w:tcW w:w="473" w:type="pct"/>
          </w:tcPr>
          <w:p w:rsidR="006378A3" w:rsidRDefault="006378A3" w:rsidP="002E01ED">
            <w:pPr>
              <w:jc w:val="both"/>
              <w:rPr>
                <w:rFonts w:cs="Arial"/>
                <w:sz w:val="22"/>
                <w:szCs w:val="22"/>
                <w:lang w:val="en-GB"/>
              </w:rPr>
            </w:pPr>
            <w:r>
              <w:rPr>
                <w:rFonts w:cs="Arial"/>
                <w:sz w:val="22"/>
                <w:szCs w:val="22"/>
                <w:lang w:val="en-GB"/>
              </w:rPr>
              <w:t>1.860</w:t>
            </w:r>
          </w:p>
        </w:tc>
      </w:tr>
      <w:tr w:rsidR="006378A3" w:rsidTr="002E01ED">
        <w:trPr>
          <w:trHeight w:hRule="exact" w:val="748"/>
          <w:jc w:val="center"/>
        </w:trPr>
        <w:tc>
          <w:tcPr>
            <w:tcW w:w="1219" w:type="pct"/>
          </w:tcPr>
          <w:p w:rsidR="006378A3" w:rsidRDefault="006378A3" w:rsidP="002E01ED">
            <w:pPr>
              <w:ind w:right="13"/>
              <w:jc w:val="both"/>
              <w:rPr>
                <w:rFonts w:cs="Arial"/>
                <w:b/>
                <w:sz w:val="22"/>
                <w:szCs w:val="22"/>
                <w:lang w:val="en-GB"/>
              </w:rPr>
            </w:pPr>
            <w:r>
              <w:rPr>
                <w:rFonts w:cs="Arial"/>
                <w:b/>
                <w:sz w:val="22"/>
                <w:szCs w:val="22"/>
                <w:lang w:val="en-GB"/>
              </w:rPr>
              <w:t>Water treatment plants</w:t>
            </w:r>
          </w:p>
          <w:p w:rsidR="006378A3" w:rsidRDefault="006378A3" w:rsidP="002E01ED">
            <w:pPr>
              <w:ind w:right="13"/>
              <w:jc w:val="both"/>
              <w:rPr>
                <w:rFonts w:cs="Arial"/>
                <w:b/>
                <w:sz w:val="22"/>
                <w:szCs w:val="22"/>
                <w:lang w:val="en-GB"/>
              </w:rPr>
            </w:pPr>
          </w:p>
        </w:tc>
        <w:tc>
          <w:tcPr>
            <w:tcW w:w="473" w:type="pct"/>
          </w:tcPr>
          <w:p w:rsidR="006378A3" w:rsidRDefault="006378A3" w:rsidP="002E01ED">
            <w:pPr>
              <w:jc w:val="both"/>
              <w:rPr>
                <w:rFonts w:cs="Arial"/>
                <w:sz w:val="22"/>
                <w:szCs w:val="22"/>
                <w:lang w:val="en-GB"/>
              </w:rPr>
            </w:pPr>
            <w:r>
              <w:rPr>
                <w:rFonts w:cs="Arial"/>
                <w:sz w:val="22"/>
                <w:szCs w:val="22"/>
                <w:lang w:val="en-GB"/>
              </w:rPr>
              <w:t>7.992</w:t>
            </w:r>
          </w:p>
        </w:tc>
        <w:tc>
          <w:tcPr>
            <w:tcW w:w="473" w:type="pct"/>
          </w:tcPr>
          <w:p w:rsidR="006378A3" w:rsidRDefault="006378A3" w:rsidP="002E01ED">
            <w:pPr>
              <w:jc w:val="both"/>
              <w:rPr>
                <w:rFonts w:cs="Arial"/>
                <w:sz w:val="22"/>
                <w:szCs w:val="22"/>
                <w:lang w:val="en-GB"/>
              </w:rPr>
            </w:pPr>
            <w:r>
              <w:rPr>
                <w:rFonts w:cs="Arial"/>
                <w:sz w:val="22"/>
                <w:szCs w:val="22"/>
                <w:lang w:val="en-GB"/>
              </w:rPr>
              <w:t>7.688</w:t>
            </w:r>
          </w:p>
        </w:tc>
        <w:tc>
          <w:tcPr>
            <w:tcW w:w="473" w:type="pct"/>
          </w:tcPr>
          <w:p w:rsidR="006378A3" w:rsidRDefault="006378A3" w:rsidP="002E01ED">
            <w:pPr>
              <w:jc w:val="both"/>
              <w:rPr>
                <w:rFonts w:cs="Arial"/>
                <w:sz w:val="22"/>
                <w:szCs w:val="22"/>
                <w:lang w:val="en-GB"/>
              </w:rPr>
            </w:pPr>
            <w:r>
              <w:rPr>
                <w:rFonts w:cs="Arial"/>
                <w:sz w:val="22"/>
                <w:szCs w:val="22"/>
                <w:lang w:val="en-GB"/>
              </w:rPr>
              <w:t>8.104</w:t>
            </w:r>
          </w:p>
        </w:tc>
        <w:tc>
          <w:tcPr>
            <w:tcW w:w="473" w:type="pct"/>
          </w:tcPr>
          <w:p w:rsidR="006378A3" w:rsidRDefault="006378A3" w:rsidP="002E01ED">
            <w:pPr>
              <w:jc w:val="both"/>
              <w:rPr>
                <w:rFonts w:cs="Arial"/>
                <w:sz w:val="22"/>
                <w:szCs w:val="22"/>
                <w:lang w:val="en-GB"/>
              </w:rPr>
            </w:pPr>
            <w:r>
              <w:rPr>
                <w:rFonts w:cs="Arial"/>
                <w:sz w:val="22"/>
                <w:szCs w:val="22"/>
                <w:lang w:val="en-GB"/>
              </w:rPr>
              <w:t>7.768</w:t>
            </w:r>
          </w:p>
        </w:tc>
        <w:tc>
          <w:tcPr>
            <w:tcW w:w="473" w:type="pct"/>
          </w:tcPr>
          <w:p w:rsidR="006378A3" w:rsidRDefault="006378A3" w:rsidP="002E01ED">
            <w:pPr>
              <w:jc w:val="both"/>
              <w:rPr>
                <w:rFonts w:cs="Arial"/>
                <w:sz w:val="22"/>
                <w:szCs w:val="22"/>
                <w:lang w:val="en-GB"/>
              </w:rPr>
            </w:pPr>
            <w:r>
              <w:rPr>
                <w:rFonts w:cs="Arial"/>
                <w:sz w:val="22"/>
                <w:szCs w:val="22"/>
                <w:lang w:val="en-GB"/>
              </w:rPr>
              <w:t>7.518</w:t>
            </w:r>
          </w:p>
        </w:tc>
        <w:tc>
          <w:tcPr>
            <w:tcW w:w="473" w:type="pct"/>
          </w:tcPr>
          <w:p w:rsidR="006378A3" w:rsidRDefault="006378A3" w:rsidP="002E01ED">
            <w:pPr>
              <w:jc w:val="both"/>
              <w:rPr>
                <w:rFonts w:cs="Arial"/>
                <w:sz w:val="22"/>
                <w:szCs w:val="22"/>
                <w:lang w:val="en-GB"/>
              </w:rPr>
            </w:pPr>
            <w:r>
              <w:rPr>
                <w:rFonts w:cs="Arial"/>
                <w:sz w:val="22"/>
                <w:szCs w:val="22"/>
                <w:lang w:val="en-GB"/>
              </w:rPr>
              <w:t>7.581</w:t>
            </w:r>
          </w:p>
        </w:tc>
        <w:tc>
          <w:tcPr>
            <w:tcW w:w="473" w:type="pct"/>
          </w:tcPr>
          <w:p w:rsidR="006378A3" w:rsidRDefault="006378A3" w:rsidP="002E01ED">
            <w:pPr>
              <w:jc w:val="both"/>
              <w:rPr>
                <w:rFonts w:cs="Arial"/>
                <w:sz w:val="22"/>
                <w:szCs w:val="22"/>
                <w:lang w:val="en-GB"/>
              </w:rPr>
            </w:pPr>
            <w:r>
              <w:rPr>
                <w:rFonts w:cs="Arial"/>
                <w:sz w:val="22"/>
                <w:szCs w:val="22"/>
                <w:lang w:val="en-GB"/>
              </w:rPr>
              <w:t>7.425</w:t>
            </w:r>
          </w:p>
        </w:tc>
        <w:tc>
          <w:tcPr>
            <w:tcW w:w="473" w:type="pct"/>
          </w:tcPr>
          <w:p w:rsidR="006378A3" w:rsidRDefault="006378A3" w:rsidP="002E01ED">
            <w:pPr>
              <w:jc w:val="both"/>
              <w:rPr>
                <w:rFonts w:cs="Arial"/>
                <w:sz w:val="22"/>
                <w:szCs w:val="22"/>
                <w:lang w:val="en-GB"/>
              </w:rPr>
            </w:pPr>
            <w:r>
              <w:rPr>
                <w:rFonts w:cs="Arial"/>
                <w:bCs/>
                <w:sz w:val="22"/>
                <w:szCs w:val="22"/>
                <w:lang w:val="en-GB"/>
              </w:rPr>
              <w:t>7.687</w:t>
            </w:r>
          </w:p>
        </w:tc>
      </w:tr>
    </w:tbl>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eastAsia="Calibri" w:cs="Arial"/>
          <w:lang w:val="en-GB" w:eastAsia="en-US"/>
        </w:rPr>
      </w:pPr>
      <w:r>
        <w:rPr>
          <w:rFonts w:eastAsia="Calibri" w:cs="Arial"/>
          <w:lang w:val="en-GB" w:eastAsia="en-US"/>
        </w:rPr>
        <w:tab/>
        <w:t>After analyzing the data, it appears that the major polluters of water are steel and coal industries. The use of water in industrial sectors leads to contamination of drinking water. The contaminated water is Seversky Donets Basin and the Black Sea rivers.</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b/>
          <w:bCs/>
          <w:i/>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ourier New" w:hAnsi="Courier New" w:cs="Courier New"/>
          <w:sz w:val="22"/>
          <w:szCs w:val="22"/>
          <w:lang w:val="en-GB" w:eastAsia="en-US"/>
        </w:rPr>
      </w:pPr>
      <w:r>
        <w:rPr>
          <w:rFonts w:cs="Arial"/>
          <w:b/>
          <w:bCs/>
          <w:i/>
          <w:sz w:val="22"/>
          <w:szCs w:val="22"/>
          <w:lang w:val="en-GB" w:eastAsia="en-US"/>
        </w:rPr>
        <w:t xml:space="preserve">Table 4.6.4 </w:t>
      </w:r>
      <w:r>
        <w:rPr>
          <w:rFonts w:cs="Arial"/>
          <w:bCs/>
          <w:sz w:val="22"/>
          <w:szCs w:val="22"/>
          <w:lang w:val="en-GB" w:eastAsia="en-US"/>
        </w:rPr>
        <w:t xml:space="preserve">- </w:t>
      </w:r>
      <w:r>
        <w:rPr>
          <w:rFonts w:cs="Arial"/>
          <w:sz w:val="22"/>
          <w:szCs w:val="22"/>
          <w:lang w:val="en-GB" w:eastAsia="en-US"/>
        </w:rPr>
        <w:t>Pollutants in surface waters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88"/>
        <w:gridCol w:w="5430"/>
        <w:gridCol w:w="2564"/>
      </w:tblGrid>
      <w:tr w:rsidR="006378A3" w:rsidTr="002E01ED">
        <w:trPr>
          <w:trHeight w:hRule="exact" w:val="658"/>
          <w:jc w:val="center"/>
        </w:trPr>
        <w:tc>
          <w:tcPr>
            <w:tcW w:w="1688" w:type="dxa"/>
            <w:vAlign w:val="center"/>
          </w:tcPr>
          <w:p w:rsidR="006378A3" w:rsidRDefault="006378A3" w:rsidP="002E01ED">
            <w:pPr>
              <w:autoSpaceDE w:val="0"/>
              <w:autoSpaceDN w:val="0"/>
              <w:adjustRightInd w:val="0"/>
              <w:jc w:val="both"/>
              <w:rPr>
                <w:rFonts w:eastAsia="TimesNewRoman" w:cs="Arial"/>
                <w:b/>
                <w:lang w:val="en-GB"/>
              </w:rPr>
            </w:pPr>
            <w:r>
              <w:rPr>
                <w:rFonts w:eastAsia="TimesNewRoman" w:cs="Arial"/>
                <w:b/>
                <w:lang w:val="en-GB"/>
              </w:rPr>
              <w:t>Rivers</w:t>
            </w:r>
          </w:p>
        </w:tc>
        <w:tc>
          <w:tcPr>
            <w:tcW w:w="5430" w:type="dxa"/>
            <w:vAlign w:val="center"/>
          </w:tcPr>
          <w:p w:rsidR="006378A3" w:rsidRDefault="006378A3" w:rsidP="002E01ED">
            <w:pPr>
              <w:autoSpaceDE w:val="0"/>
              <w:autoSpaceDN w:val="0"/>
              <w:adjustRightInd w:val="0"/>
              <w:jc w:val="both"/>
              <w:rPr>
                <w:rFonts w:eastAsia="TimesNewRoman" w:cs="Arial"/>
                <w:b/>
                <w:lang w:val="en-GB"/>
              </w:rPr>
            </w:pPr>
            <w:r>
              <w:rPr>
                <w:rFonts w:eastAsia="TimesNewRoman" w:cs="Arial"/>
                <w:b/>
                <w:lang w:val="en-GB"/>
              </w:rPr>
              <w:t>Pollutants</w:t>
            </w:r>
          </w:p>
        </w:tc>
        <w:tc>
          <w:tcPr>
            <w:tcW w:w="2564" w:type="dxa"/>
            <w:vAlign w:val="center"/>
          </w:tcPr>
          <w:p w:rsidR="006378A3" w:rsidRDefault="006378A3" w:rsidP="002E01ED">
            <w:pPr>
              <w:autoSpaceDE w:val="0"/>
              <w:autoSpaceDN w:val="0"/>
              <w:adjustRightInd w:val="0"/>
              <w:jc w:val="both"/>
              <w:rPr>
                <w:rFonts w:eastAsia="TimesNewRoman" w:cs="Arial"/>
                <w:b/>
                <w:lang w:val="en-GB"/>
              </w:rPr>
            </w:pPr>
            <w:r>
              <w:rPr>
                <w:rFonts w:eastAsia="TimesNewRoman" w:cs="Arial"/>
                <w:b/>
                <w:lang w:val="en-GB"/>
              </w:rPr>
              <w:t>Pollutants from waste water</w:t>
            </w:r>
          </w:p>
        </w:tc>
      </w:tr>
      <w:tr w:rsidR="006378A3" w:rsidTr="002E01ED">
        <w:trPr>
          <w:trHeight w:hRule="exact" w:val="550"/>
          <w:jc w:val="center"/>
        </w:trPr>
        <w:tc>
          <w:tcPr>
            <w:tcW w:w="1688"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Bug Western</w:t>
            </w:r>
          </w:p>
          <w:p w:rsidR="006378A3" w:rsidRDefault="006378A3" w:rsidP="002E01ED">
            <w:pPr>
              <w:autoSpaceDE w:val="0"/>
              <w:autoSpaceDN w:val="0"/>
              <w:adjustRightInd w:val="0"/>
              <w:jc w:val="both"/>
              <w:rPr>
                <w:rFonts w:eastAsia="TimesNewRoman" w:cs="Arial"/>
                <w:sz w:val="22"/>
                <w:szCs w:val="22"/>
                <w:lang w:val="en-GB"/>
              </w:rPr>
            </w:pPr>
          </w:p>
        </w:tc>
        <w:tc>
          <w:tcPr>
            <w:tcW w:w="543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Ammonia, nitrite , iron and total chromium</w:t>
            </w:r>
          </w:p>
          <w:p w:rsidR="006378A3" w:rsidRDefault="006378A3" w:rsidP="002E01ED">
            <w:pPr>
              <w:autoSpaceDE w:val="0"/>
              <w:autoSpaceDN w:val="0"/>
              <w:adjustRightInd w:val="0"/>
              <w:jc w:val="both"/>
              <w:rPr>
                <w:rFonts w:eastAsia="TimesNewRoman" w:cs="Arial"/>
                <w:sz w:val="22"/>
                <w:szCs w:val="22"/>
                <w:lang w:val="en-GB"/>
              </w:rPr>
            </w:pPr>
          </w:p>
        </w:tc>
        <w:tc>
          <w:tcPr>
            <w:tcW w:w="2564" w:type="dxa"/>
          </w:tcPr>
          <w:p w:rsidR="006378A3" w:rsidRDefault="006378A3" w:rsidP="002E01ED">
            <w:pPr>
              <w:autoSpaceDE w:val="0"/>
              <w:autoSpaceDN w:val="0"/>
              <w:adjustRightInd w:val="0"/>
              <w:jc w:val="both"/>
              <w:rPr>
                <w:rFonts w:eastAsia="TimesNewRoman" w:cs="Arial"/>
                <w:sz w:val="22"/>
                <w:szCs w:val="22"/>
                <w:lang w:val="en-GB"/>
              </w:rPr>
            </w:pPr>
            <w:r>
              <w:rPr>
                <w:rFonts w:eastAsia="TimesNewRoman" w:cs="Arial"/>
                <w:sz w:val="22"/>
                <w:szCs w:val="22"/>
                <w:lang w:val="en-GB"/>
              </w:rPr>
              <w:t>Lead</w:t>
            </w:r>
          </w:p>
        </w:tc>
      </w:tr>
      <w:tr w:rsidR="006378A3" w:rsidTr="002E01ED">
        <w:trPr>
          <w:trHeight w:hRule="exact" w:val="514"/>
          <w:jc w:val="center"/>
        </w:trPr>
        <w:tc>
          <w:tcPr>
            <w:tcW w:w="1688" w:type="dxa"/>
          </w:tcPr>
          <w:p w:rsidR="006378A3" w:rsidRDefault="006378A3" w:rsidP="002E01ED">
            <w:pPr>
              <w:autoSpaceDE w:val="0"/>
              <w:autoSpaceDN w:val="0"/>
              <w:adjustRightInd w:val="0"/>
              <w:jc w:val="both"/>
              <w:rPr>
                <w:rFonts w:eastAsia="TimesNewRoman" w:cs="Arial"/>
                <w:sz w:val="22"/>
                <w:szCs w:val="22"/>
                <w:lang w:val="en-GB"/>
              </w:rPr>
            </w:pPr>
            <w:r>
              <w:rPr>
                <w:rFonts w:eastAsia="TimesNewRoman" w:cs="Arial"/>
                <w:sz w:val="22"/>
                <w:szCs w:val="22"/>
                <w:lang w:val="en-GB"/>
              </w:rPr>
              <w:t>Danube</w:t>
            </w:r>
          </w:p>
        </w:tc>
        <w:tc>
          <w:tcPr>
            <w:tcW w:w="543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ammonia , nitrite , iron, zinc and chromium total</w:t>
            </w:r>
          </w:p>
          <w:p w:rsidR="006378A3" w:rsidRDefault="006378A3" w:rsidP="002E01ED">
            <w:pPr>
              <w:autoSpaceDE w:val="0"/>
              <w:autoSpaceDN w:val="0"/>
              <w:adjustRightInd w:val="0"/>
              <w:jc w:val="both"/>
              <w:rPr>
                <w:rFonts w:eastAsia="TimesNewRoman" w:cs="Arial"/>
                <w:sz w:val="22"/>
                <w:szCs w:val="22"/>
                <w:lang w:val="en-GB"/>
              </w:rPr>
            </w:pPr>
          </w:p>
        </w:tc>
        <w:tc>
          <w:tcPr>
            <w:tcW w:w="2564"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BSK5</w:t>
            </w:r>
          </w:p>
          <w:p w:rsidR="006378A3" w:rsidRDefault="006378A3" w:rsidP="002E01ED">
            <w:pPr>
              <w:autoSpaceDE w:val="0"/>
              <w:autoSpaceDN w:val="0"/>
              <w:adjustRightInd w:val="0"/>
              <w:jc w:val="both"/>
              <w:rPr>
                <w:rFonts w:eastAsia="TimesNewRoman" w:cs="Arial"/>
                <w:sz w:val="22"/>
                <w:szCs w:val="22"/>
                <w:lang w:val="en-GB"/>
              </w:rPr>
            </w:pPr>
          </w:p>
        </w:tc>
      </w:tr>
      <w:tr w:rsidR="006378A3" w:rsidTr="002E01ED">
        <w:trPr>
          <w:trHeight w:hRule="exact" w:val="820"/>
          <w:jc w:val="center"/>
        </w:trPr>
        <w:tc>
          <w:tcPr>
            <w:tcW w:w="1688"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Nistru</w:t>
            </w:r>
          </w:p>
          <w:p w:rsidR="006378A3" w:rsidRDefault="006378A3" w:rsidP="002E01ED">
            <w:pPr>
              <w:autoSpaceDE w:val="0"/>
              <w:autoSpaceDN w:val="0"/>
              <w:adjustRightInd w:val="0"/>
              <w:jc w:val="both"/>
              <w:rPr>
                <w:rFonts w:eastAsia="TimesNewRoman" w:cs="Arial"/>
                <w:sz w:val="22"/>
                <w:szCs w:val="22"/>
                <w:lang w:val="en-GB"/>
              </w:rPr>
            </w:pPr>
          </w:p>
        </w:tc>
        <w:tc>
          <w:tcPr>
            <w:tcW w:w="543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ammonia , nitrite , iron, zinc and total chromium , and nickel detergents</w:t>
            </w:r>
          </w:p>
          <w:p w:rsidR="006378A3" w:rsidRDefault="006378A3" w:rsidP="002E01ED">
            <w:pPr>
              <w:autoSpaceDE w:val="0"/>
              <w:autoSpaceDN w:val="0"/>
              <w:adjustRightInd w:val="0"/>
              <w:jc w:val="both"/>
              <w:rPr>
                <w:rFonts w:eastAsia="TimesNewRoman" w:cs="Arial"/>
                <w:sz w:val="22"/>
                <w:szCs w:val="22"/>
                <w:lang w:val="en-GB"/>
              </w:rPr>
            </w:pPr>
          </w:p>
        </w:tc>
        <w:tc>
          <w:tcPr>
            <w:tcW w:w="2564"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COD and BSK5</w:t>
            </w:r>
          </w:p>
          <w:p w:rsidR="006378A3" w:rsidRDefault="006378A3" w:rsidP="002E01ED">
            <w:pPr>
              <w:autoSpaceDE w:val="0"/>
              <w:autoSpaceDN w:val="0"/>
              <w:adjustRightInd w:val="0"/>
              <w:jc w:val="both"/>
              <w:rPr>
                <w:rFonts w:eastAsia="TimesNewRoman" w:cs="Arial"/>
                <w:sz w:val="22"/>
                <w:szCs w:val="22"/>
                <w:lang w:val="en-GB"/>
              </w:rPr>
            </w:pPr>
          </w:p>
        </w:tc>
      </w:tr>
      <w:tr w:rsidR="006378A3" w:rsidTr="002E01ED">
        <w:trPr>
          <w:trHeight w:hRule="exact" w:val="1027"/>
          <w:jc w:val="center"/>
        </w:trPr>
        <w:tc>
          <w:tcPr>
            <w:tcW w:w="1688"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Dnipro</w:t>
            </w:r>
          </w:p>
          <w:p w:rsidR="006378A3" w:rsidRDefault="006378A3" w:rsidP="002E01ED">
            <w:pPr>
              <w:autoSpaceDE w:val="0"/>
              <w:autoSpaceDN w:val="0"/>
              <w:adjustRightInd w:val="0"/>
              <w:jc w:val="both"/>
              <w:rPr>
                <w:rFonts w:eastAsia="TimesNewRoman" w:cs="Arial"/>
                <w:sz w:val="22"/>
                <w:szCs w:val="22"/>
                <w:lang w:val="en-GB"/>
              </w:rPr>
            </w:pPr>
          </w:p>
        </w:tc>
        <w:tc>
          <w:tcPr>
            <w:tcW w:w="543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ammonia and nitrites, zinc , chromium, iron and total chromium , nickel, phenols and oil products</w:t>
            </w:r>
          </w:p>
          <w:p w:rsidR="006378A3" w:rsidRDefault="006378A3" w:rsidP="002E01ED">
            <w:pPr>
              <w:autoSpaceDE w:val="0"/>
              <w:autoSpaceDN w:val="0"/>
              <w:adjustRightInd w:val="0"/>
              <w:jc w:val="both"/>
              <w:rPr>
                <w:rFonts w:eastAsia="TimesNewRoman" w:cs="Arial"/>
                <w:sz w:val="22"/>
                <w:szCs w:val="22"/>
                <w:lang w:val="en-GB"/>
              </w:rPr>
            </w:pPr>
          </w:p>
        </w:tc>
        <w:tc>
          <w:tcPr>
            <w:tcW w:w="2564"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ourier New" w:hAnsi="Courier New" w:cs="Courier New"/>
                <w:sz w:val="20"/>
                <w:szCs w:val="20"/>
                <w:lang w:val="en-GB" w:eastAsia="en-US"/>
              </w:rPr>
            </w:pPr>
            <w:r>
              <w:rPr>
                <w:rFonts w:cs="Arial"/>
                <w:sz w:val="22"/>
                <w:szCs w:val="22"/>
                <w:lang w:val="en-GB" w:eastAsia="en-US"/>
              </w:rPr>
              <w:t>BSK5 and COD , ammonia nitrogen and nitrate</w:t>
            </w:r>
          </w:p>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p>
          <w:p w:rsidR="006378A3" w:rsidRDefault="006378A3" w:rsidP="002E01ED">
            <w:pPr>
              <w:autoSpaceDE w:val="0"/>
              <w:autoSpaceDN w:val="0"/>
              <w:adjustRightInd w:val="0"/>
              <w:jc w:val="both"/>
              <w:rPr>
                <w:rFonts w:eastAsia="TimesNewRoman" w:cs="Arial"/>
                <w:sz w:val="22"/>
                <w:szCs w:val="22"/>
                <w:lang w:val="en-GB"/>
              </w:rPr>
            </w:pPr>
          </w:p>
        </w:tc>
      </w:tr>
      <w:tr w:rsidR="006378A3" w:rsidTr="002E01ED">
        <w:trPr>
          <w:trHeight w:hRule="exact" w:val="379"/>
          <w:jc w:val="center"/>
        </w:trPr>
        <w:tc>
          <w:tcPr>
            <w:tcW w:w="1688"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Southern Bug</w:t>
            </w:r>
          </w:p>
          <w:p w:rsidR="006378A3" w:rsidRDefault="006378A3" w:rsidP="002E01ED">
            <w:pPr>
              <w:autoSpaceDE w:val="0"/>
              <w:autoSpaceDN w:val="0"/>
              <w:adjustRightInd w:val="0"/>
              <w:jc w:val="both"/>
              <w:rPr>
                <w:rFonts w:eastAsia="TimesNewRoman" w:cs="Arial"/>
                <w:sz w:val="22"/>
                <w:szCs w:val="22"/>
                <w:lang w:val="en-GB"/>
              </w:rPr>
            </w:pPr>
          </w:p>
        </w:tc>
        <w:tc>
          <w:tcPr>
            <w:tcW w:w="543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ammonia nitrogen and nitrite</w:t>
            </w:r>
          </w:p>
          <w:p w:rsidR="006378A3" w:rsidRDefault="006378A3" w:rsidP="002E01ED">
            <w:pPr>
              <w:autoSpaceDE w:val="0"/>
              <w:autoSpaceDN w:val="0"/>
              <w:adjustRightInd w:val="0"/>
              <w:jc w:val="both"/>
              <w:rPr>
                <w:rFonts w:eastAsia="TimesNewRoman" w:cs="Arial"/>
                <w:sz w:val="22"/>
                <w:szCs w:val="22"/>
                <w:lang w:val="en-GB"/>
              </w:rPr>
            </w:pPr>
          </w:p>
        </w:tc>
        <w:tc>
          <w:tcPr>
            <w:tcW w:w="2564" w:type="dxa"/>
          </w:tcPr>
          <w:p w:rsidR="006378A3" w:rsidRDefault="006378A3" w:rsidP="002E01ED">
            <w:pPr>
              <w:autoSpaceDE w:val="0"/>
              <w:autoSpaceDN w:val="0"/>
              <w:adjustRightInd w:val="0"/>
              <w:jc w:val="both"/>
              <w:rPr>
                <w:rFonts w:eastAsia="TimesNewRoman" w:cs="Arial"/>
                <w:sz w:val="22"/>
                <w:szCs w:val="22"/>
                <w:lang w:val="en-GB"/>
              </w:rPr>
            </w:pPr>
          </w:p>
        </w:tc>
      </w:tr>
      <w:tr w:rsidR="006378A3" w:rsidTr="002E01ED">
        <w:trPr>
          <w:trHeight w:hRule="exact" w:val="667"/>
          <w:jc w:val="center"/>
        </w:trPr>
        <w:tc>
          <w:tcPr>
            <w:tcW w:w="1688"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Seversky Doneț</w:t>
            </w:r>
          </w:p>
          <w:p w:rsidR="006378A3" w:rsidRDefault="006378A3" w:rsidP="002E01ED">
            <w:pPr>
              <w:autoSpaceDE w:val="0"/>
              <w:autoSpaceDN w:val="0"/>
              <w:adjustRightInd w:val="0"/>
              <w:jc w:val="both"/>
              <w:rPr>
                <w:rFonts w:eastAsia="TimesNewRoman" w:cs="Arial"/>
                <w:sz w:val="22"/>
                <w:szCs w:val="22"/>
                <w:lang w:val="en-GB"/>
              </w:rPr>
            </w:pPr>
          </w:p>
        </w:tc>
        <w:tc>
          <w:tcPr>
            <w:tcW w:w="543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ammonium, nitrite and nitrate , phenols, total iron</w:t>
            </w:r>
          </w:p>
          <w:p w:rsidR="006378A3" w:rsidRDefault="006378A3" w:rsidP="002E01ED">
            <w:pPr>
              <w:autoSpaceDE w:val="0"/>
              <w:autoSpaceDN w:val="0"/>
              <w:adjustRightInd w:val="0"/>
              <w:jc w:val="both"/>
              <w:rPr>
                <w:rFonts w:eastAsia="TimesNewRoman" w:cs="Arial"/>
                <w:sz w:val="22"/>
                <w:szCs w:val="22"/>
                <w:lang w:val="en-GB"/>
              </w:rPr>
            </w:pPr>
          </w:p>
        </w:tc>
        <w:tc>
          <w:tcPr>
            <w:tcW w:w="2564"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COD</w:t>
            </w:r>
          </w:p>
          <w:p w:rsidR="006378A3" w:rsidRDefault="006378A3" w:rsidP="002E01ED">
            <w:pPr>
              <w:autoSpaceDE w:val="0"/>
              <w:autoSpaceDN w:val="0"/>
              <w:adjustRightInd w:val="0"/>
              <w:jc w:val="both"/>
              <w:rPr>
                <w:rFonts w:eastAsia="TimesNewRoman" w:cs="Arial"/>
                <w:sz w:val="22"/>
                <w:szCs w:val="22"/>
                <w:lang w:val="en-GB"/>
              </w:rPr>
            </w:pPr>
          </w:p>
        </w:tc>
      </w:tr>
      <w:tr w:rsidR="006378A3" w:rsidTr="002E01ED">
        <w:trPr>
          <w:trHeight w:hRule="exact" w:val="631"/>
          <w:jc w:val="center"/>
        </w:trPr>
        <w:tc>
          <w:tcPr>
            <w:tcW w:w="1688"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Priazovskiye River</w:t>
            </w:r>
          </w:p>
          <w:p w:rsidR="006378A3" w:rsidRDefault="006378A3" w:rsidP="002E01ED">
            <w:pPr>
              <w:autoSpaceDE w:val="0"/>
              <w:autoSpaceDN w:val="0"/>
              <w:adjustRightInd w:val="0"/>
              <w:jc w:val="both"/>
              <w:rPr>
                <w:rFonts w:eastAsia="TimesNewRoman" w:cs="Arial"/>
                <w:sz w:val="22"/>
                <w:szCs w:val="22"/>
                <w:lang w:val="en-GB"/>
              </w:rPr>
            </w:pPr>
          </w:p>
        </w:tc>
        <w:tc>
          <w:tcPr>
            <w:tcW w:w="543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ammoniac nitrogen , total chromium and petroleum products</w:t>
            </w:r>
          </w:p>
          <w:p w:rsidR="006378A3" w:rsidRDefault="006378A3" w:rsidP="002E01ED">
            <w:pPr>
              <w:autoSpaceDE w:val="0"/>
              <w:autoSpaceDN w:val="0"/>
              <w:adjustRightInd w:val="0"/>
              <w:jc w:val="both"/>
              <w:rPr>
                <w:rFonts w:eastAsia="TimesNewRoman" w:cs="Arial"/>
                <w:sz w:val="22"/>
                <w:szCs w:val="22"/>
                <w:lang w:val="en-GB"/>
              </w:rPr>
            </w:pPr>
          </w:p>
        </w:tc>
        <w:tc>
          <w:tcPr>
            <w:tcW w:w="2564" w:type="dxa"/>
          </w:tcPr>
          <w:p w:rsidR="006378A3" w:rsidRDefault="006378A3" w:rsidP="002E01ED">
            <w:pPr>
              <w:autoSpaceDE w:val="0"/>
              <w:autoSpaceDN w:val="0"/>
              <w:adjustRightInd w:val="0"/>
              <w:jc w:val="both"/>
              <w:rPr>
                <w:rFonts w:eastAsia="TimesNewRoman" w:cs="Arial"/>
                <w:sz w:val="22"/>
                <w:szCs w:val="22"/>
                <w:lang w:val="en-GB"/>
              </w:rPr>
            </w:pPr>
          </w:p>
        </w:tc>
      </w:tr>
      <w:tr w:rsidR="006378A3" w:rsidTr="002E01ED">
        <w:trPr>
          <w:trHeight w:hRule="exact" w:val="730"/>
          <w:jc w:val="center"/>
        </w:trPr>
        <w:tc>
          <w:tcPr>
            <w:tcW w:w="1688"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NewRoman" w:cs="Arial"/>
                <w:sz w:val="22"/>
                <w:szCs w:val="22"/>
                <w:lang w:val="en-GB"/>
              </w:rPr>
            </w:pPr>
            <w:r>
              <w:rPr>
                <w:rFonts w:cs="Arial"/>
                <w:sz w:val="22"/>
                <w:szCs w:val="22"/>
                <w:lang w:val="en-GB" w:eastAsia="en-US"/>
              </w:rPr>
              <w:t>Rivers flowing into the Black Sea</w:t>
            </w:r>
          </w:p>
        </w:tc>
        <w:tc>
          <w:tcPr>
            <w:tcW w:w="543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nitrogen , nitrite and total iron</w:t>
            </w:r>
          </w:p>
          <w:p w:rsidR="006378A3" w:rsidRDefault="006378A3" w:rsidP="002E01ED">
            <w:pPr>
              <w:autoSpaceDE w:val="0"/>
              <w:autoSpaceDN w:val="0"/>
              <w:adjustRightInd w:val="0"/>
              <w:jc w:val="both"/>
              <w:rPr>
                <w:rFonts w:eastAsia="TimesNewRoman" w:cs="Arial"/>
                <w:sz w:val="22"/>
                <w:szCs w:val="22"/>
                <w:lang w:val="en-GB"/>
              </w:rPr>
            </w:pPr>
          </w:p>
        </w:tc>
        <w:tc>
          <w:tcPr>
            <w:tcW w:w="2564" w:type="dxa"/>
          </w:tcPr>
          <w:p w:rsidR="006378A3" w:rsidRDefault="006378A3" w:rsidP="002E01ED">
            <w:pPr>
              <w:autoSpaceDE w:val="0"/>
              <w:autoSpaceDN w:val="0"/>
              <w:adjustRightInd w:val="0"/>
              <w:jc w:val="both"/>
              <w:rPr>
                <w:rFonts w:eastAsia="TimesNewRoman" w:cs="Arial"/>
                <w:sz w:val="22"/>
                <w:szCs w:val="22"/>
                <w:lang w:val="en-GB"/>
              </w:rPr>
            </w:pPr>
            <w:r>
              <w:rPr>
                <w:rFonts w:cs="Arial"/>
                <w:sz w:val="22"/>
                <w:szCs w:val="22"/>
                <w:lang w:val="en-GB"/>
              </w:rPr>
              <w:t>BSK5 and COD</w:t>
            </w:r>
          </w:p>
        </w:tc>
      </w:tr>
      <w:tr w:rsidR="006378A3" w:rsidTr="002E01ED">
        <w:trPr>
          <w:trHeight w:hRule="exact" w:val="361"/>
          <w:jc w:val="center"/>
        </w:trPr>
        <w:tc>
          <w:tcPr>
            <w:tcW w:w="1688" w:type="dxa"/>
          </w:tcPr>
          <w:p w:rsidR="006378A3" w:rsidRDefault="006378A3" w:rsidP="002E01ED">
            <w:pPr>
              <w:autoSpaceDE w:val="0"/>
              <w:autoSpaceDN w:val="0"/>
              <w:adjustRightInd w:val="0"/>
              <w:jc w:val="both"/>
              <w:rPr>
                <w:rFonts w:eastAsia="TimesNewRoman" w:cs="Arial"/>
                <w:sz w:val="22"/>
                <w:szCs w:val="22"/>
                <w:lang w:val="en-GB"/>
              </w:rPr>
            </w:pPr>
            <w:r>
              <w:rPr>
                <w:rFonts w:eastAsia="TimesNewRoman" w:cs="Arial"/>
                <w:sz w:val="22"/>
                <w:szCs w:val="22"/>
                <w:lang w:val="en-GB"/>
              </w:rPr>
              <w:t>Black Sea</w:t>
            </w:r>
          </w:p>
        </w:tc>
        <w:tc>
          <w:tcPr>
            <w:tcW w:w="543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nitrite and ammonium nitrogen</w:t>
            </w:r>
          </w:p>
          <w:p w:rsidR="006378A3" w:rsidRDefault="006378A3" w:rsidP="002E01ED">
            <w:pPr>
              <w:autoSpaceDE w:val="0"/>
              <w:autoSpaceDN w:val="0"/>
              <w:adjustRightInd w:val="0"/>
              <w:jc w:val="both"/>
              <w:rPr>
                <w:rFonts w:eastAsia="TimesNewRoman" w:cs="Arial"/>
                <w:sz w:val="22"/>
                <w:szCs w:val="22"/>
                <w:lang w:val="en-GB"/>
              </w:rPr>
            </w:pPr>
          </w:p>
        </w:tc>
        <w:tc>
          <w:tcPr>
            <w:tcW w:w="2564" w:type="dxa"/>
          </w:tcPr>
          <w:p w:rsidR="006378A3" w:rsidRDefault="006378A3" w:rsidP="002E01ED">
            <w:pPr>
              <w:autoSpaceDE w:val="0"/>
              <w:autoSpaceDN w:val="0"/>
              <w:adjustRightInd w:val="0"/>
              <w:jc w:val="both"/>
              <w:rPr>
                <w:rFonts w:eastAsia="TimesNewRoman" w:cs="Arial"/>
                <w:sz w:val="22"/>
                <w:szCs w:val="22"/>
                <w:lang w:val="en-GB"/>
              </w:rPr>
            </w:pPr>
          </w:p>
        </w:tc>
      </w:tr>
      <w:tr w:rsidR="006378A3" w:rsidTr="002E01ED">
        <w:trPr>
          <w:trHeight w:hRule="exact" w:val="253"/>
          <w:jc w:val="center"/>
        </w:trPr>
        <w:tc>
          <w:tcPr>
            <w:tcW w:w="1688" w:type="dxa"/>
          </w:tcPr>
          <w:p w:rsidR="006378A3" w:rsidRDefault="006378A3" w:rsidP="002E01ED">
            <w:pPr>
              <w:autoSpaceDE w:val="0"/>
              <w:autoSpaceDN w:val="0"/>
              <w:adjustRightInd w:val="0"/>
              <w:jc w:val="both"/>
              <w:rPr>
                <w:rFonts w:eastAsia="TimesNewRoman" w:cs="Arial"/>
                <w:sz w:val="22"/>
                <w:szCs w:val="22"/>
                <w:lang w:val="en-GB"/>
              </w:rPr>
            </w:pPr>
            <w:r>
              <w:rPr>
                <w:rFonts w:eastAsia="TimesNewRoman" w:cs="Arial"/>
                <w:sz w:val="22"/>
                <w:szCs w:val="22"/>
                <w:lang w:val="en-GB"/>
              </w:rPr>
              <w:t>Azov Sea</w:t>
            </w:r>
          </w:p>
        </w:tc>
        <w:tc>
          <w:tcPr>
            <w:tcW w:w="5430" w:type="dxa"/>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total iron oxide and nitrite</w:t>
            </w:r>
          </w:p>
          <w:p w:rsidR="006378A3" w:rsidRDefault="006378A3" w:rsidP="002E01ED">
            <w:pPr>
              <w:autoSpaceDE w:val="0"/>
              <w:autoSpaceDN w:val="0"/>
              <w:adjustRightInd w:val="0"/>
              <w:jc w:val="both"/>
              <w:rPr>
                <w:rFonts w:eastAsia="TimesNewRoman" w:cs="Arial"/>
                <w:sz w:val="22"/>
                <w:szCs w:val="22"/>
                <w:lang w:val="en-GB"/>
              </w:rPr>
            </w:pPr>
          </w:p>
        </w:tc>
        <w:tc>
          <w:tcPr>
            <w:tcW w:w="2564" w:type="dxa"/>
          </w:tcPr>
          <w:p w:rsidR="006378A3" w:rsidRDefault="006378A3" w:rsidP="002E01ED">
            <w:pPr>
              <w:autoSpaceDE w:val="0"/>
              <w:autoSpaceDN w:val="0"/>
              <w:adjustRightInd w:val="0"/>
              <w:jc w:val="both"/>
              <w:rPr>
                <w:rFonts w:eastAsia="TimesNewRoman" w:cs="Arial"/>
                <w:sz w:val="22"/>
                <w:szCs w:val="22"/>
                <w:lang w:val="en-GB"/>
              </w:rPr>
            </w:pPr>
          </w:p>
        </w:tc>
      </w:tr>
    </w:tbl>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ascii="Cambria Math" w:hAnsi="Cambria Math" w:cs="Cambria Math"/>
          <w:sz w:val="20"/>
          <w:szCs w:val="20"/>
          <w:lang w:val="en-GB" w:eastAsia="en-US"/>
        </w:rPr>
        <w:t>​</w:t>
      </w:r>
      <w:r>
        <w:rPr>
          <w:rFonts w:cs="Arial"/>
          <w:lang w:val="en-GB" w:eastAsia="en-US"/>
        </w:rPr>
        <w:t>Azov and Black Sea are located on the southern border of Ukraine. The degree of human impact on marine ecosystems is primarily due to commercial activities such as industry, agriculture and transport.</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lang w:val="en-GB" w:eastAsia="en-US"/>
        </w:rPr>
      </w:pPr>
    </w:p>
    <w:p w:rsidR="006378A3" w:rsidRDefault="006378A3" w:rsidP="006378A3">
      <w:pPr>
        <w:numPr>
          <w:ilvl w:val="0"/>
          <w:numId w:val="22"/>
        </w:numPr>
        <w:spacing w:before="60" w:after="60" w:line="288" w:lineRule="auto"/>
        <w:jc w:val="both"/>
        <w:rPr>
          <w:rFonts w:cs="Arial"/>
          <w:b/>
          <w:lang w:val="en-GB"/>
        </w:rPr>
      </w:pPr>
      <w:r>
        <w:rPr>
          <w:rFonts w:cs="Arial"/>
          <w:b/>
          <w:lang w:val="en-GB"/>
        </w:rPr>
        <w:t>SOIL</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The area of land in Ukraine is 60.354.800 ha. According to the State Agency of Land Resources of Ukraine, the country's land area distributed according to the type of land is presented in Table 4.6.5. These types of land represent about 70.9 % of the total area.</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p>
    <w:p w:rsidR="006378A3" w:rsidRDefault="006378A3" w:rsidP="006378A3">
      <w:pPr>
        <w:autoSpaceDE w:val="0"/>
        <w:autoSpaceDN w:val="0"/>
        <w:adjustRightInd w:val="0"/>
        <w:spacing w:before="60" w:after="60" w:line="288" w:lineRule="auto"/>
        <w:jc w:val="center"/>
        <w:rPr>
          <w:rFonts w:eastAsia="Calibri" w:cs="Arial"/>
          <w:b/>
          <w:bCs/>
          <w:i/>
          <w:sz w:val="22"/>
          <w:szCs w:val="22"/>
          <w:lang w:val="en-GB"/>
        </w:rPr>
      </w:pPr>
      <w:r>
        <w:rPr>
          <w:rFonts w:eastAsia="Calibri" w:cs="Arial"/>
          <w:b/>
          <w:bCs/>
          <w:i/>
          <w:sz w:val="22"/>
          <w:szCs w:val="22"/>
          <w:lang w:val="en-GB"/>
        </w:rPr>
        <w:t xml:space="preserve">Table 4.6.5 </w:t>
      </w:r>
      <w:r>
        <w:rPr>
          <w:rFonts w:eastAsia="Calibri" w:cs="Arial"/>
          <w:bCs/>
          <w:sz w:val="22"/>
          <w:szCs w:val="22"/>
          <w:lang w:val="en-GB"/>
        </w:rPr>
        <w:t>– Type of land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9"/>
        <w:gridCol w:w="2349"/>
        <w:gridCol w:w="1710"/>
      </w:tblGrid>
      <w:tr w:rsidR="006378A3" w:rsidTr="002E01ED">
        <w:trPr>
          <w:trHeight w:val="206"/>
          <w:jc w:val="center"/>
        </w:trPr>
        <w:tc>
          <w:tcPr>
            <w:tcW w:w="3879" w:type="dxa"/>
            <w:vMerge w:val="restart"/>
          </w:tcPr>
          <w:p w:rsidR="006378A3" w:rsidRDefault="006378A3" w:rsidP="002E01ED">
            <w:pPr>
              <w:rPr>
                <w:rFonts w:cs="Arial"/>
                <w:b/>
                <w:bCs/>
                <w:sz w:val="22"/>
                <w:szCs w:val="22"/>
                <w:lang w:val="en-GB" w:eastAsia="ru-RU"/>
              </w:rPr>
            </w:pPr>
            <w:r>
              <w:rPr>
                <w:rFonts w:cs="Arial"/>
                <w:b/>
                <w:sz w:val="22"/>
                <w:szCs w:val="22"/>
                <w:lang w:val="en-GB" w:eastAsia="ru-RU"/>
              </w:rPr>
              <w:t>Type of land</w:t>
            </w:r>
          </w:p>
        </w:tc>
        <w:tc>
          <w:tcPr>
            <w:tcW w:w="4059" w:type="dxa"/>
            <w:gridSpan w:val="2"/>
            <w:vAlign w:val="center"/>
          </w:tcPr>
          <w:p w:rsidR="006378A3" w:rsidRDefault="006378A3" w:rsidP="002E01ED">
            <w:pPr>
              <w:jc w:val="center"/>
              <w:rPr>
                <w:rFonts w:cs="Arial"/>
                <w:b/>
                <w:bCs/>
                <w:sz w:val="22"/>
                <w:szCs w:val="22"/>
                <w:lang w:val="en-GB" w:eastAsia="ru-RU"/>
              </w:rPr>
            </w:pPr>
            <w:r>
              <w:rPr>
                <w:rFonts w:cs="Arial"/>
                <w:b/>
                <w:sz w:val="22"/>
                <w:szCs w:val="22"/>
                <w:lang w:val="en-GB" w:eastAsia="ru-RU"/>
              </w:rPr>
              <w:t>Land area</w:t>
            </w:r>
          </w:p>
        </w:tc>
      </w:tr>
      <w:tr w:rsidR="006378A3" w:rsidTr="002E01ED">
        <w:trPr>
          <w:trHeight w:val="276"/>
          <w:jc w:val="center"/>
        </w:trPr>
        <w:tc>
          <w:tcPr>
            <w:tcW w:w="3879" w:type="dxa"/>
            <w:vMerge/>
            <w:vAlign w:val="center"/>
          </w:tcPr>
          <w:p w:rsidR="006378A3" w:rsidRDefault="006378A3" w:rsidP="002E01ED">
            <w:pPr>
              <w:jc w:val="both"/>
              <w:rPr>
                <w:rFonts w:cs="Arial"/>
                <w:b/>
                <w:bCs/>
                <w:sz w:val="22"/>
                <w:szCs w:val="22"/>
                <w:lang w:val="en-GB" w:eastAsia="ru-RU"/>
              </w:rPr>
            </w:pPr>
          </w:p>
        </w:tc>
        <w:tc>
          <w:tcPr>
            <w:tcW w:w="2349" w:type="dxa"/>
            <w:vMerge w:val="restart"/>
          </w:tcPr>
          <w:p w:rsidR="006378A3" w:rsidRDefault="006378A3" w:rsidP="002E01ED">
            <w:pPr>
              <w:jc w:val="center"/>
              <w:rPr>
                <w:rFonts w:cs="Arial"/>
                <w:b/>
                <w:bCs/>
                <w:sz w:val="22"/>
                <w:szCs w:val="22"/>
                <w:lang w:val="en-GB" w:eastAsia="ru-RU"/>
              </w:rPr>
            </w:pPr>
            <w:r>
              <w:rPr>
                <w:rFonts w:cs="Arial"/>
                <w:sz w:val="22"/>
                <w:szCs w:val="22"/>
                <w:lang w:val="en-GB" w:eastAsia="ru-RU"/>
              </w:rPr>
              <w:t>Thousands ha</w:t>
            </w:r>
          </w:p>
        </w:tc>
        <w:tc>
          <w:tcPr>
            <w:tcW w:w="1710" w:type="dxa"/>
            <w:vMerge w:val="restart"/>
          </w:tcPr>
          <w:p w:rsidR="006378A3" w:rsidRDefault="006378A3" w:rsidP="002E01ED">
            <w:pPr>
              <w:jc w:val="center"/>
              <w:rPr>
                <w:rFonts w:cs="Arial"/>
                <w:b/>
                <w:bCs/>
                <w:sz w:val="22"/>
                <w:szCs w:val="22"/>
                <w:lang w:val="en-GB" w:eastAsia="ru-RU"/>
              </w:rPr>
            </w:pPr>
            <w:r>
              <w:rPr>
                <w:rFonts w:cs="Arial"/>
                <w:b/>
                <w:sz w:val="22"/>
                <w:szCs w:val="22"/>
                <w:lang w:val="en-GB" w:eastAsia="ru-RU"/>
              </w:rPr>
              <w:t>%</w:t>
            </w:r>
          </w:p>
        </w:tc>
      </w:tr>
      <w:tr w:rsidR="006378A3" w:rsidTr="002E01ED">
        <w:trPr>
          <w:trHeight w:val="253"/>
          <w:jc w:val="center"/>
        </w:trPr>
        <w:tc>
          <w:tcPr>
            <w:tcW w:w="3879" w:type="dxa"/>
            <w:vMerge/>
            <w:vAlign w:val="center"/>
          </w:tcPr>
          <w:p w:rsidR="006378A3" w:rsidRDefault="006378A3" w:rsidP="002E01ED">
            <w:pPr>
              <w:jc w:val="both"/>
              <w:rPr>
                <w:rFonts w:cs="Arial"/>
                <w:bCs/>
                <w:sz w:val="22"/>
                <w:szCs w:val="22"/>
                <w:lang w:val="en-GB" w:eastAsia="ru-RU"/>
              </w:rPr>
            </w:pPr>
          </w:p>
        </w:tc>
        <w:tc>
          <w:tcPr>
            <w:tcW w:w="2349" w:type="dxa"/>
            <w:vMerge/>
          </w:tcPr>
          <w:p w:rsidR="006378A3" w:rsidRDefault="006378A3" w:rsidP="002E01ED">
            <w:pPr>
              <w:jc w:val="both"/>
              <w:rPr>
                <w:rFonts w:cs="Arial"/>
                <w:bCs/>
                <w:sz w:val="22"/>
                <w:szCs w:val="22"/>
                <w:lang w:val="en-GB" w:eastAsia="ru-RU"/>
              </w:rPr>
            </w:pPr>
          </w:p>
        </w:tc>
        <w:tc>
          <w:tcPr>
            <w:tcW w:w="1710" w:type="dxa"/>
            <w:vMerge/>
          </w:tcPr>
          <w:p w:rsidR="006378A3" w:rsidRDefault="006378A3" w:rsidP="002E01ED">
            <w:pPr>
              <w:jc w:val="both"/>
              <w:rPr>
                <w:rFonts w:cs="Arial"/>
                <w:bCs/>
                <w:sz w:val="22"/>
                <w:szCs w:val="22"/>
                <w:lang w:val="en-GB" w:eastAsia="ru-RU"/>
              </w:rPr>
            </w:pPr>
          </w:p>
        </w:tc>
      </w:tr>
      <w:tr w:rsidR="006378A3" w:rsidTr="002E01ED">
        <w:trPr>
          <w:jc w:val="center"/>
        </w:trPr>
        <w:tc>
          <w:tcPr>
            <w:tcW w:w="3879" w:type="dxa"/>
            <w:vAlign w:val="center"/>
          </w:tcPr>
          <w:p w:rsidR="006378A3" w:rsidRDefault="006378A3" w:rsidP="002E01ED">
            <w:pPr>
              <w:jc w:val="both"/>
              <w:rPr>
                <w:rFonts w:cs="Arial"/>
                <w:bCs/>
                <w:sz w:val="22"/>
                <w:szCs w:val="22"/>
                <w:lang w:val="en-GB" w:eastAsia="ru-RU"/>
              </w:rPr>
            </w:pPr>
            <w:r>
              <w:rPr>
                <w:rFonts w:cs="Arial"/>
                <w:bCs/>
                <w:sz w:val="22"/>
                <w:szCs w:val="22"/>
                <w:lang w:val="en-GB" w:eastAsia="ru-RU"/>
              </w:rPr>
              <w:t>Agricultural lands</w:t>
            </w:r>
          </w:p>
        </w:tc>
        <w:tc>
          <w:tcPr>
            <w:tcW w:w="2349" w:type="dxa"/>
            <w:vAlign w:val="center"/>
          </w:tcPr>
          <w:p w:rsidR="006378A3" w:rsidRDefault="006378A3" w:rsidP="002E01ED">
            <w:pPr>
              <w:jc w:val="right"/>
              <w:rPr>
                <w:rFonts w:cs="Arial"/>
                <w:bCs/>
                <w:sz w:val="22"/>
                <w:szCs w:val="22"/>
                <w:lang w:val="en-GB" w:eastAsia="ru-RU"/>
              </w:rPr>
            </w:pPr>
            <w:r>
              <w:rPr>
                <w:rFonts w:cs="Arial"/>
                <w:bCs/>
                <w:sz w:val="22"/>
                <w:szCs w:val="22"/>
                <w:lang w:val="en-GB" w:eastAsia="ru-RU"/>
              </w:rPr>
              <w:t>42.776,9</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70,9</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 w:val="22"/>
                <w:szCs w:val="22"/>
                <w:lang w:val="en-GB" w:eastAsia="en-US"/>
              </w:rPr>
            </w:pPr>
            <w:r>
              <w:rPr>
                <w:rFonts w:cs="Arial"/>
                <w:sz w:val="22"/>
                <w:szCs w:val="22"/>
                <w:lang w:val="en-GB" w:eastAsia="en-US"/>
              </w:rPr>
              <w:t>of which:</w:t>
            </w:r>
          </w:p>
          <w:p w:rsidR="006378A3" w:rsidRDefault="006378A3" w:rsidP="002E01ED">
            <w:pPr>
              <w:jc w:val="both"/>
              <w:rPr>
                <w:rFonts w:cs="Arial"/>
                <w:bCs/>
                <w:sz w:val="22"/>
                <w:szCs w:val="22"/>
                <w:lang w:val="en-GB" w:eastAsia="ru-RU"/>
              </w:rPr>
            </w:pPr>
            <w:r>
              <w:rPr>
                <w:rFonts w:cs="Arial"/>
                <w:sz w:val="22"/>
                <w:szCs w:val="22"/>
                <w:lang w:val="en-GB" w:eastAsia="ru-RU"/>
              </w:rPr>
              <w:t xml:space="preserve">  agricultural lands</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41.557,6</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68,9</w:t>
            </w:r>
          </w:p>
        </w:tc>
      </w:tr>
      <w:tr w:rsidR="006378A3" w:rsidTr="002E01ED">
        <w:trPr>
          <w:jc w:val="center"/>
        </w:trPr>
        <w:tc>
          <w:tcPr>
            <w:tcW w:w="3879" w:type="dxa"/>
            <w:vAlign w:val="center"/>
          </w:tcPr>
          <w:p w:rsidR="006378A3" w:rsidRDefault="006378A3" w:rsidP="002E01ED">
            <w:pPr>
              <w:jc w:val="both"/>
              <w:rPr>
                <w:rFonts w:cs="Arial"/>
                <w:bCs/>
                <w:sz w:val="22"/>
                <w:szCs w:val="22"/>
                <w:lang w:val="en-GB" w:eastAsia="ru-RU"/>
              </w:rPr>
            </w:pPr>
            <w:r>
              <w:rPr>
                <w:rFonts w:cs="Arial"/>
                <w:sz w:val="22"/>
                <w:szCs w:val="22"/>
                <w:lang w:val="en-GB" w:eastAsia="ru-RU"/>
              </w:rPr>
              <w:t>Arable lands</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32.498,5</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53,8</w:t>
            </w:r>
          </w:p>
        </w:tc>
      </w:tr>
      <w:tr w:rsidR="006378A3" w:rsidTr="002E01ED">
        <w:trPr>
          <w:jc w:val="center"/>
        </w:trPr>
        <w:tc>
          <w:tcPr>
            <w:tcW w:w="3879" w:type="dxa"/>
            <w:vAlign w:val="center"/>
          </w:tcPr>
          <w:p w:rsidR="006378A3" w:rsidRDefault="006378A3" w:rsidP="002E01ED">
            <w:pPr>
              <w:jc w:val="both"/>
              <w:rPr>
                <w:rFonts w:cs="Arial"/>
                <w:bCs/>
                <w:sz w:val="22"/>
                <w:szCs w:val="22"/>
                <w:lang w:val="en-GB" w:eastAsia="ru-RU"/>
              </w:rPr>
            </w:pPr>
            <w:r>
              <w:rPr>
                <w:rFonts w:cs="Arial"/>
                <w:sz w:val="22"/>
                <w:szCs w:val="22"/>
                <w:lang w:val="en-GB" w:eastAsia="ru-RU"/>
              </w:rPr>
              <w:t>Other agricultural lands</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1.219,3</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2,0</w:t>
            </w:r>
          </w:p>
        </w:tc>
      </w:tr>
      <w:tr w:rsidR="006378A3" w:rsidTr="002E01ED">
        <w:trPr>
          <w:jc w:val="center"/>
        </w:trPr>
        <w:tc>
          <w:tcPr>
            <w:tcW w:w="3879" w:type="dxa"/>
            <w:vAlign w:val="center"/>
          </w:tcPr>
          <w:p w:rsidR="006378A3" w:rsidRDefault="006378A3" w:rsidP="002E01ED">
            <w:pPr>
              <w:jc w:val="both"/>
              <w:rPr>
                <w:rFonts w:cs="Arial"/>
                <w:bCs/>
                <w:sz w:val="22"/>
                <w:szCs w:val="22"/>
                <w:lang w:val="en-GB" w:eastAsia="ru-RU"/>
              </w:rPr>
            </w:pPr>
            <w:r>
              <w:rPr>
                <w:rFonts w:cs="Arial"/>
                <w:bCs/>
                <w:sz w:val="22"/>
                <w:szCs w:val="22"/>
                <w:lang w:val="en-GB" w:eastAsia="ru-RU"/>
              </w:rPr>
              <w:t>Forest of which:</w:t>
            </w:r>
          </w:p>
        </w:tc>
        <w:tc>
          <w:tcPr>
            <w:tcW w:w="2349" w:type="dxa"/>
            <w:vAlign w:val="center"/>
          </w:tcPr>
          <w:p w:rsidR="006378A3" w:rsidRDefault="006378A3" w:rsidP="002E01ED">
            <w:pPr>
              <w:jc w:val="right"/>
              <w:rPr>
                <w:rFonts w:cs="Arial"/>
                <w:bCs/>
                <w:sz w:val="22"/>
                <w:szCs w:val="22"/>
                <w:lang w:val="en-GB" w:eastAsia="ru-RU"/>
              </w:rPr>
            </w:pPr>
            <w:r>
              <w:rPr>
                <w:rFonts w:cs="Arial"/>
                <w:bCs/>
                <w:sz w:val="22"/>
                <w:szCs w:val="22"/>
                <w:lang w:val="en-GB" w:eastAsia="ru-RU"/>
              </w:rPr>
              <w:t>10.611,3</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17,6</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Covered by forest</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9.683,3</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16,1</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Not covered with forest vegetation</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208,7</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0,3</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Other forest land</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315,6</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0,5</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Shrubs</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403,7</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0,7</w:t>
            </w:r>
          </w:p>
        </w:tc>
      </w:tr>
      <w:tr w:rsidR="006378A3" w:rsidTr="002E01ED">
        <w:trPr>
          <w:trHeight w:val="233"/>
          <w:jc w:val="center"/>
        </w:trPr>
        <w:tc>
          <w:tcPr>
            <w:tcW w:w="3879" w:type="dxa"/>
            <w:vAlign w:val="center"/>
          </w:tcPr>
          <w:p w:rsidR="006378A3" w:rsidRDefault="006378A3" w:rsidP="002E01ED">
            <w:pPr>
              <w:jc w:val="both"/>
              <w:rPr>
                <w:rFonts w:cs="Arial"/>
                <w:bCs/>
                <w:sz w:val="22"/>
                <w:szCs w:val="22"/>
                <w:lang w:val="en-GB" w:eastAsia="ru-RU"/>
              </w:rPr>
            </w:pPr>
            <w:r>
              <w:rPr>
                <w:rFonts w:cs="Arial"/>
                <w:sz w:val="22"/>
                <w:szCs w:val="22"/>
                <w:lang w:val="en-GB" w:eastAsia="ru-RU"/>
              </w:rPr>
              <w:t>Built- up Land</w:t>
            </w:r>
          </w:p>
        </w:tc>
        <w:tc>
          <w:tcPr>
            <w:tcW w:w="2349" w:type="dxa"/>
            <w:vAlign w:val="center"/>
          </w:tcPr>
          <w:p w:rsidR="006378A3" w:rsidRDefault="006378A3" w:rsidP="002E01ED">
            <w:pPr>
              <w:jc w:val="right"/>
              <w:rPr>
                <w:rFonts w:cs="Arial"/>
                <w:bCs/>
                <w:sz w:val="22"/>
                <w:szCs w:val="22"/>
                <w:lang w:val="en-GB" w:eastAsia="ru-RU"/>
              </w:rPr>
            </w:pPr>
            <w:r>
              <w:rPr>
                <w:rFonts w:cs="Arial"/>
                <w:bCs/>
                <w:sz w:val="22"/>
                <w:szCs w:val="22"/>
                <w:lang w:val="en-GB" w:eastAsia="ru-RU"/>
              </w:rPr>
              <w:t>2.523,2</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4,2</w:t>
            </w:r>
          </w:p>
        </w:tc>
      </w:tr>
      <w:tr w:rsidR="006378A3" w:rsidTr="002E01ED">
        <w:trPr>
          <w:jc w:val="center"/>
        </w:trPr>
        <w:tc>
          <w:tcPr>
            <w:tcW w:w="3879" w:type="dxa"/>
            <w:vAlign w:val="center"/>
          </w:tcPr>
          <w:p w:rsidR="006378A3" w:rsidRDefault="006378A3" w:rsidP="002E01ED">
            <w:pPr>
              <w:jc w:val="both"/>
              <w:rPr>
                <w:rFonts w:cs="Arial"/>
                <w:bCs/>
                <w:sz w:val="22"/>
                <w:szCs w:val="22"/>
                <w:lang w:val="en-GB" w:eastAsia="ru-RU"/>
              </w:rPr>
            </w:pPr>
            <w:r>
              <w:rPr>
                <w:rFonts w:cs="Arial"/>
                <w:sz w:val="22"/>
                <w:szCs w:val="22"/>
                <w:lang w:val="en-GB" w:eastAsia="ru-RU"/>
              </w:rPr>
              <w:t>For building</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473,5</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0,8</w:t>
            </w:r>
          </w:p>
        </w:tc>
      </w:tr>
      <w:tr w:rsidR="006378A3" w:rsidTr="002E01ED">
        <w:trPr>
          <w:jc w:val="center"/>
        </w:trPr>
        <w:tc>
          <w:tcPr>
            <w:tcW w:w="3879" w:type="dxa"/>
            <w:vAlign w:val="center"/>
          </w:tcPr>
          <w:p w:rsidR="006378A3" w:rsidRDefault="006378A3" w:rsidP="002E01ED">
            <w:pPr>
              <w:jc w:val="both"/>
              <w:rPr>
                <w:rFonts w:cs="Arial"/>
                <w:bCs/>
                <w:sz w:val="22"/>
                <w:szCs w:val="22"/>
                <w:lang w:val="en-GB" w:eastAsia="ru-RU"/>
              </w:rPr>
            </w:pPr>
            <w:r>
              <w:rPr>
                <w:rFonts w:cs="Arial"/>
                <w:iCs/>
                <w:sz w:val="22"/>
                <w:szCs w:val="22"/>
                <w:lang w:val="en-GB" w:eastAsia="ru-RU"/>
              </w:rPr>
              <w:t xml:space="preserve">Industrial Lands </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223,2</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0,4</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Personal Lands</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152,3</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0,3</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Commercial Land</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54,5</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0,1</w:t>
            </w:r>
          </w:p>
        </w:tc>
      </w:tr>
      <w:tr w:rsidR="006378A3" w:rsidTr="002E01ED">
        <w:trPr>
          <w:trHeight w:val="259"/>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Land for public use</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282,1</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0,5</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Mixed land use</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29,0</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0,0</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Land used for communication and transport</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495,1</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0,8</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Land used for technical infrastructure</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68,1</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0,1</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Land used for camping</w:t>
            </w:r>
          </w:p>
        </w:tc>
        <w:tc>
          <w:tcPr>
            <w:tcW w:w="2349"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745,4</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1,2</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Wetlands open</w:t>
            </w:r>
          </w:p>
        </w:tc>
        <w:tc>
          <w:tcPr>
            <w:tcW w:w="2349" w:type="dxa"/>
            <w:vAlign w:val="center"/>
          </w:tcPr>
          <w:p w:rsidR="006378A3" w:rsidRDefault="006378A3" w:rsidP="002E01ED">
            <w:pPr>
              <w:jc w:val="right"/>
              <w:rPr>
                <w:rFonts w:cs="Arial"/>
                <w:bCs/>
                <w:sz w:val="22"/>
                <w:szCs w:val="22"/>
                <w:lang w:val="en-GB" w:eastAsia="ru-RU"/>
              </w:rPr>
            </w:pPr>
            <w:r>
              <w:rPr>
                <w:rFonts w:cs="Arial"/>
                <w:bCs/>
                <w:sz w:val="22"/>
                <w:szCs w:val="22"/>
                <w:lang w:val="en-GB" w:eastAsia="ru-RU"/>
              </w:rPr>
              <w:t>980,1</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1,6</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Steppe</w:t>
            </w:r>
          </w:p>
        </w:tc>
        <w:tc>
          <w:tcPr>
            <w:tcW w:w="2349" w:type="dxa"/>
            <w:vAlign w:val="center"/>
          </w:tcPr>
          <w:p w:rsidR="006378A3" w:rsidRDefault="006378A3" w:rsidP="002E01ED">
            <w:pPr>
              <w:jc w:val="right"/>
              <w:rPr>
                <w:rFonts w:cs="Arial"/>
                <w:bCs/>
                <w:sz w:val="22"/>
                <w:szCs w:val="22"/>
                <w:lang w:val="en-GB" w:eastAsia="ru-RU"/>
              </w:rPr>
            </w:pPr>
            <w:r>
              <w:rPr>
                <w:rFonts w:cs="Arial"/>
                <w:bCs/>
                <w:sz w:val="22"/>
                <w:szCs w:val="22"/>
                <w:lang w:val="en-GB" w:eastAsia="ru-RU"/>
              </w:rPr>
              <w:t>17,7</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0,0</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Sand, grottos</w:t>
            </w:r>
          </w:p>
        </w:tc>
        <w:tc>
          <w:tcPr>
            <w:tcW w:w="2349" w:type="dxa"/>
            <w:vAlign w:val="center"/>
          </w:tcPr>
          <w:p w:rsidR="006378A3" w:rsidRDefault="006378A3" w:rsidP="002E01ED">
            <w:pPr>
              <w:jc w:val="right"/>
              <w:rPr>
                <w:rFonts w:cs="Arial"/>
                <w:bCs/>
                <w:sz w:val="22"/>
                <w:szCs w:val="22"/>
                <w:lang w:val="en-GB" w:eastAsia="ru-RU"/>
              </w:rPr>
            </w:pPr>
            <w:r>
              <w:rPr>
                <w:rFonts w:cs="Arial"/>
                <w:bCs/>
                <w:sz w:val="22"/>
                <w:szCs w:val="22"/>
                <w:lang w:val="en-GB" w:eastAsia="ru-RU"/>
              </w:rPr>
              <w:t>1.022,9</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1,7</w:t>
            </w:r>
          </w:p>
        </w:tc>
      </w:tr>
      <w:tr w:rsidR="006378A3" w:rsidTr="002E01ED">
        <w:trPr>
          <w:jc w:val="center"/>
        </w:trPr>
        <w:tc>
          <w:tcPr>
            <w:tcW w:w="3879" w:type="dxa"/>
            <w:vAlign w:val="center"/>
          </w:tcPr>
          <w:p w:rsidR="006378A3" w:rsidRDefault="006378A3" w:rsidP="002E01ED">
            <w:pPr>
              <w:jc w:val="both"/>
              <w:rPr>
                <w:rFonts w:cs="Arial"/>
                <w:b/>
                <w:bCs/>
                <w:sz w:val="22"/>
                <w:szCs w:val="22"/>
                <w:lang w:val="en-GB" w:eastAsia="ru-RU"/>
              </w:rPr>
            </w:pPr>
            <w:r>
              <w:rPr>
                <w:rFonts w:cs="Arial"/>
                <w:b/>
                <w:bCs/>
                <w:sz w:val="22"/>
                <w:szCs w:val="22"/>
                <w:lang w:val="en-GB" w:eastAsia="ru-RU"/>
              </w:rPr>
              <w:t>Total land</w:t>
            </w:r>
          </w:p>
        </w:tc>
        <w:tc>
          <w:tcPr>
            <w:tcW w:w="2349" w:type="dxa"/>
            <w:vAlign w:val="center"/>
          </w:tcPr>
          <w:p w:rsidR="006378A3" w:rsidRDefault="006378A3" w:rsidP="002E01ED">
            <w:pPr>
              <w:jc w:val="right"/>
              <w:rPr>
                <w:rFonts w:cs="Arial"/>
                <w:b/>
                <w:bCs/>
                <w:sz w:val="22"/>
                <w:szCs w:val="22"/>
                <w:lang w:val="en-GB" w:eastAsia="ru-RU"/>
              </w:rPr>
            </w:pPr>
            <w:r>
              <w:rPr>
                <w:rFonts w:cs="Arial"/>
                <w:b/>
                <w:bCs/>
                <w:sz w:val="22"/>
                <w:szCs w:val="22"/>
                <w:lang w:val="en-GB" w:eastAsia="ru-RU"/>
              </w:rPr>
              <w:t>57.932,1</w:t>
            </w:r>
          </w:p>
        </w:tc>
        <w:tc>
          <w:tcPr>
            <w:tcW w:w="1710" w:type="dxa"/>
            <w:vAlign w:val="center"/>
          </w:tcPr>
          <w:p w:rsidR="006378A3" w:rsidRDefault="006378A3" w:rsidP="002E01ED">
            <w:pPr>
              <w:jc w:val="right"/>
              <w:rPr>
                <w:rFonts w:cs="Arial"/>
                <w:b/>
                <w:bCs/>
                <w:sz w:val="22"/>
                <w:szCs w:val="22"/>
                <w:lang w:val="en-GB" w:eastAsia="ru-RU"/>
              </w:rPr>
            </w:pPr>
            <w:r>
              <w:rPr>
                <w:rFonts w:cs="Arial"/>
                <w:b/>
                <w:sz w:val="22"/>
                <w:szCs w:val="22"/>
                <w:lang w:val="en-GB" w:eastAsia="ru-RU"/>
              </w:rPr>
              <w:t>96,0</w:t>
            </w:r>
          </w:p>
        </w:tc>
      </w:tr>
      <w:tr w:rsidR="006378A3" w:rsidTr="002E01ED">
        <w:trPr>
          <w:jc w:val="center"/>
        </w:trPr>
        <w:tc>
          <w:tcPr>
            <w:tcW w:w="3879" w:type="dxa"/>
            <w:vAlign w:val="center"/>
          </w:tcPr>
          <w:p w:rsidR="006378A3" w:rsidRDefault="006378A3"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Cs/>
                <w:sz w:val="22"/>
                <w:szCs w:val="22"/>
                <w:lang w:val="en-GB" w:eastAsia="ru-RU"/>
              </w:rPr>
            </w:pPr>
            <w:r>
              <w:rPr>
                <w:rFonts w:cs="Arial"/>
                <w:sz w:val="22"/>
                <w:szCs w:val="22"/>
                <w:lang w:val="en-GB" w:eastAsia="en-US"/>
              </w:rPr>
              <w:t>Territory covered by surface water</w:t>
            </w:r>
          </w:p>
        </w:tc>
        <w:tc>
          <w:tcPr>
            <w:tcW w:w="2349" w:type="dxa"/>
            <w:vAlign w:val="center"/>
          </w:tcPr>
          <w:p w:rsidR="006378A3" w:rsidRDefault="006378A3" w:rsidP="002E01ED">
            <w:pPr>
              <w:jc w:val="right"/>
              <w:rPr>
                <w:rFonts w:cs="Arial"/>
                <w:bCs/>
                <w:sz w:val="22"/>
                <w:szCs w:val="22"/>
                <w:lang w:val="en-GB" w:eastAsia="ru-RU"/>
              </w:rPr>
            </w:pPr>
            <w:r>
              <w:rPr>
                <w:rFonts w:cs="Arial"/>
                <w:bCs/>
                <w:sz w:val="22"/>
                <w:szCs w:val="22"/>
                <w:lang w:val="en-GB" w:eastAsia="ru-RU"/>
              </w:rPr>
              <w:t>2.422,8</w:t>
            </w:r>
          </w:p>
        </w:tc>
        <w:tc>
          <w:tcPr>
            <w:tcW w:w="1710" w:type="dxa"/>
            <w:vAlign w:val="center"/>
          </w:tcPr>
          <w:p w:rsidR="006378A3" w:rsidRDefault="006378A3" w:rsidP="002E01ED">
            <w:pPr>
              <w:jc w:val="right"/>
              <w:rPr>
                <w:rFonts w:cs="Arial"/>
                <w:bCs/>
                <w:sz w:val="22"/>
                <w:szCs w:val="22"/>
                <w:lang w:val="en-GB" w:eastAsia="ru-RU"/>
              </w:rPr>
            </w:pPr>
            <w:r>
              <w:rPr>
                <w:rFonts w:cs="Arial"/>
                <w:sz w:val="22"/>
                <w:szCs w:val="22"/>
                <w:lang w:val="en-GB" w:eastAsia="ru-RU"/>
              </w:rPr>
              <w:t>4,0</w:t>
            </w:r>
          </w:p>
        </w:tc>
      </w:tr>
      <w:tr w:rsidR="006378A3" w:rsidTr="002E01ED">
        <w:trPr>
          <w:jc w:val="center"/>
        </w:trPr>
        <w:tc>
          <w:tcPr>
            <w:tcW w:w="3879" w:type="dxa"/>
            <w:vAlign w:val="center"/>
          </w:tcPr>
          <w:p w:rsidR="006378A3" w:rsidRDefault="006378A3" w:rsidP="002E01ED">
            <w:pPr>
              <w:jc w:val="both"/>
              <w:rPr>
                <w:rFonts w:cs="Arial"/>
                <w:bCs/>
                <w:sz w:val="22"/>
                <w:szCs w:val="22"/>
                <w:lang w:val="en-GB" w:eastAsia="ru-RU"/>
              </w:rPr>
            </w:pPr>
            <w:r>
              <w:rPr>
                <w:rFonts w:cs="Arial"/>
                <w:b/>
                <w:bCs/>
                <w:sz w:val="22"/>
                <w:szCs w:val="22"/>
                <w:lang w:val="en-GB" w:eastAsia="ru-RU"/>
              </w:rPr>
              <w:t xml:space="preserve">Total (zone) </w:t>
            </w:r>
          </w:p>
        </w:tc>
        <w:tc>
          <w:tcPr>
            <w:tcW w:w="2349" w:type="dxa"/>
            <w:vAlign w:val="center"/>
          </w:tcPr>
          <w:p w:rsidR="006378A3" w:rsidRDefault="006378A3" w:rsidP="002E01ED">
            <w:pPr>
              <w:jc w:val="right"/>
              <w:rPr>
                <w:rFonts w:cs="Arial"/>
                <w:bCs/>
                <w:sz w:val="22"/>
                <w:szCs w:val="22"/>
                <w:lang w:val="en-GB" w:eastAsia="ru-RU"/>
              </w:rPr>
            </w:pPr>
            <w:r>
              <w:rPr>
                <w:rFonts w:cs="Arial"/>
                <w:b/>
                <w:bCs/>
                <w:sz w:val="22"/>
                <w:szCs w:val="22"/>
                <w:lang w:val="en-GB" w:eastAsia="ru-RU"/>
              </w:rPr>
              <w:t>60354,9</w:t>
            </w:r>
          </w:p>
        </w:tc>
        <w:tc>
          <w:tcPr>
            <w:tcW w:w="1710" w:type="dxa"/>
            <w:vAlign w:val="center"/>
          </w:tcPr>
          <w:p w:rsidR="006378A3" w:rsidRDefault="006378A3" w:rsidP="002E01ED">
            <w:pPr>
              <w:jc w:val="right"/>
              <w:rPr>
                <w:rFonts w:cs="Arial"/>
                <w:b/>
                <w:bCs/>
                <w:sz w:val="22"/>
                <w:szCs w:val="22"/>
                <w:lang w:val="en-GB" w:eastAsia="ru-RU"/>
              </w:rPr>
            </w:pPr>
            <w:r>
              <w:rPr>
                <w:rFonts w:cs="Arial"/>
                <w:b/>
                <w:sz w:val="22"/>
                <w:szCs w:val="22"/>
                <w:lang w:val="en-GB" w:eastAsia="ru-RU"/>
              </w:rPr>
              <w:t>100,0</w:t>
            </w:r>
          </w:p>
        </w:tc>
      </w:tr>
    </w:tbl>
    <w:p w:rsidR="006378A3" w:rsidRDefault="006378A3" w:rsidP="006378A3">
      <w:pPr>
        <w:jc w:val="both"/>
        <w:rPr>
          <w:rFonts w:cs="Arial"/>
          <w:u w:val="single"/>
          <w:lang w:val="en-GB"/>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ab/>
        <w:t>Ecological imbalance fund is significantly affected by land use, leading to a depletion of wild flora and fauna.</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ab/>
        <w:t>The main impact of anthropogenic factors comes from the land degradation, soil contamination and agricultural development.</w:t>
      </w:r>
    </w:p>
    <w:p w:rsidR="006378A3" w:rsidRDefault="006378A3" w:rsidP="00637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r>
        <w:rPr>
          <w:rFonts w:cs="Arial"/>
          <w:lang w:val="en-GB" w:eastAsia="en-US"/>
        </w:rPr>
        <w:tab/>
        <w:t>Soils in cities are polluted due to industrial sources, vehicles. Accidental Pollution is a problem for soil quality.</w:t>
      </w:r>
    </w:p>
    <w:p w:rsidR="00252B38" w:rsidRDefault="00252B38">
      <w:pPr>
        <w:spacing w:before="60" w:after="60" w:line="288" w:lineRule="auto"/>
        <w:jc w:val="both"/>
        <w:rPr>
          <w:b/>
          <w:lang w:val="en-GB"/>
        </w:rPr>
        <w:sectPr w:rsidR="00252B38">
          <w:pgSz w:w="11909" w:h="16834" w:code="9"/>
          <w:pgMar w:top="562" w:right="659" w:bottom="562" w:left="1138" w:header="288" w:footer="0" w:gutter="0"/>
          <w:cols w:space="708"/>
          <w:docGrid w:linePitch="360"/>
        </w:sectPr>
      </w:pPr>
    </w:p>
    <w:p w:rsidR="00252B38" w:rsidRDefault="008C6885">
      <w:pPr>
        <w:pStyle w:val="Title"/>
        <w:numPr>
          <w:ilvl w:val="0"/>
          <w:numId w:val="6"/>
        </w:numPr>
        <w:jc w:val="left"/>
        <w:rPr>
          <w:rFonts w:ascii="Arial" w:hAnsi="Arial" w:cs="Arial"/>
          <w:sz w:val="24"/>
          <w:szCs w:val="24"/>
          <w:lang w:val="en-GB"/>
        </w:rPr>
      </w:pPr>
      <w:bookmarkStart w:id="18" w:name="_Toc419704930"/>
      <w:r>
        <w:rPr>
          <w:rFonts w:ascii="Arial" w:hAnsi="Arial" w:cs="Arial"/>
          <w:sz w:val="24"/>
          <w:szCs w:val="24"/>
          <w:lang w:val="en-GB"/>
        </w:rPr>
        <w:lastRenderedPageBreak/>
        <w:t>ANY EXISTING ENVIRONMENTAL PROBLEMS WHICH ARE RELEVANT TO THE PLAN OR PROGRAMME INCLUDING, IN PARTICULAR, THOSE RELATING TO ANY AREAS OF A PARTICULAR ENVIRONMENTAL IMPORTANCE, SUCH AS AREAS DESIGNATED PURSUANT TO DIRECTIVES 79/409/EEC AND 92/43/EEC</w:t>
      </w:r>
      <w:bookmarkEnd w:id="18"/>
    </w:p>
    <w:p w:rsidR="00252B38" w:rsidRDefault="00252B38">
      <w:pPr>
        <w:autoSpaceDE w:val="0"/>
        <w:autoSpaceDN w:val="0"/>
        <w:adjustRightInd w:val="0"/>
        <w:spacing w:before="60" w:after="60" w:line="288" w:lineRule="auto"/>
        <w:contextualSpacing/>
        <w:jc w:val="both"/>
        <w:rPr>
          <w:rFonts w:eastAsia="EUAlbertina-Regular-Identity-H" w:cs="Arial"/>
          <w:b/>
          <w:lang w:val="en-GB" w:eastAsia="en-US"/>
        </w:rPr>
      </w:pPr>
    </w:p>
    <w:p w:rsidR="008D0E03" w:rsidRDefault="008D0E03" w:rsidP="008D0E03">
      <w:pPr>
        <w:pStyle w:val="Heading1"/>
        <w:rPr>
          <w:rFonts w:ascii="Arial" w:hAnsi="Arial" w:cs="Arial"/>
          <w:sz w:val="24"/>
          <w:szCs w:val="24"/>
          <w:lang w:val="en-GB" w:eastAsia="ro-RO"/>
        </w:rPr>
      </w:pPr>
      <w:bookmarkStart w:id="19" w:name="_Toc419704931"/>
      <w:r>
        <w:rPr>
          <w:rFonts w:ascii="Arial" w:hAnsi="Arial" w:cs="Arial"/>
          <w:sz w:val="24"/>
          <w:szCs w:val="24"/>
          <w:lang w:val="en-GB" w:eastAsia="ro-RO"/>
        </w:rPr>
        <w:t>ROMÂNIA</w:t>
      </w:r>
      <w:bookmarkEnd w:id="19"/>
    </w:p>
    <w:p w:rsidR="008D0E03" w:rsidRDefault="008D0E03" w:rsidP="008D0E03">
      <w:pPr>
        <w:autoSpaceDE w:val="0"/>
        <w:autoSpaceDN w:val="0"/>
        <w:adjustRightInd w:val="0"/>
        <w:spacing w:before="60" w:after="60" w:line="288" w:lineRule="auto"/>
        <w:ind w:firstLine="709"/>
        <w:contextualSpacing/>
        <w:jc w:val="both"/>
        <w:rPr>
          <w:rFonts w:eastAsia="EUAlbertina-Regular-Identity-H" w:cs="Arial"/>
        </w:rPr>
      </w:pPr>
      <w:r>
        <w:rPr>
          <w:rFonts w:eastAsia="EUAlbertina-Regular-Identity-H" w:cs="Arial"/>
        </w:rPr>
        <w:t xml:space="preserve">Information regarding Site of Community Importance and Special Protection Areas from the territory of four counties in the eligible area were taken from the MMAP web site- </w:t>
      </w:r>
      <w:hyperlink r:id="rId26" w:history="1">
        <w:r>
          <w:rPr>
            <w:rStyle w:val="Hyperlink"/>
            <w:rFonts w:eastAsia="EUAlbertina-Regular-Identity-H" w:cs="Arial"/>
          </w:rPr>
          <w:t>http://www.mmediu.ro/articol/date-gis/434</w:t>
        </w:r>
      </w:hyperlink>
      <w:r>
        <w:rPr>
          <w:rFonts w:eastAsia="EUAlbertina-Regular-Identity-H" w:cs="Arial"/>
        </w:rPr>
        <w:t>.</w:t>
      </w:r>
    </w:p>
    <w:p w:rsidR="008D0E03" w:rsidRDefault="008D0E03" w:rsidP="008D0E03">
      <w:pPr>
        <w:autoSpaceDE w:val="0"/>
        <w:autoSpaceDN w:val="0"/>
        <w:adjustRightInd w:val="0"/>
        <w:spacing w:before="60" w:after="60" w:line="288" w:lineRule="auto"/>
        <w:ind w:firstLine="709"/>
        <w:contextualSpacing/>
        <w:jc w:val="both"/>
        <w:rPr>
          <w:rFonts w:eastAsia="EUAlbertina-Regular-Identity-H" w:cs="Arial"/>
        </w:rPr>
      </w:pPr>
      <w:r>
        <w:rPr>
          <w:rFonts w:eastAsia="EUAlbertina-Regular-Identity-H" w:cs="Arial"/>
        </w:rPr>
        <w:t>The photos are from: Environmental Status Report Botoşani, Maramureș, Satu Mare, Suceava and Tulcea for year 2013, published on the websites of Environmental Protection Agencies counties.</w:t>
      </w:r>
    </w:p>
    <w:p w:rsidR="008D0E03" w:rsidRDefault="008D0E03" w:rsidP="008D0E03">
      <w:pPr>
        <w:autoSpaceDE w:val="0"/>
        <w:autoSpaceDN w:val="0"/>
        <w:adjustRightInd w:val="0"/>
        <w:spacing w:before="60" w:after="60" w:line="288" w:lineRule="auto"/>
        <w:contextualSpacing/>
        <w:jc w:val="both"/>
        <w:rPr>
          <w:rFonts w:eastAsia="EUAlbertina-Regular-Identity-H" w:cs="Arial"/>
          <w:b/>
          <w:lang w:val="en-GB" w:eastAsia="en-US"/>
        </w:rPr>
      </w:pPr>
    </w:p>
    <w:p w:rsidR="008D0E03" w:rsidRDefault="008D0E03" w:rsidP="008D0E03">
      <w:pPr>
        <w:autoSpaceDE w:val="0"/>
        <w:autoSpaceDN w:val="0"/>
        <w:adjustRightInd w:val="0"/>
        <w:spacing w:before="60" w:after="60" w:line="288" w:lineRule="auto"/>
        <w:ind w:firstLine="709"/>
        <w:contextualSpacing/>
        <w:jc w:val="both"/>
        <w:rPr>
          <w:rFonts w:eastAsia="EUAlbertina-Regular-Identity-H" w:cs="Arial"/>
          <w:b/>
          <w:i/>
          <w:lang w:val="en-GB" w:eastAsia="en-US"/>
        </w:rPr>
      </w:pPr>
      <w:r>
        <w:rPr>
          <w:rFonts w:eastAsia="EUAlbertina-Regular-Identity-H" w:cs="Arial"/>
          <w:b/>
          <w:i/>
          <w:lang w:val="en-GB" w:eastAsia="en-US"/>
        </w:rPr>
        <w:t>Botoşani County</w:t>
      </w:r>
    </w:p>
    <w:p w:rsidR="008D0E03" w:rsidRDefault="008D0E03" w:rsidP="008D0E03">
      <w:pPr>
        <w:autoSpaceDE w:val="0"/>
        <w:autoSpaceDN w:val="0"/>
        <w:adjustRightInd w:val="0"/>
        <w:spacing w:before="60" w:after="60" w:line="288" w:lineRule="auto"/>
        <w:ind w:left="720"/>
        <w:contextualSpacing/>
        <w:jc w:val="both"/>
        <w:rPr>
          <w:rFonts w:eastAsia="EUAlbertina-Regular-Identity-H" w:cs="Arial"/>
          <w:b/>
          <w:i/>
          <w:lang w:val="en-GB" w:eastAsia="en-US"/>
        </w:rPr>
      </w:pPr>
    </w:p>
    <w:p w:rsidR="008D0E03" w:rsidRDefault="008D0E03" w:rsidP="008D0E03">
      <w:pPr>
        <w:autoSpaceDE w:val="0"/>
        <w:autoSpaceDN w:val="0"/>
        <w:adjustRightInd w:val="0"/>
        <w:spacing w:before="60" w:after="60" w:line="288" w:lineRule="auto"/>
        <w:ind w:firstLine="709"/>
        <w:contextualSpacing/>
        <w:jc w:val="both"/>
        <w:rPr>
          <w:rFonts w:eastAsia="EUAlbertina-Regular-Identity-H" w:cs="Arial"/>
        </w:rPr>
      </w:pPr>
      <w:r>
        <w:rPr>
          <w:rFonts w:eastAsia="EUAlbertina-Regular-Identity-H" w:cs="Arial"/>
        </w:rPr>
        <w:t xml:space="preserve">Botosani County is instituted 7 Site of Commnity Importance, 4 Special Protection Areas and nature reserves. </w:t>
      </w:r>
      <w:r>
        <w:rPr>
          <w:rFonts w:eastAsia="EUAlbertina-Regular-Identity-H" w:cs="Arial"/>
          <w:b/>
        </w:rPr>
        <w:t>Figure 5.1</w:t>
      </w:r>
      <w:r>
        <w:rPr>
          <w:rFonts w:eastAsia="EUAlbertina-Regular-Identity-H" w:cs="Arial"/>
        </w:rPr>
        <w:t xml:space="preserve"> shows the distribution of SCI, SPA and nature reserves in the Botosani County.</w:t>
      </w:r>
    </w:p>
    <w:p w:rsidR="008D0E03" w:rsidRDefault="008D0E03" w:rsidP="008D0E03">
      <w:pPr>
        <w:autoSpaceDE w:val="0"/>
        <w:autoSpaceDN w:val="0"/>
        <w:adjustRightInd w:val="0"/>
        <w:spacing w:before="60" w:after="60" w:line="288" w:lineRule="auto"/>
        <w:ind w:firstLine="709"/>
        <w:contextualSpacing/>
        <w:jc w:val="both"/>
        <w:rPr>
          <w:rFonts w:eastAsia="EUAlbertina-Regular-Identity-H" w:cs="Arial"/>
        </w:rPr>
      </w:pPr>
    </w:p>
    <w:p w:rsidR="008D0E03" w:rsidRDefault="008D0E03" w:rsidP="008D0E03">
      <w:pPr>
        <w:autoSpaceDE w:val="0"/>
        <w:autoSpaceDN w:val="0"/>
        <w:adjustRightInd w:val="0"/>
        <w:spacing w:before="60" w:after="60" w:line="288" w:lineRule="auto"/>
        <w:ind w:firstLine="709"/>
        <w:contextualSpacing/>
        <w:jc w:val="both"/>
        <w:rPr>
          <w:rFonts w:eastAsia="EUAlbertina-Regular-Identity-H" w:cs="Arial"/>
        </w:rPr>
      </w:pPr>
      <w:r>
        <w:rPr>
          <w:rFonts w:eastAsia="EUAlbertina-Regular-Identity-H" w:cs="Arial"/>
        </w:rPr>
        <w:t>Natural Reserves are divided into forest and floristic reserves type.</w:t>
      </w:r>
    </w:p>
    <w:p w:rsidR="008D0E03" w:rsidRDefault="008D0E03" w:rsidP="008D0E03">
      <w:pPr>
        <w:autoSpaceDE w:val="0"/>
        <w:autoSpaceDN w:val="0"/>
        <w:adjustRightInd w:val="0"/>
        <w:spacing w:before="60" w:after="60" w:line="288" w:lineRule="auto"/>
        <w:ind w:firstLine="709"/>
        <w:contextualSpacing/>
        <w:jc w:val="both"/>
        <w:rPr>
          <w:rFonts w:eastAsia="EUAlbertina-Regular-Identity-H" w:cs="Arial"/>
        </w:rPr>
      </w:pPr>
    </w:p>
    <w:p w:rsidR="008D0E03" w:rsidRDefault="008D0E03" w:rsidP="008D0E03">
      <w:pPr>
        <w:numPr>
          <w:ilvl w:val="0"/>
          <w:numId w:val="122"/>
        </w:numPr>
        <w:autoSpaceDE w:val="0"/>
        <w:autoSpaceDN w:val="0"/>
        <w:adjustRightInd w:val="0"/>
        <w:spacing w:before="60" w:after="60" w:line="288" w:lineRule="auto"/>
        <w:contextualSpacing/>
        <w:jc w:val="both"/>
        <w:rPr>
          <w:rFonts w:eastAsia="EUAlbertina-Regular-Identity-H" w:cs="Arial"/>
          <w:b/>
        </w:rPr>
      </w:pPr>
      <w:r>
        <w:rPr>
          <w:rFonts w:eastAsia="EUAlbertina-Regular-Identity-H" w:cs="Arial"/>
          <w:b/>
        </w:rPr>
        <w:t>Forest type</w:t>
      </w:r>
    </w:p>
    <w:p w:rsidR="008D0E03" w:rsidRDefault="008D0E03" w:rsidP="008D0E03">
      <w:pPr>
        <w:numPr>
          <w:ilvl w:val="0"/>
          <w:numId w:val="123"/>
        </w:numPr>
        <w:autoSpaceDE w:val="0"/>
        <w:autoSpaceDN w:val="0"/>
        <w:adjustRightInd w:val="0"/>
        <w:spacing w:before="60" w:after="60" w:line="288" w:lineRule="auto"/>
        <w:contextualSpacing/>
        <w:jc w:val="both"/>
        <w:rPr>
          <w:rFonts w:eastAsia="EUAlbertina-Regular-Identity-H" w:cs="Arial"/>
        </w:rPr>
      </w:pPr>
      <w:r>
        <w:rPr>
          <w:rFonts w:eastAsia="EUAlbertina-Regular-Identity-H" w:cs="Arial"/>
        </w:rPr>
        <w:t>Tudora Forest</w:t>
      </w:r>
      <w:r>
        <w:rPr>
          <w:rFonts w:eastAsia="EUAlbertina-Regular-Identity-H" w:cs="Arial"/>
        </w:rPr>
        <w:tab/>
      </w:r>
      <w:r>
        <w:rPr>
          <w:rFonts w:eastAsia="EUAlbertina-Regular-Identity-H" w:cs="Arial"/>
        </w:rPr>
        <w:tab/>
      </w:r>
      <w:r>
        <w:rPr>
          <w:rFonts w:eastAsia="EUAlbertina-Regular-Identity-H" w:cs="Arial"/>
        </w:rPr>
        <w:tab/>
        <w:t xml:space="preserve">       119,0 ha; </w:t>
      </w:r>
    </w:p>
    <w:p w:rsidR="008D0E03" w:rsidRDefault="008D0E03" w:rsidP="008D0E03">
      <w:pPr>
        <w:numPr>
          <w:ilvl w:val="0"/>
          <w:numId w:val="123"/>
        </w:numPr>
        <w:autoSpaceDE w:val="0"/>
        <w:autoSpaceDN w:val="0"/>
        <w:adjustRightInd w:val="0"/>
        <w:spacing w:before="60" w:after="60" w:line="288" w:lineRule="auto"/>
        <w:contextualSpacing/>
        <w:jc w:val="both"/>
        <w:rPr>
          <w:rFonts w:eastAsia="EUAlbertina-Regular-Identity-H" w:cs="Arial"/>
        </w:rPr>
      </w:pPr>
      <w:r>
        <w:rPr>
          <w:rFonts w:eastAsia="EUAlbertina-Regular-Identity-H" w:cs="Arial"/>
        </w:rPr>
        <w:t>Ciornohal Forest</w:t>
      </w:r>
      <w:r>
        <w:rPr>
          <w:rFonts w:eastAsia="EUAlbertina-Regular-Identity-H" w:cs="Arial"/>
        </w:rPr>
        <w:tab/>
      </w:r>
      <w:r>
        <w:rPr>
          <w:rFonts w:eastAsia="EUAlbertina-Regular-Identity-H" w:cs="Arial"/>
        </w:rPr>
        <w:tab/>
      </w:r>
      <w:r>
        <w:rPr>
          <w:rFonts w:eastAsia="EUAlbertina-Regular-Identity-H" w:cs="Arial"/>
        </w:rPr>
        <w:tab/>
        <w:t xml:space="preserve">         76,5 ha; </w:t>
      </w:r>
    </w:p>
    <w:p w:rsidR="008D0E03" w:rsidRDefault="008D0E03" w:rsidP="008D0E03">
      <w:pPr>
        <w:numPr>
          <w:ilvl w:val="0"/>
          <w:numId w:val="123"/>
        </w:numPr>
        <w:autoSpaceDE w:val="0"/>
        <w:autoSpaceDN w:val="0"/>
        <w:adjustRightInd w:val="0"/>
        <w:spacing w:before="60" w:after="60" w:line="288" w:lineRule="auto"/>
        <w:contextualSpacing/>
        <w:jc w:val="both"/>
        <w:rPr>
          <w:rFonts w:eastAsia="EUAlbertina-Regular-Identity-H" w:cs="Arial"/>
        </w:rPr>
      </w:pPr>
      <w:r>
        <w:rPr>
          <w:rFonts w:eastAsia="EUAlbertina-Regular-Identity-H" w:cs="Arial"/>
        </w:rPr>
        <w:t xml:space="preserve">Arinis from Horlăceni                             5,0 ha; </w:t>
      </w:r>
    </w:p>
    <w:p w:rsidR="008D0E03" w:rsidRDefault="008D0E03" w:rsidP="008D0E03">
      <w:pPr>
        <w:numPr>
          <w:ilvl w:val="0"/>
          <w:numId w:val="123"/>
        </w:numPr>
        <w:autoSpaceDE w:val="0"/>
        <w:autoSpaceDN w:val="0"/>
        <w:adjustRightInd w:val="0"/>
        <w:spacing w:before="60" w:after="60" w:line="288" w:lineRule="auto"/>
        <w:contextualSpacing/>
        <w:jc w:val="both"/>
        <w:rPr>
          <w:rFonts w:eastAsia="EUAlbertina-Regular-Identity-H" w:cs="Arial"/>
        </w:rPr>
      </w:pPr>
      <w:r>
        <w:rPr>
          <w:rFonts w:eastAsia="EUAlbertina-Regular-Identity-H" w:cs="Arial"/>
        </w:rPr>
        <w:t xml:space="preserve">Secular Fagetul Stühle                           0, 5 ha. </w:t>
      </w:r>
    </w:p>
    <w:p w:rsidR="008D0E03" w:rsidRDefault="008D0E03" w:rsidP="008D0E03">
      <w:pPr>
        <w:autoSpaceDE w:val="0"/>
        <w:autoSpaceDN w:val="0"/>
        <w:adjustRightInd w:val="0"/>
        <w:spacing w:before="60" w:after="60" w:line="288" w:lineRule="auto"/>
        <w:ind w:firstLine="709"/>
        <w:contextualSpacing/>
        <w:jc w:val="both"/>
        <w:rPr>
          <w:rFonts w:eastAsia="EUAlbertina-Regular-Identity-H" w:cs="Arial"/>
        </w:rPr>
      </w:pPr>
    </w:p>
    <w:p w:rsidR="008D0E03" w:rsidRDefault="008D0E03" w:rsidP="008D0E03">
      <w:pPr>
        <w:numPr>
          <w:ilvl w:val="0"/>
          <w:numId w:val="122"/>
        </w:numPr>
        <w:autoSpaceDE w:val="0"/>
        <w:autoSpaceDN w:val="0"/>
        <w:adjustRightInd w:val="0"/>
        <w:spacing w:before="60" w:after="60" w:line="288" w:lineRule="auto"/>
        <w:contextualSpacing/>
        <w:jc w:val="both"/>
        <w:rPr>
          <w:rFonts w:eastAsia="EUAlbertina-Regular-Identity-H" w:cs="Arial"/>
          <w:b/>
        </w:rPr>
      </w:pPr>
      <w:r>
        <w:rPr>
          <w:rFonts w:eastAsia="EUAlbertina-Regular-Identity-H" w:cs="Arial"/>
          <w:b/>
        </w:rPr>
        <w:t>Floristic type</w:t>
      </w:r>
    </w:p>
    <w:p w:rsidR="008D0E03" w:rsidRDefault="008D0E03" w:rsidP="008D0E03">
      <w:pPr>
        <w:numPr>
          <w:ilvl w:val="0"/>
          <w:numId w:val="124"/>
        </w:numPr>
        <w:autoSpaceDE w:val="0"/>
        <w:autoSpaceDN w:val="0"/>
        <w:adjustRightInd w:val="0"/>
        <w:spacing w:before="60" w:after="60" w:line="288" w:lineRule="auto"/>
        <w:contextualSpacing/>
        <w:jc w:val="both"/>
        <w:rPr>
          <w:rFonts w:eastAsia="EUAlbertina-Regular-Identity-H" w:cs="Arial"/>
        </w:rPr>
      </w:pPr>
      <w:r>
        <w:rPr>
          <w:rFonts w:eastAsia="EUAlbertina-Regular-Identity-H" w:cs="Arial"/>
        </w:rPr>
        <w:t>Rabies from Dersca ( Lozna )</w:t>
      </w:r>
      <w:r>
        <w:rPr>
          <w:rFonts w:eastAsia="EUAlbertina-Regular-Identity-H" w:cs="Arial"/>
        </w:rPr>
        <w:tab/>
        <w:t xml:space="preserve">        10,0 ha; </w:t>
      </w:r>
    </w:p>
    <w:p w:rsidR="008D0E03" w:rsidRDefault="008D0E03" w:rsidP="008D0E03">
      <w:pPr>
        <w:numPr>
          <w:ilvl w:val="0"/>
          <w:numId w:val="124"/>
        </w:numPr>
        <w:autoSpaceDE w:val="0"/>
        <w:autoSpaceDN w:val="0"/>
        <w:adjustRightInd w:val="0"/>
        <w:spacing w:before="60" w:after="60" w:line="288" w:lineRule="auto"/>
        <w:contextualSpacing/>
        <w:jc w:val="both"/>
        <w:rPr>
          <w:rFonts w:eastAsia="EUAlbertina-Regular-Identity-H" w:cs="Arial"/>
        </w:rPr>
      </w:pPr>
      <w:r>
        <w:rPr>
          <w:rFonts w:eastAsia="EUAlbertina-Regular-Identity-H" w:cs="Arial"/>
        </w:rPr>
        <w:t>Bucecea ponds Siret</w:t>
      </w:r>
      <w:r>
        <w:rPr>
          <w:rFonts w:eastAsia="EUAlbertina-Regular-Identity-H" w:cs="Arial"/>
        </w:rPr>
        <w:tab/>
      </w:r>
      <w:r>
        <w:rPr>
          <w:rFonts w:eastAsia="EUAlbertina-Regular-Identity-H" w:cs="Arial"/>
        </w:rPr>
        <w:tab/>
        <w:t xml:space="preserve">     </w:t>
      </w:r>
      <w:r>
        <w:rPr>
          <w:rFonts w:eastAsia="EUAlbertina-Regular-Identity-H" w:cs="Arial"/>
        </w:rPr>
        <w:tab/>
        <w:t xml:space="preserve">2,0 ha; </w:t>
      </w:r>
    </w:p>
    <w:p w:rsidR="008D0E03" w:rsidRDefault="008D0E03" w:rsidP="008D0E03">
      <w:pPr>
        <w:numPr>
          <w:ilvl w:val="0"/>
          <w:numId w:val="124"/>
        </w:numPr>
        <w:autoSpaceDE w:val="0"/>
        <w:autoSpaceDN w:val="0"/>
        <w:adjustRightInd w:val="0"/>
        <w:spacing w:before="60" w:after="60" w:line="288" w:lineRule="auto"/>
        <w:contextualSpacing/>
        <w:jc w:val="both"/>
        <w:rPr>
          <w:rFonts w:eastAsia="EUAlbertina-Regular-Identity-H" w:cs="Arial"/>
        </w:rPr>
      </w:pPr>
      <w:r>
        <w:rPr>
          <w:rFonts w:eastAsia="EUAlbertina-Regular-Identity-H" w:cs="Arial"/>
        </w:rPr>
        <w:t>Floristic Reserve Rock - Ştefăneşti</w:t>
      </w:r>
      <w:r>
        <w:rPr>
          <w:rFonts w:eastAsia="EUAlbertina-Regular-Identity-H" w:cs="Arial"/>
        </w:rPr>
        <w:tab/>
        <w:t xml:space="preserve">1,0 ha; </w:t>
      </w:r>
    </w:p>
    <w:p w:rsidR="008D0E03" w:rsidRDefault="008D0E03" w:rsidP="008D0E03">
      <w:pPr>
        <w:numPr>
          <w:ilvl w:val="0"/>
          <w:numId w:val="124"/>
        </w:numPr>
        <w:autoSpaceDE w:val="0"/>
        <w:autoSpaceDN w:val="0"/>
        <w:adjustRightInd w:val="0"/>
        <w:spacing w:before="60" w:after="60" w:line="288" w:lineRule="auto"/>
        <w:contextualSpacing/>
        <w:jc w:val="both"/>
        <w:rPr>
          <w:rFonts w:eastAsia="EUAlbertina-Regular-Identity-H" w:cs="Arial"/>
        </w:rPr>
      </w:pPr>
      <w:r>
        <w:rPr>
          <w:rFonts w:eastAsia="EUAlbertina-Regular-Identity-H" w:cs="Arial"/>
        </w:rPr>
        <w:t xml:space="preserve">Floristic Reserve Ripiceni        </w:t>
      </w:r>
      <w:r>
        <w:rPr>
          <w:rFonts w:eastAsia="EUAlbertina-Regular-Identity-H" w:cs="Arial"/>
        </w:rPr>
        <w:tab/>
      </w:r>
      <w:r>
        <w:rPr>
          <w:rFonts w:eastAsia="EUAlbertina-Regular-Identity-H" w:cs="Arial"/>
        </w:rPr>
        <w:tab/>
        <w:t xml:space="preserve">1, 0 ha. </w:t>
      </w:r>
    </w:p>
    <w:p w:rsidR="008D0E03" w:rsidRDefault="008D0E03" w:rsidP="008D0E03">
      <w:pPr>
        <w:rPr>
          <w:snapToGrid w:val="0"/>
          <w:position w:val="-6"/>
          <w:lang w:val="en-GB"/>
        </w:rPr>
      </w:pPr>
    </w:p>
    <w:p w:rsidR="008D0E03" w:rsidRDefault="008D0E03" w:rsidP="008D0E03">
      <w:pPr>
        <w:rPr>
          <w:snapToGrid w:val="0"/>
          <w:position w:val="-6"/>
          <w:lang w:val="en-GB"/>
        </w:rPr>
      </w:pPr>
    </w:p>
    <w:p w:rsidR="008D0E03" w:rsidRDefault="008D0E03" w:rsidP="008D0E03">
      <w:pPr>
        <w:rPr>
          <w:snapToGrid w:val="0"/>
          <w:position w:val="-6"/>
          <w:lang w:val="en-GB"/>
        </w:rPr>
      </w:pPr>
    </w:p>
    <w:p w:rsidR="008D0E03" w:rsidRDefault="008D0E03" w:rsidP="008D0E03">
      <w:pPr>
        <w:rPr>
          <w:snapToGrid w:val="0"/>
          <w:position w:val="-6"/>
          <w:lang w:val="en-GB"/>
        </w:rPr>
        <w:sectPr w:rsidR="008D0E03">
          <w:pgSz w:w="11909" w:h="16834" w:code="9"/>
          <w:pgMar w:top="562" w:right="659" w:bottom="562" w:left="1138" w:header="288" w:footer="0" w:gutter="0"/>
          <w:cols w:space="708"/>
          <w:docGrid w:linePitch="360"/>
        </w:sectPr>
      </w:pPr>
    </w:p>
    <w:p w:rsidR="008D0E03" w:rsidRDefault="008D0E03" w:rsidP="008D0E03">
      <w:pPr>
        <w:rPr>
          <w:snapToGrid w:val="0"/>
          <w:position w:val="-6"/>
          <w:lang w:val="en-GB"/>
        </w:rPr>
      </w:pPr>
    </w:p>
    <w:p w:rsidR="008D0E03" w:rsidRDefault="008D0E03" w:rsidP="008D0E03">
      <w:pPr>
        <w:rPr>
          <w:rFonts w:eastAsia="EUAlbertina-Regular-Identity-H" w:cs="Arial"/>
          <w:b/>
          <w:lang w:val="en-GB" w:eastAsia="en-US"/>
        </w:rPr>
      </w:pPr>
    </w:p>
    <w:p w:rsidR="008D0E03" w:rsidRDefault="008D0E03" w:rsidP="008D0E03">
      <w:pPr>
        <w:jc w:val="center"/>
        <w:rPr>
          <w:snapToGrid w:val="0"/>
          <w:position w:val="-6"/>
          <w:lang w:val="en-GB"/>
        </w:rPr>
        <w:sectPr w:rsidR="008D0E03">
          <w:headerReference w:type="default" r:id="rId27"/>
          <w:footerReference w:type="default" r:id="rId28"/>
          <w:pgSz w:w="16834" w:h="11909" w:orient="landscape" w:code="9"/>
          <w:pgMar w:top="1138" w:right="562" w:bottom="475" w:left="562" w:header="288" w:footer="0" w:gutter="0"/>
          <w:cols w:space="708"/>
          <w:docGrid w:linePitch="360"/>
        </w:sectPr>
      </w:pPr>
      <w:r w:rsidRPr="002E01ED">
        <w:rPr>
          <w:rFonts w:eastAsia="EUAlbertina-Regular-Identity-H" w:cs="Arial"/>
          <w:b/>
          <w:noProof/>
          <w:lang w:val="en-US" w:eastAsia="en-US"/>
        </w:rPr>
        <w:drawing>
          <wp:inline distT="0" distB="0" distL="0" distR="0" wp14:anchorId="68316381" wp14:editId="49C33CC8">
            <wp:extent cx="8134350" cy="5759450"/>
            <wp:effectExtent l="0" t="0" r="0" b="0"/>
            <wp:docPr id="25" name="Imagine 25" descr="SEA_Botosan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A_Botosani_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134350" cy="5759450"/>
                    </a:xfrm>
                    <a:prstGeom prst="rect">
                      <a:avLst/>
                    </a:prstGeom>
                    <a:noFill/>
                    <a:ln>
                      <a:noFill/>
                    </a:ln>
                  </pic:spPr>
                </pic:pic>
              </a:graphicData>
            </a:graphic>
          </wp:inline>
        </w:drawing>
      </w:r>
    </w:p>
    <w:p w:rsidR="008D0E03" w:rsidRDefault="008D0E03" w:rsidP="008D0E03">
      <w:pPr>
        <w:numPr>
          <w:ilvl w:val="0"/>
          <w:numId w:val="8"/>
        </w:numPr>
        <w:autoSpaceDE w:val="0"/>
        <w:autoSpaceDN w:val="0"/>
        <w:adjustRightInd w:val="0"/>
        <w:spacing w:before="60" w:after="60" w:line="288" w:lineRule="auto"/>
        <w:jc w:val="both"/>
        <w:rPr>
          <w:rFonts w:eastAsia="Calibri" w:cs="Arial"/>
          <w:color w:val="000000"/>
          <w:lang w:val="en-GB"/>
        </w:rPr>
      </w:pPr>
      <w:r>
        <w:rPr>
          <w:rFonts w:eastAsia="Calibri" w:cs="Arial"/>
          <w:b/>
          <w:bCs/>
          <w:color w:val="000000"/>
          <w:lang w:val="en-GB"/>
        </w:rPr>
        <w:lastRenderedPageBreak/>
        <w:t xml:space="preserve">SPECIAL PROTECTION AREAS –SPA </w:t>
      </w:r>
    </w:p>
    <w:p w:rsidR="008D0E03" w:rsidRDefault="008D0E03" w:rsidP="008D0E03">
      <w:pPr>
        <w:autoSpaceDE w:val="0"/>
        <w:autoSpaceDN w:val="0"/>
        <w:adjustRightInd w:val="0"/>
        <w:spacing w:before="60" w:after="60" w:line="288" w:lineRule="auto"/>
        <w:ind w:left="1004"/>
        <w:jc w:val="both"/>
        <w:rPr>
          <w:rFonts w:eastAsia="Calibri" w:cs="Arial"/>
          <w:color w:val="000000"/>
          <w:lang w:val="en-GB"/>
        </w:rPr>
      </w:pP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 xml:space="preserve">In Botosani County 4 SPA are declared. </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 xml:space="preserve">The total declared area is 29453, 68 ha. </w:t>
      </w:r>
    </w:p>
    <w:p w:rsidR="008D0E03" w:rsidRDefault="008D0E03" w:rsidP="008D0E03">
      <w:pPr>
        <w:autoSpaceDE w:val="0"/>
        <w:autoSpaceDN w:val="0"/>
        <w:adjustRightInd w:val="0"/>
        <w:spacing w:before="60" w:after="60" w:line="288" w:lineRule="auto"/>
        <w:jc w:val="both"/>
        <w:rPr>
          <w:rFonts w:eastAsia="Calibri" w:cs="Arial"/>
          <w:color w:val="000000"/>
          <w:lang w:val="en-GB"/>
        </w:rPr>
      </w:pPr>
    </w:p>
    <w:p w:rsidR="008D0E03" w:rsidRDefault="008D0E03" w:rsidP="008D0E03">
      <w:pPr>
        <w:numPr>
          <w:ilvl w:val="0"/>
          <w:numId w:val="7"/>
        </w:numPr>
        <w:autoSpaceDE w:val="0"/>
        <w:autoSpaceDN w:val="0"/>
        <w:adjustRightInd w:val="0"/>
        <w:spacing w:before="60" w:after="60" w:line="288" w:lineRule="auto"/>
        <w:ind w:left="1080"/>
        <w:jc w:val="both"/>
        <w:rPr>
          <w:rFonts w:eastAsia="Calibri" w:cs="Arial"/>
          <w:color w:val="000000"/>
          <w:lang w:val="en-GB"/>
        </w:rPr>
      </w:pPr>
      <w:r>
        <w:rPr>
          <w:rFonts w:eastAsia="Calibri" w:cs="Arial"/>
          <w:b/>
          <w:bCs/>
          <w:color w:val="000000"/>
          <w:lang w:val="en-GB"/>
        </w:rPr>
        <w:t xml:space="preserve">ROSPA0058  Lake Stânca Costeşti </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 xml:space="preserve">Location – part from Stefanesti city and Ripiceni and Manoleasa municipality. </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Protected species : 44 species of wild birds mentioned in Annex 1 of the Birds Directive, spotted eagle (Aquila clanga ), yellow heron (Ardeola ralloides), the diver winter( Podiceps auritus) , ferruginous duck (Aythya nyroca) , honey buzzard ( Penis auritus ) .</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Surface: 2161 ha.</w:t>
      </w:r>
    </w:p>
    <w:p w:rsidR="008D0E03" w:rsidRDefault="008D0E03" w:rsidP="008D0E03">
      <w:pPr>
        <w:autoSpaceDE w:val="0"/>
        <w:autoSpaceDN w:val="0"/>
        <w:adjustRightInd w:val="0"/>
        <w:spacing w:before="60" w:after="60" w:line="288" w:lineRule="auto"/>
        <w:jc w:val="center"/>
        <w:rPr>
          <w:rFonts w:eastAsia="EUAlbertina-Regular-Identity-H" w:cs="Arial"/>
          <w:b/>
          <w:lang w:val="en-GB" w:eastAsia="en-US"/>
        </w:rPr>
      </w:pPr>
      <w:r w:rsidRPr="002E01ED">
        <w:rPr>
          <w:rFonts w:eastAsia="EUAlbertina-Regular-Identity-H" w:cs="Arial"/>
          <w:b/>
          <w:noProof/>
          <w:lang w:val="en-US" w:eastAsia="en-US"/>
        </w:rPr>
        <w:drawing>
          <wp:inline distT="0" distB="0" distL="0" distR="0" wp14:anchorId="7066D589" wp14:editId="341AD6FD">
            <wp:extent cx="2633345" cy="1865630"/>
            <wp:effectExtent l="0" t="0" r="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33345" cy="1865630"/>
                    </a:xfrm>
                    <a:prstGeom prst="rect">
                      <a:avLst/>
                    </a:prstGeom>
                    <a:noFill/>
                    <a:ln>
                      <a:noFill/>
                    </a:ln>
                  </pic:spPr>
                </pic:pic>
              </a:graphicData>
            </a:graphic>
          </wp:inline>
        </w:drawing>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numPr>
          <w:ilvl w:val="0"/>
          <w:numId w:val="7"/>
        </w:numPr>
        <w:autoSpaceDE w:val="0"/>
        <w:autoSpaceDN w:val="0"/>
        <w:adjustRightInd w:val="0"/>
        <w:spacing w:before="60" w:after="60" w:line="288" w:lineRule="auto"/>
        <w:ind w:left="1080"/>
        <w:jc w:val="both"/>
        <w:rPr>
          <w:rFonts w:eastAsia="Calibri" w:cs="Arial"/>
          <w:color w:val="000000"/>
          <w:lang w:val="en-GB"/>
        </w:rPr>
      </w:pPr>
      <w:r>
        <w:rPr>
          <w:rFonts w:eastAsia="Calibri" w:cs="Arial"/>
          <w:b/>
          <w:bCs/>
          <w:color w:val="000000"/>
          <w:lang w:val="en-GB"/>
        </w:rPr>
        <w:t>ROSPA0049 - Valea Ibănesei-Başeului-Podrigăi Ponds</w:t>
      </w:r>
    </w:p>
    <w:p w:rsidR="008D0E03" w:rsidRDefault="008D0E03" w:rsidP="008D0E03">
      <w:pPr>
        <w:autoSpaceDE w:val="0"/>
        <w:autoSpaceDN w:val="0"/>
        <w:adjustRightInd w:val="0"/>
        <w:spacing w:before="60" w:after="60" w:line="288" w:lineRule="auto"/>
        <w:ind w:left="1080"/>
        <w:jc w:val="both"/>
        <w:rPr>
          <w:rFonts w:eastAsia="Calibri" w:cs="Arial"/>
          <w:color w:val="000000"/>
          <w:lang w:val="en-GB"/>
        </w:rPr>
      </w:pP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Location</w:t>
      </w:r>
      <w:r>
        <w:rPr>
          <w:rFonts w:eastAsia="Calibri" w:cs="Arial"/>
          <w:b/>
          <w:bCs/>
          <w:color w:val="000000"/>
          <w:lang w:val="en-GB"/>
        </w:rPr>
        <w:t xml:space="preserve">- </w:t>
      </w:r>
      <w:r>
        <w:rPr>
          <w:rFonts w:eastAsia="Calibri" w:cs="Arial"/>
          <w:bCs/>
          <w:color w:val="000000"/>
          <w:lang w:val="en-GB"/>
        </w:rPr>
        <w:t>part of</w:t>
      </w:r>
      <w:r>
        <w:rPr>
          <w:rFonts w:eastAsia="Calibri" w:cs="Arial"/>
          <w:b/>
          <w:bCs/>
          <w:color w:val="000000"/>
          <w:lang w:val="en-GB"/>
        </w:rPr>
        <w:t xml:space="preserve"> </w:t>
      </w:r>
      <w:r>
        <w:rPr>
          <w:rFonts w:eastAsia="Calibri" w:cs="Arial"/>
          <w:color w:val="000000"/>
          <w:lang w:val="en-GB"/>
        </w:rPr>
        <w:t xml:space="preserve">Darabani and Saveni city and Cordăreni,Hăneşti, Hudeşti, Havârna, Mileanca, Vorniceni, Ungureni, Ştiubieni, Vlăsîneşti and  Conceşti Municipality. </w:t>
      </w:r>
    </w:p>
    <w:p w:rsidR="008D0E03" w:rsidRDefault="008D0E03" w:rsidP="008D0E03">
      <w:pPr>
        <w:autoSpaceDE w:val="0"/>
        <w:autoSpaceDN w:val="0"/>
        <w:adjustRightInd w:val="0"/>
        <w:spacing w:before="60" w:after="60" w:line="288" w:lineRule="auto"/>
        <w:jc w:val="both"/>
        <w:rPr>
          <w:rFonts w:cs="Arial"/>
          <w:color w:val="000000"/>
        </w:rPr>
      </w:pPr>
      <w:r>
        <w:rPr>
          <w:rFonts w:cs="Arial"/>
          <w:b/>
          <w:color w:val="000000"/>
        </w:rPr>
        <w:t>Pools:</w:t>
      </w:r>
      <w:r>
        <w:rPr>
          <w:rFonts w:cs="Arial"/>
          <w:color w:val="000000"/>
        </w:rPr>
        <w:t xml:space="preserve"> Negreni, Mileanca, Cal Alb, Ibaneasa, Vorniceni, Havirna, Hanesti;</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Protected species</w:t>
      </w:r>
      <w:r>
        <w:rPr>
          <w:rFonts w:eastAsia="Calibri" w:cs="Arial"/>
          <w:color w:val="000000"/>
          <w:lang w:val="en-GB"/>
        </w:rPr>
        <w:t xml:space="preserve"> : 20 species of birds in Annex I of the Birds Directive, Increase gray ( Porzana parva ), great egret ( egret ), heron (Ardea purpura ), Rent pond ( Sterna hirundo ) .</w:t>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r>
        <w:rPr>
          <w:rFonts w:eastAsia="Calibri" w:cs="Arial"/>
          <w:color w:val="000000"/>
          <w:lang w:val="en-GB"/>
        </w:rPr>
        <w:t>Surface: 2705 ha</w:t>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autoSpaceDE w:val="0"/>
        <w:autoSpaceDN w:val="0"/>
        <w:adjustRightInd w:val="0"/>
        <w:spacing w:before="60" w:after="60" w:line="288" w:lineRule="auto"/>
        <w:jc w:val="center"/>
        <w:rPr>
          <w:rFonts w:eastAsia="EUAlbertina-Regular-Identity-H" w:cs="Arial"/>
          <w:b/>
          <w:lang w:val="en-GB" w:eastAsia="en-US"/>
        </w:rPr>
      </w:pPr>
      <w:r w:rsidRPr="002E01ED">
        <w:rPr>
          <w:rFonts w:eastAsia="EUAlbertina-Regular-Identity-H" w:cs="Arial"/>
          <w:b/>
          <w:noProof/>
          <w:lang w:val="en-US" w:eastAsia="en-US"/>
        </w:rPr>
        <w:drawing>
          <wp:inline distT="0" distB="0" distL="0" distR="0" wp14:anchorId="43231C2A" wp14:editId="34FC5F2F">
            <wp:extent cx="4674235" cy="2319020"/>
            <wp:effectExtent l="19050" t="19050" r="12065" b="2413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4235" cy="2319020"/>
                    </a:xfrm>
                    <a:prstGeom prst="rect">
                      <a:avLst/>
                    </a:prstGeom>
                    <a:noFill/>
                    <a:ln w="6350" cmpd="sng">
                      <a:solidFill>
                        <a:srgbClr val="000000"/>
                      </a:solidFill>
                      <a:miter lim="800000"/>
                      <a:headEnd/>
                      <a:tailEnd/>
                    </a:ln>
                    <a:effectLst/>
                  </pic:spPr>
                </pic:pic>
              </a:graphicData>
            </a:graphic>
          </wp:inline>
        </w:drawing>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numPr>
          <w:ilvl w:val="0"/>
          <w:numId w:val="7"/>
        </w:numPr>
        <w:autoSpaceDE w:val="0"/>
        <w:autoSpaceDN w:val="0"/>
        <w:adjustRightInd w:val="0"/>
        <w:spacing w:before="60" w:after="60" w:line="288" w:lineRule="auto"/>
        <w:ind w:left="1080"/>
        <w:jc w:val="both"/>
        <w:rPr>
          <w:rFonts w:eastAsia="Calibri" w:cs="Arial"/>
          <w:color w:val="000000"/>
          <w:lang w:val="en-GB"/>
        </w:rPr>
      </w:pPr>
      <w:r>
        <w:rPr>
          <w:rFonts w:eastAsia="Calibri" w:cs="Arial"/>
          <w:b/>
          <w:bCs/>
          <w:color w:val="000000"/>
          <w:lang w:val="en-GB"/>
        </w:rPr>
        <w:t>ROSPA0110 - Rogojeşti Bucecea Accumulations</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Location</w:t>
      </w:r>
      <w:r>
        <w:rPr>
          <w:rFonts w:eastAsia="Calibri" w:cs="Arial"/>
          <w:color w:val="000000"/>
          <w:lang w:val="en-GB"/>
        </w:rPr>
        <w:t xml:space="preserve">: Botoşani city, Mihăileni Municipality, and territories from Suceava city. </w:t>
      </w:r>
    </w:p>
    <w:p w:rsidR="008D0E03" w:rsidRDefault="008D0E03" w:rsidP="008D0E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ourier New" w:hAnsi="Courier New" w:cs="Courier New"/>
          <w:sz w:val="20"/>
          <w:szCs w:val="20"/>
          <w:lang w:val="en-GB"/>
        </w:rPr>
      </w:pPr>
      <w:r>
        <w:rPr>
          <w:rFonts w:eastAsia="Calibri" w:cs="Arial"/>
          <w:b/>
          <w:color w:val="000000"/>
          <w:lang w:val="en-GB"/>
        </w:rPr>
        <w:t>Protected species</w:t>
      </w:r>
      <w:r>
        <w:rPr>
          <w:rFonts w:eastAsia="Calibri" w:cs="Arial"/>
          <w:color w:val="000000"/>
          <w:lang w:val="en-GB"/>
        </w:rPr>
        <w:t>: 22 species in Annex 1 of the Birds Directive.</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 xml:space="preserve"> Surface: 1537, 38 ha </w:t>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r w:rsidRPr="002E01ED">
        <w:rPr>
          <w:rFonts w:eastAsia="EUAlbertina-Regular-Identity-H" w:cs="Arial"/>
          <w:b/>
          <w:noProof/>
          <w:lang w:val="en-US" w:eastAsia="en-US"/>
        </w:rPr>
        <w:drawing>
          <wp:inline distT="0" distB="0" distL="0" distR="0" wp14:anchorId="00945125" wp14:editId="54F9B2C6">
            <wp:extent cx="5208270" cy="2033905"/>
            <wp:effectExtent l="19050" t="19050" r="11430" b="2349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08270" cy="2033905"/>
                    </a:xfrm>
                    <a:prstGeom prst="rect">
                      <a:avLst/>
                    </a:prstGeom>
                    <a:noFill/>
                    <a:ln w="6350" cmpd="sng">
                      <a:solidFill>
                        <a:srgbClr val="000000"/>
                      </a:solidFill>
                      <a:miter lim="800000"/>
                      <a:headEnd/>
                      <a:tailEnd/>
                    </a:ln>
                    <a:effectLst/>
                  </pic:spPr>
                </pic:pic>
              </a:graphicData>
            </a:graphic>
          </wp:inline>
        </w:drawing>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numPr>
          <w:ilvl w:val="0"/>
          <w:numId w:val="7"/>
        </w:numPr>
        <w:autoSpaceDE w:val="0"/>
        <w:autoSpaceDN w:val="0"/>
        <w:adjustRightInd w:val="0"/>
        <w:spacing w:before="60" w:after="60" w:line="288" w:lineRule="auto"/>
        <w:ind w:left="1080"/>
        <w:jc w:val="both"/>
        <w:rPr>
          <w:rFonts w:eastAsia="Calibri" w:cs="Arial"/>
          <w:color w:val="000000"/>
          <w:lang w:val="en-GB"/>
        </w:rPr>
      </w:pPr>
      <w:r>
        <w:rPr>
          <w:rFonts w:eastAsia="Calibri" w:cs="Arial"/>
          <w:b/>
          <w:bCs/>
          <w:color w:val="000000"/>
          <w:lang w:val="en-GB"/>
        </w:rPr>
        <w:t xml:space="preserve">ROSPA0116 - Dorohoi Şaua Bucecei </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Location</w:t>
      </w:r>
      <w:r>
        <w:rPr>
          <w:rFonts w:eastAsia="Calibri" w:cs="Arial"/>
          <w:color w:val="000000"/>
          <w:lang w:val="en-GB"/>
        </w:rPr>
        <w:t xml:space="preserve">: Territories from Suceava, Iasi and Botosani city. </w:t>
      </w:r>
    </w:p>
    <w:p w:rsidR="008D0E03" w:rsidRDefault="008D0E03" w:rsidP="008D0E03">
      <w:pPr>
        <w:autoSpaceDE w:val="0"/>
        <w:autoSpaceDN w:val="0"/>
        <w:adjustRightInd w:val="0"/>
        <w:spacing w:before="60" w:after="60" w:line="288" w:lineRule="auto"/>
        <w:jc w:val="both"/>
        <w:rPr>
          <w:rFonts w:ascii="Courier New" w:hAnsi="Courier New" w:cs="Courier New"/>
          <w:sz w:val="20"/>
          <w:szCs w:val="20"/>
          <w:lang w:val="en-GB"/>
        </w:rPr>
      </w:pPr>
      <w:r>
        <w:rPr>
          <w:rFonts w:eastAsia="Calibri" w:cs="Arial"/>
          <w:b/>
          <w:color w:val="000000"/>
          <w:lang w:val="en-GB"/>
        </w:rPr>
        <w:t>Protected species</w:t>
      </w:r>
      <w:r>
        <w:rPr>
          <w:rFonts w:eastAsia="Calibri" w:cs="Arial"/>
          <w:color w:val="000000"/>
          <w:lang w:val="en-GB"/>
        </w:rPr>
        <w:t>: 15 species of birds in Annex 1 of the Birds Directive.</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Surface</w:t>
      </w:r>
      <w:r>
        <w:rPr>
          <w:rFonts w:eastAsia="Calibri" w:cs="Arial"/>
          <w:color w:val="000000"/>
          <w:lang w:val="en-GB"/>
        </w:rPr>
        <w:t xml:space="preserve"> - 23050, 3 ha.</w:t>
      </w:r>
    </w:p>
    <w:p w:rsidR="008D0E03" w:rsidRDefault="008D0E03" w:rsidP="008D0E03">
      <w:pPr>
        <w:autoSpaceDE w:val="0"/>
        <w:autoSpaceDN w:val="0"/>
        <w:adjustRightInd w:val="0"/>
        <w:spacing w:before="60" w:after="60" w:line="288" w:lineRule="auto"/>
        <w:jc w:val="both"/>
        <w:rPr>
          <w:rFonts w:eastAsia="Calibri" w:cs="Arial"/>
          <w:color w:val="000000"/>
          <w:lang w:val="en-GB"/>
        </w:rPr>
      </w:pPr>
    </w:p>
    <w:p w:rsidR="008D0E03" w:rsidRDefault="008D0E03" w:rsidP="008D0E03">
      <w:pPr>
        <w:numPr>
          <w:ilvl w:val="0"/>
          <w:numId w:val="8"/>
        </w:numPr>
        <w:autoSpaceDE w:val="0"/>
        <w:autoSpaceDN w:val="0"/>
        <w:adjustRightInd w:val="0"/>
        <w:spacing w:before="60" w:after="60" w:line="288" w:lineRule="auto"/>
        <w:jc w:val="both"/>
        <w:rPr>
          <w:rFonts w:eastAsia="Calibri" w:cs="Arial"/>
          <w:color w:val="000000"/>
          <w:lang w:val="en-GB"/>
        </w:rPr>
      </w:pPr>
      <w:r>
        <w:rPr>
          <w:rFonts w:eastAsia="Calibri" w:cs="Arial"/>
          <w:b/>
          <w:bCs/>
          <w:color w:val="000000"/>
          <w:lang w:val="en-GB"/>
        </w:rPr>
        <w:t xml:space="preserve">SIT OF COMUNITY IMPORTANCE-SCI </w:t>
      </w:r>
    </w:p>
    <w:p w:rsidR="008D0E03" w:rsidRDefault="008D0E03" w:rsidP="008D0E03">
      <w:pPr>
        <w:autoSpaceDE w:val="0"/>
        <w:autoSpaceDN w:val="0"/>
        <w:adjustRightInd w:val="0"/>
        <w:spacing w:before="60" w:after="60" w:line="288" w:lineRule="auto"/>
        <w:ind w:left="1080"/>
        <w:jc w:val="both"/>
        <w:rPr>
          <w:rFonts w:eastAsia="Calibri" w:cs="Arial"/>
          <w:color w:val="000000"/>
          <w:lang w:val="en-GB"/>
        </w:rPr>
      </w:pP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 xml:space="preserve">In Botosani County are </w:t>
      </w:r>
      <w:r>
        <w:rPr>
          <w:rFonts w:eastAsia="Calibri" w:cs="Arial"/>
          <w:b/>
          <w:color w:val="000000"/>
          <w:lang w:val="en-GB"/>
        </w:rPr>
        <w:t xml:space="preserve">7 </w:t>
      </w:r>
      <w:r>
        <w:rPr>
          <w:rFonts w:eastAsia="Calibri" w:cs="Arial"/>
          <w:color w:val="000000"/>
          <w:lang w:val="en-GB"/>
        </w:rPr>
        <w:t xml:space="preserve">Sits of community importance. </w:t>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r>
        <w:rPr>
          <w:rFonts w:eastAsia="Calibri" w:cs="Arial"/>
          <w:b/>
          <w:bCs/>
          <w:color w:val="000000"/>
          <w:lang w:val="en-GB"/>
        </w:rPr>
        <w:t>Total Surface: 16978, 17 ha.</w:t>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numPr>
          <w:ilvl w:val="0"/>
          <w:numId w:val="7"/>
        </w:numPr>
        <w:autoSpaceDE w:val="0"/>
        <w:autoSpaceDN w:val="0"/>
        <w:adjustRightInd w:val="0"/>
        <w:spacing w:before="60" w:after="60" w:line="288" w:lineRule="auto"/>
        <w:ind w:left="1080"/>
        <w:jc w:val="both"/>
        <w:rPr>
          <w:rFonts w:eastAsia="Calibri" w:cs="Arial"/>
          <w:color w:val="000000"/>
          <w:lang w:val="en-GB"/>
        </w:rPr>
      </w:pPr>
      <w:r>
        <w:rPr>
          <w:rFonts w:eastAsia="Calibri" w:cs="Arial"/>
          <w:b/>
          <w:bCs/>
          <w:color w:val="000000"/>
          <w:lang w:val="en-GB"/>
        </w:rPr>
        <w:t xml:space="preserve">ROSCI 0141 -  Ciornohal Forest </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Location:</w:t>
      </w:r>
      <w:r>
        <w:t xml:space="preserve"> </w:t>
      </w:r>
      <w:r>
        <w:rPr>
          <w:rFonts w:eastAsia="Calibri" w:cs="Arial"/>
          <w:color w:val="000000"/>
          <w:lang w:val="en-GB"/>
        </w:rPr>
        <w:t>Călăraşi village;</w:t>
      </w:r>
    </w:p>
    <w:p w:rsidR="008D0E03" w:rsidRDefault="008D0E03" w:rsidP="008D0E03">
      <w:pPr>
        <w:autoSpaceDE w:val="0"/>
        <w:autoSpaceDN w:val="0"/>
        <w:adjustRightInd w:val="0"/>
        <w:spacing w:before="60" w:after="60" w:line="288" w:lineRule="auto"/>
        <w:jc w:val="both"/>
        <w:rPr>
          <w:rFonts w:ascii="Courier New" w:hAnsi="Courier New" w:cs="Courier New"/>
          <w:sz w:val="20"/>
          <w:szCs w:val="20"/>
          <w:lang w:val="en-GB"/>
        </w:rPr>
      </w:pPr>
      <w:r>
        <w:rPr>
          <w:rFonts w:eastAsia="Calibri" w:cs="Arial"/>
          <w:b/>
          <w:color w:val="000000"/>
          <w:lang w:val="en-GB"/>
        </w:rPr>
        <w:t>Community Habitat type:</w:t>
      </w:r>
      <w:r>
        <w:rPr>
          <w:rFonts w:eastAsia="Calibri" w:cs="Arial"/>
          <w:color w:val="000000"/>
          <w:lang w:val="en-GB"/>
        </w:rPr>
        <w:t xml:space="preserve"> Dacian oak and hornbeam forests</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Floristic species of Community interest</w:t>
      </w:r>
      <w:r>
        <w:rPr>
          <w:rFonts w:eastAsia="Calibri" w:cs="Arial"/>
          <w:color w:val="000000"/>
          <w:lang w:val="en-GB"/>
        </w:rPr>
        <w:t>: Iris aphylla ssp hungarica</w:t>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r>
        <w:rPr>
          <w:rFonts w:eastAsia="Calibri" w:cs="Arial"/>
          <w:b/>
          <w:color w:val="000000"/>
          <w:lang w:val="en-GB"/>
        </w:rPr>
        <w:t>Surface:</w:t>
      </w:r>
      <w:r>
        <w:rPr>
          <w:rFonts w:eastAsia="Calibri" w:cs="Arial"/>
          <w:color w:val="000000"/>
          <w:lang w:val="en-GB"/>
        </w:rPr>
        <w:t xml:space="preserve"> 265 ha</w:t>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r w:rsidRPr="002E01ED">
        <w:rPr>
          <w:rFonts w:eastAsia="EUAlbertina-Regular-Identity-H" w:cs="Arial"/>
          <w:b/>
          <w:noProof/>
          <w:lang w:val="en-US" w:eastAsia="en-US"/>
        </w:rPr>
        <w:lastRenderedPageBreak/>
        <w:drawing>
          <wp:inline distT="0" distB="0" distL="0" distR="0" wp14:anchorId="10C041F6" wp14:editId="3AAF4260">
            <wp:extent cx="4491355" cy="1865630"/>
            <wp:effectExtent l="19050" t="19050" r="23495" b="203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91355" cy="1865630"/>
                    </a:xfrm>
                    <a:prstGeom prst="rect">
                      <a:avLst/>
                    </a:prstGeom>
                    <a:noFill/>
                    <a:ln w="6350" cmpd="sng">
                      <a:solidFill>
                        <a:srgbClr val="000000"/>
                      </a:solidFill>
                      <a:miter lim="800000"/>
                      <a:headEnd/>
                      <a:tailEnd/>
                    </a:ln>
                    <a:effectLst/>
                  </pic:spPr>
                </pic:pic>
              </a:graphicData>
            </a:graphic>
          </wp:inline>
        </w:drawing>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numPr>
          <w:ilvl w:val="0"/>
          <w:numId w:val="7"/>
        </w:numPr>
        <w:autoSpaceDE w:val="0"/>
        <w:autoSpaceDN w:val="0"/>
        <w:adjustRightInd w:val="0"/>
        <w:spacing w:before="60" w:after="60" w:line="288" w:lineRule="auto"/>
        <w:ind w:left="1080"/>
        <w:jc w:val="both"/>
        <w:rPr>
          <w:rFonts w:eastAsia="Calibri" w:cs="Arial"/>
          <w:color w:val="000000"/>
          <w:lang w:val="en-GB"/>
        </w:rPr>
      </w:pPr>
      <w:r>
        <w:rPr>
          <w:rFonts w:eastAsia="Calibri" w:cs="Arial"/>
          <w:b/>
          <w:bCs/>
          <w:color w:val="000000"/>
          <w:lang w:val="en-GB"/>
        </w:rPr>
        <w:t xml:space="preserve">ROSCI0076 - Dealul Mare- Hârlău </w:t>
      </w:r>
    </w:p>
    <w:p w:rsidR="008D0E03" w:rsidRDefault="008D0E03" w:rsidP="008D0E03">
      <w:pPr>
        <w:autoSpaceDE w:val="0"/>
        <w:autoSpaceDN w:val="0"/>
        <w:adjustRightInd w:val="0"/>
        <w:spacing w:before="60" w:after="60" w:line="288" w:lineRule="auto"/>
        <w:jc w:val="both"/>
        <w:rPr>
          <w:rFonts w:eastAsia="Calibri" w:cs="Arial"/>
          <w:lang w:val="en-GB"/>
        </w:rPr>
      </w:pPr>
      <w:r>
        <w:rPr>
          <w:rFonts w:cs="Arial"/>
          <w:b/>
        </w:rPr>
        <w:t>Location</w:t>
      </w:r>
      <w:r>
        <w:rPr>
          <w:rFonts w:cs="Arial"/>
        </w:rPr>
        <w:t>: Territories from Botoşani, Iasi and Vaslui counties;</w:t>
      </w:r>
    </w:p>
    <w:p w:rsidR="008D0E03" w:rsidRDefault="008D0E03" w:rsidP="008D0E03">
      <w:pPr>
        <w:autoSpaceDE w:val="0"/>
        <w:autoSpaceDN w:val="0"/>
        <w:adjustRightInd w:val="0"/>
        <w:spacing w:before="60" w:after="60" w:line="288" w:lineRule="auto"/>
        <w:jc w:val="both"/>
        <w:rPr>
          <w:rFonts w:eastAsia="Calibri" w:cs="Arial"/>
          <w:lang w:val="en-GB"/>
        </w:rPr>
      </w:pPr>
      <w:r>
        <w:rPr>
          <w:rFonts w:eastAsia="Calibri" w:cs="Arial"/>
          <w:lang w:val="en-GB"/>
        </w:rPr>
        <w:t xml:space="preserve"> </w:t>
      </w:r>
      <w:r>
        <w:rPr>
          <w:rFonts w:eastAsia="Calibri" w:cs="Arial"/>
          <w:b/>
          <w:lang w:val="en-GB"/>
        </w:rPr>
        <w:t>Types of habitats of Community interest</w:t>
      </w:r>
      <w:r>
        <w:rPr>
          <w:rFonts w:eastAsia="Calibri" w:cs="Arial"/>
          <w:lang w:val="en-GB"/>
        </w:rPr>
        <w:t>: Dacian oak-hornbeam forests, beech forests Fagetum Asperulo.</w:t>
      </w:r>
    </w:p>
    <w:p w:rsidR="008D0E03" w:rsidRDefault="008D0E03" w:rsidP="008D0E03">
      <w:pPr>
        <w:autoSpaceDE w:val="0"/>
        <w:autoSpaceDN w:val="0"/>
        <w:adjustRightInd w:val="0"/>
        <w:spacing w:before="60" w:after="60" w:line="288" w:lineRule="auto"/>
        <w:jc w:val="both"/>
        <w:rPr>
          <w:rFonts w:eastAsia="Calibri" w:cs="Arial"/>
          <w:lang w:val="en-GB"/>
        </w:rPr>
      </w:pPr>
      <w:r>
        <w:rPr>
          <w:rFonts w:eastAsia="Calibri" w:cs="Arial"/>
          <w:b/>
          <w:lang w:val="en-GB"/>
        </w:rPr>
        <w:t>Surface:</w:t>
      </w:r>
      <w:r>
        <w:rPr>
          <w:rFonts w:eastAsia="Calibri" w:cs="Arial"/>
          <w:lang w:val="en-GB"/>
        </w:rPr>
        <w:t xml:space="preserve"> 14565ha pe teritoriul judeţului Botoşani - teritorii din comuna Copălău, Corni, Coşula, Cristeşti, Curteşti Flămânzi, Frumuşica, Tudora, Vlădeni, Vorona.</w:t>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r w:rsidRPr="002E01ED">
        <w:rPr>
          <w:rFonts w:eastAsia="EUAlbertina-Regular-Identity-H" w:cs="Arial"/>
          <w:b/>
          <w:noProof/>
          <w:lang w:val="en-US" w:eastAsia="en-US"/>
        </w:rPr>
        <w:drawing>
          <wp:inline distT="0" distB="0" distL="0" distR="0" wp14:anchorId="667C970C" wp14:editId="54BB8C36">
            <wp:extent cx="4096385" cy="1390015"/>
            <wp:effectExtent l="19050" t="19050" r="18415" b="196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96385" cy="1390015"/>
                    </a:xfrm>
                    <a:prstGeom prst="rect">
                      <a:avLst/>
                    </a:prstGeom>
                    <a:noFill/>
                    <a:ln w="6350" cmpd="sng">
                      <a:solidFill>
                        <a:srgbClr val="000000"/>
                      </a:solidFill>
                      <a:miter lim="800000"/>
                      <a:headEnd/>
                      <a:tailEnd/>
                    </a:ln>
                    <a:effectLst/>
                  </pic:spPr>
                </pic:pic>
              </a:graphicData>
            </a:graphic>
          </wp:inline>
        </w:drawing>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autoSpaceDE w:val="0"/>
        <w:autoSpaceDN w:val="0"/>
        <w:adjustRightInd w:val="0"/>
        <w:spacing w:before="60" w:after="60" w:line="288" w:lineRule="auto"/>
        <w:jc w:val="both"/>
        <w:rPr>
          <w:rFonts w:eastAsia="Calibri" w:cs="Arial"/>
          <w:b/>
          <w:bCs/>
          <w:color w:val="000000"/>
          <w:lang w:val="en-GB"/>
        </w:rPr>
      </w:pPr>
      <w:r>
        <w:rPr>
          <w:rFonts w:eastAsia="Calibri" w:cs="Arial"/>
          <w:b/>
          <w:bCs/>
          <w:color w:val="000000"/>
          <w:lang w:val="en-GB"/>
        </w:rPr>
        <w:t xml:space="preserve">ROSCI0255 Turbăria Lozna (Dersca) </w:t>
      </w:r>
    </w:p>
    <w:p w:rsidR="008D0E03" w:rsidRDefault="008D0E03" w:rsidP="008D0E03">
      <w:pPr>
        <w:autoSpaceDE w:val="0"/>
        <w:autoSpaceDN w:val="0"/>
        <w:adjustRightInd w:val="0"/>
        <w:spacing w:before="60" w:after="60" w:line="288" w:lineRule="auto"/>
        <w:jc w:val="both"/>
        <w:rPr>
          <w:rFonts w:cs="Arial"/>
          <w:b/>
          <w:color w:val="000000"/>
        </w:rPr>
      </w:pPr>
      <w:r>
        <w:rPr>
          <w:rFonts w:cs="Arial"/>
          <w:b/>
          <w:color w:val="000000"/>
        </w:rPr>
        <w:t>Location:  Lozna village</w:t>
      </w:r>
    </w:p>
    <w:p w:rsidR="008D0E03" w:rsidRDefault="008D0E03" w:rsidP="008D0E03">
      <w:pPr>
        <w:autoSpaceDE w:val="0"/>
        <w:autoSpaceDN w:val="0"/>
        <w:adjustRightInd w:val="0"/>
        <w:spacing w:before="60" w:after="60" w:line="288" w:lineRule="auto"/>
        <w:jc w:val="both"/>
        <w:rPr>
          <w:rFonts w:cs="Arial"/>
          <w:color w:val="000000"/>
        </w:rPr>
      </w:pPr>
      <w:r>
        <w:rPr>
          <w:rFonts w:cs="Arial"/>
          <w:b/>
        </w:rPr>
        <w:t>Types of habitats of Community Interest</w:t>
      </w:r>
      <w:r>
        <w:rPr>
          <w:rFonts w:cs="Arial"/>
          <w:b/>
          <w:color w:val="000000"/>
        </w:rPr>
        <w:t xml:space="preserve">: </w:t>
      </w:r>
      <w:r>
        <w:rPr>
          <w:rFonts w:cs="Arial"/>
          <w:color w:val="000000"/>
        </w:rPr>
        <w:t>Natural eutrophic lakes with Hydrocharition or Magnopotamion vegetation and bogs capable of natural regeneration</w:t>
      </w:r>
    </w:p>
    <w:p w:rsidR="008D0E03" w:rsidRDefault="008D0E03" w:rsidP="008D0E03">
      <w:pPr>
        <w:autoSpaceDE w:val="0"/>
        <w:autoSpaceDN w:val="0"/>
        <w:adjustRightInd w:val="0"/>
        <w:spacing w:before="60" w:after="60" w:line="288" w:lineRule="auto"/>
        <w:jc w:val="both"/>
        <w:rPr>
          <w:rFonts w:ascii="Courier New" w:hAnsi="Courier New" w:cs="Courier New"/>
          <w:sz w:val="20"/>
          <w:szCs w:val="20"/>
          <w:lang w:val="en-GB"/>
        </w:rPr>
      </w:pPr>
      <w:r>
        <w:rPr>
          <w:rFonts w:eastAsia="Calibri" w:cs="Arial"/>
          <w:b/>
          <w:color w:val="000000"/>
          <w:lang w:val="en-GB"/>
        </w:rPr>
        <w:t xml:space="preserve">Floristic species of Community interest: </w:t>
      </w:r>
      <w:r>
        <w:rPr>
          <w:rFonts w:eastAsia="Calibri" w:cs="Arial"/>
          <w:color w:val="000000"/>
          <w:lang w:val="en-GB"/>
        </w:rPr>
        <w:t>Angelica palustris</w:t>
      </w:r>
      <w:r>
        <w:rPr>
          <w:rFonts w:cs="Arial"/>
          <w:lang w:val="en-GB"/>
        </w:rPr>
        <w:t>.</w:t>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r>
        <w:rPr>
          <w:rFonts w:eastAsia="Calibri" w:cs="Arial"/>
          <w:b/>
          <w:color w:val="000000"/>
          <w:lang w:val="en-GB"/>
        </w:rPr>
        <w:t>Surface:</w:t>
      </w:r>
      <w:r>
        <w:rPr>
          <w:rFonts w:eastAsia="Calibri" w:cs="Arial"/>
          <w:color w:val="000000"/>
          <w:lang w:val="en-GB"/>
        </w:rPr>
        <w:t xml:space="preserve"> 12 ha</w:t>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r w:rsidRPr="002E01ED">
        <w:rPr>
          <w:rFonts w:eastAsia="EUAlbertina-Regular-Identity-H" w:cs="Arial"/>
          <w:b/>
          <w:noProof/>
          <w:lang w:val="en-US" w:eastAsia="en-US"/>
        </w:rPr>
        <w:drawing>
          <wp:inline distT="0" distB="0" distL="0" distR="0" wp14:anchorId="3F9BFEBC" wp14:editId="5E884F6E">
            <wp:extent cx="5756910" cy="2106930"/>
            <wp:effectExtent l="19050" t="19050" r="15240" b="266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6910" cy="2106930"/>
                    </a:xfrm>
                    <a:prstGeom prst="rect">
                      <a:avLst/>
                    </a:prstGeom>
                    <a:noFill/>
                    <a:ln w="6350" cmpd="sng">
                      <a:solidFill>
                        <a:srgbClr val="000000"/>
                      </a:solidFill>
                      <a:miter lim="800000"/>
                      <a:headEnd/>
                      <a:tailEnd/>
                    </a:ln>
                    <a:effectLst/>
                  </pic:spPr>
                </pic:pic>
              </a:graphicData>
            </a:graphic>
          </wp:inline>
        </w:drawing>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numPr>
          <w:ilvl w:val="0"/>
          <w:numId w:val="7"/>
        </w:numPr>
        <w:autoSpaceDE w:val="0"/>
        <w:autoSpaceDN w:val="0"/>
        <w:adjustRightInd w:val="0"/>
        <w:spacing w:before="60" w:after="60" w:line="288" w:lineRule="auto"/>
        <w:ind w:left="1080"/>
        <w:jc w:val="both"/>
        <w:rPr>
          <w:rFonts w:eastAsia="Calibri" w:cs="Arial"/>
          <w:color w:val="000000"/>
          <w:lang w:val="en-GB"/>
        </w:rPr>
      </w:pPr>
      <w:r>
        <w:rPr>
          <w:rFonts w:eastAsia="Calibri" w:cs="Arial"/>
          <w:b/>
          <w:bCs/>
          <w:color w:val="000000"/>
          <w:lang w:val="en-GB"/>
        </w:rPr>
        <w:t xml:space="preserve">ROSCI0234 Stânca Ştefăneşti </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Location</w:t>
      </w:r>
      <w:r>
        <w:rPr>
          <w:rFonts w:eastAsia="Calibri" w:cs="Arial"/>
          <w:color w:val="000000"/>
          <w:lang w:val="en-GB"/>
        </w:rPr>
        <w:t xml:space="preserve"> –Stânca, Stefanesti City. </w:t>
      </w:r>
    </w:p>
    <w:p w:rsidR="008D0E03" w:rsidRDefault="008D0E03" w:rsidP="008D0E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color w:val="000000"/>
          <w:lang w:val="en-GB"/>
        </w:rPr>
      </w:pPr>
      <w:r>
        <w:rPr>
          <w:rFonts w:eastAsia="Calibri" w:cs="Arial"/>
          <w:b/>
          <w:color w:val="000000"/>
          <w:lang w:val="en-GB"/>
        </w:rPr>
        <w:t>Habitat type</w:t>
      </w:r>
      <w:r>
        <w:rPr>
          <w:rFonts w:eastAsia="Calibri" w:cs="Arial"/>
          <w:color w:val="000000"/>
          <w:lang w:val="en-GB"/>
        </w:rPr>
        <w:t xml:space="preserve"> is identified by the - Communities rupicole calcify or meadows Basify of Alysso- Sedion white.</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Surface</w:t>
      </w:r>
      <w:r>
        <w:rPr>
          <w:rFonts w:eastAsia="Calibri" w:cs="Arial"/>
          <w:color w:val="000000"/>
          <w:lang w:val="en-GB"/>
        </w:rPr>
        <w:t>: 1 ha</w:t>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r w:rsidRPr="002E01ED">
        <w:rPr>
          <w:rFonts w:eastAsia="EUAlbertina-Regular-Identity-H" w:cs="Arial"/>
          <w:b/>
          <w:noProof/>
          <w:lang w:val="en-US" w:eastAsia="en-US"/>
        </w:rPr>
        <w:drawing>
          <wp:inline distT="0" distB="0" distL="0" distR="0" wp14:anchorId="162195C3" wp14:editId="217B2987">
            <wp:extent cx="5384165" cy="2296795"/>
            <wp:effectExtent l="19050" t="19050" r="26035" b="273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84165" cy="2296795"/>
                    </a:xfrm>
                    <a:prstGeom prst="rect">
                      <a:avLst/>
                    </a:prstGeom>
                    <a:noFill/>
                    <a:ln w="6350" cmpd="sng">
                      <a:solidFill>
                        <a:srgbClr val="000000"/>
                      </a:solidFill>
                      <a:miter lim="800000"/>
                      <a:headEnd/>
                      <a:tailEnd/>
                    </a:ln>
                    <a:effectLst/>
                  </pic:spPr>
                </pic:pic>
              </a:graphicData>
            </a:graphic>
          </wp:inline>
        </w:drawing>
      </w:r>
    </w:p>
    <w:p w:rsidR="008D0E03" w:rsidRDefault="008D0E03" w:rsidP="008D0E03">
      <w:pPr>
        <w:autoSpaceDE w:val="0"/>
        <w:autoSpaceDN w:val="0"/>
        <w:adjustRightInd w:val="0"/>
        <w:spacing w:before="60" w:after="60" w:line="288" w:lineRule="auto"/>
        <w:jc w:val="both"/>
        <w:rPr>
          <w:rFonts w:eastAsia="EUAlbertina-Regular-Identity-H" w:cs="Arial"/>
          <w:b/>
          <w:lang w:val="en-GB" w:eastAsia="en-US"/>
        </w:rPr>
      </w:pPr>
    </w:p>
    <w:p w:rsidR="008D0E03" w:rsidRDefault="008D0E03" w:rsidP="008D0E03">
      <w:pPr>
        <w:numPr>
          <w:ilvl w:val="0"/>
          <w:numId w:val="7"/>
        </w:numPr>
        <w:autoSpaceDE w:val="0"/>
        <w:autoSpaceDN w:val="0"/>
        <w:adjustRightInd w:val="0"/>
        <w:spacing w:before="60" w:after="60" w:line="288" w:lineRule="auto"/>
        <w:ind w:left="1080"/>
        <w:jc w:val="both"/>
        <w:rPr>
          <w:rFonts w:eastAsia="Calibri" w:cs="Arial"/>
          <w:color w:val="000000"/>
          <w:lang w:val="en-GB"/>
        </w:rPr>
      </w:pPr>
      <w:r>
        <w:rPr>
          <w:rFonts w:eastAsia="Calibri" w:cs="Arial"/>
          <w:b/>
          <w:bCs/>
          <w:color w:val="000000"/>
          <w:lang w:val="en-GB"/>
        </w:rPr>
        <w:t xml:space="preserve">ROSCI 0399 - Suharău Darabani </w:t>
      </w:r>
    </w:p>
    <w:p w:rsidR="008D0E03" w:rsidRDefault="008D0E03" w:rsidP="008D0E03">
      <w:pPr>
        <w:autoSpaceDE w:val="0"/>
        <w:autoSpaceDN w:val="0"/>
        <w:adjustRightInd w:val="0"/>
        <w:spacing w:before="60" w:after="60" w:line="288" w:lineRule="auto"/>
        <w:ind w:left="1080"/>
        <w:jc w:val="both"/>
        <w:rPr>
          <w:rFonts w:eastAsia="Calibri" w:cs="Arial"/>
          <w:color w:val="000000"/>
          <w:lang w:val="en-GB"/>
        </w:rPr>
      </w:pP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Location</w:t>
      </w:r>
      <w:r>
        <w:rPr>
          <w:rFonts w:eastAsia="Calibri" w:cs="Arial"/>
          <w:color w:val="000000"/>
          <w:lang w:val="en-GB"/>
        </w:rPr>
        <w:t xml:space="preserve"> – Administrative territory from Conceşti, Darabani, Hudeşti and Suharău. </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 xml:space="preserve">Habitats of Community interest: </w:t>
      </w:r>
      <w:r>
        <w:rPr>
          <w:rFonts w:eastAsia="Calibri" w:cs="Arial"/>
          <w:color w:val="000000"/>
          <w:lang w:val="en-GB"/>
        </w:rPr>
        <w:t>Asperulo beech forests Fagetum, oak-hornbeam forests Dacian, Sarmatian steppes Ponto, and Ponto Sarmatian deciduous bushes.</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Surface</w:t>
      </w:r>
      <w:r>
        <w:rPr>
          <w:rFonts w:eastAsia="Calibri" w:cs="Arial"/>
          <w:color w:val="000000"/>
          <w:lang w:val="en-GB"/>
        </w:rPr>
        <w:t xml:space="preserve">: 1936 ha. </w:t>
      </w:r>
    </w:p>
    <w:p w:rsidR="008D0E03" w:rsidRDefault="008D0E03" w:rsidP="008D0E03">
      <w:pPr>
        <w:autoSpaceDE w:val="0"/>
        <w:autoSpaceDN w:val="0"/>
        <w:adjustRightInd w:val="0"/>
        <w:spacing w:before="60" w:after="60" w:line="288" w:lineRule="auto"/>
        <w:jc w:val="both"/>
        <w:rPr>
          <w:rFonts w:eastAsia="Calibri" w:cs="Arial"/>
          <w:color w:val="000000"/>
          <w:lang w:val="en-GB"/>
        </w:rPr>
      </w:pPr>
    </w:p>
    <w:p w:rsidR="008D0E03" w:rsidRDefault="008D0E03" w:rsidP="008D0E03">
      <w:pPr>
        <w:numPr>
          <w:ilvl w:val="0"/>
          <w:numId w:val="7"/>
        </w:numPr>
        <w:autoSpaceDE w:val="0"/>
        <w:autoSpaceDN w:val="0"/>
        <w:adjustRightInd w:val="0"/>
        <w:spacing w:before="60" w:after="60" w:line="288" w:lineRule="auto"/>
        <w:ind w:left="1080"/>
        <w:jc w:val="both"/>
        <w:rPr>
          <w:rFonts w:eastAsia="Calibri" w:cs="Arial"/>
          <w:color w:val="000000"/>
          <w:lang w:val="en-GB"/>
        </w:rPr>
      </w:pPr>
      <w:r>
        <w:rPr>
          <w:rFonts w:eastAsia="Calibri" w:cs="Arial"/>
          <w:b/>
          <w:bCs/>
          <w:color w:val="000000"/>
          <w:lang w:val="en-GB"/>
        </w:rPr>
        <w:t xml:space="preserve">ROSCI0391- Middle Siret Bucecea </w:t>
      </w:r>
    </w:p>
    <w:p w:rsidR="008D0E03" w:rsidRDefault="008D0E03" w:rsidP="008D0E03">
      <w:pPr>
        <w:autoSpaceDE w:val="0"/>
        <w:autoSpaceDN w:val="0"/>
        <w:adjustRightInd w:val="0"/>
        <w:spacing w:before="60" w:after="60" w:line="288" w:lineRule="auto"/>
        <w:ind w:left="1080"/>
        <w:jc w:val="both"/>
        <w:rPr>
          <w:rFonts w:eastAsia="Calibri" w:cs="Arial"/>
          <w:color w:val="000000"/>
          <w:lang w:val="en-GB"/>
        </w:rPr>
      </w:pP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Location</w:t>
      </w:r>
      <w:r>
        <w:rPr>
          <w:rFonts w:eastAsia="Calibri" w:cs="Arial"/>
          <w:color w:val="000000"/>
          <w:lang w:val="en-GB"/>
        </w:rPr>
        <w:t>: Administrative territory from Botosani and Suceava,</w:t>
      </w:r>
      <w:r>
        <w:t xml:space="preserve"> </w:t>
      </w:r>
      <w:r>
        <w:rPr>
          <w:rFonts w:eastAsia="Calibri" w:cs="Arial"/>
          <w:color w:val="000000"/>
          <w:lang w:val="en-GB"/>
        </w:rPr>
        <w:t>In Botoşani county–Bucecea city 3% şi Vârful Câmpului village1%;</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Habitats of Community interest</w:t>
      </w:r>
      <w:r>
        <w:rPr>
          <w:rFonts w:eastAsia="Calibri" w:cs="Arial"/>
          <w:color w:val="000000"/>
          <w:lang w:val="en-GB"/>
        </w:rPr>
        <w:t>: herb fringe communities of high hydrophilic from the plains to the mountain and alpine.</w:t>
      </w:r>
    </w:p>
    <w:p w:rsidR="008D0E03" w:rsidRDefault="008D0E03" w:rsidP="008D0E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000000"/>
        </w:rPr>
      </w:pPr>
      <w:r>
        <w:rPr>
          <w:rFonts w:cs="Arial"/>
          <w:color w:val="000000"/>
        </w:rPr>
        <w:t>Fish species in Annex 2 of the Habitats Directive Aspius aspius , Gobio kessleri , Cobitis taenia</w:t>
      </w:r>
    </w:p>
    <w:p w:rsidR="008D0E03" w:rsidRDefault="008D0E03" w:rsidP="008D0E03">
      <w:pPr>
        <w:autoSpaceDE w:val="0"/>
        <w:autoSpaceDN w:val="0"/>
        <w:adjustRightInd w:val="0"/>
        <w:spacing w:before="60" w:after="60" w:line="288" w:lineRule="auto"/>
        <w:jc w:val="both"/>
        <w:rPr>
          <w:rFonts w:eastAsia="Calibri" w:cs="Arial"/>
          <w:color w:val="000000"/>
          <w:lang w:val="en-GB"/>
        </w:rPr>
      </w:pP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Surface</w:t>
      </w:r>
      <w:r>
        <w:rPr>
          <w:rFonts w:eastAsia="Calibri" w:cs="Arial"/>
          <w:color w:val="000000"/>
          <w:lang w:val="en-GB"/>
        </w:rPr>
        <w:t xml:space="preserve">: 125, 4 ha </w:t>
      </w:r>
    </w:p>
    <w:p w:rsidR="008D0E03" w:rsidRDefault="008D0E03" w:rsidP="008D0E03">
      <w:pPr>
        <w:autoSpaceDE w:val="0"/>
        <w:autoSpaceDN w:val="0"/>
        <w:adjustRightInd w:val="0"/>
        <w:spacing w:before="60" w:after="60" w:line="288" w:lineRule="auto"/>
        <w:jc w:val="both"/>
        <w:rPr>
          <w:rFonts w:eastAsia="Calibri" w:cs="Arial"/>
          <w:color w:val="000000"/>
          <w:lang w:val="en-GB"/>
        </w:rPr>
      </w:pPr>
    </w:p>
    <w:p w:rsidR="008D0E03" w:rsidRDefault="008D0E03" w:rsidP="008D0E03">
      <w:pPr>
        <w:numPr>
          <w:ilvl w:val="0"/>
          <w:numId w:val="7"/>
        </w:numPr>
        <w:autoSpaceDE w:val="0"/>
        <w:autoSpaceDN w:val="0"/>
        <w:adjustRightInd w:val="0"/>
        <w:spacing w:before="60" w:after="60" w:line="288" w:lineRule="auto"/>
        <w:ind w:left="1080"/>
        <w:jc w:val="both"/>
        <w:rPr>
          <w:rFonts w:eastAsia="Calibri" w:cs="Arial"/>
          <w:color w:val="000000"/>
          <w:lang w:val="en-GB"/>
        </w:rPr>
      </w:pPr>
      <w:r>
        <w:rPr>
          <w:rFonts w:eastAsia="Calibri" w:cs="Arial"/>
          <w:b/>
          <w:bCs/>
          <w:color w:val="000000"/>
          <w:lang w:val="en-GB"/>
        </w:rPr>
        <w:t>ROSCI0184 - Zamostea Luncă Forest</w:t>
      </w:r>
    </w:p>
    <w:p w:rsidR="008D0E03" w:rsidRDefault="008D0E03" w:rsidP="008D0E03">
      <w:pPr>
        <w:autoSpaceDE w:val="0"/>
        <w:autoSpaceDN w:val="0"/>
        <w:adjustRightInd w:val="0"/>
        <w:spacing w:before="60" w:after="60" w:line="288" w:lineRule="auto"/>
        <w:ind w:left="1080"/>
        <w:jc w:val="both"/>
        <w:rPr>
          <w:rFonts w:eastAsia="Calibri" w:cs="Arial"/>
          <w:color w:val="000000"/>
          <w:lang w:val="en-GB"/>
        </w:rPr>
      </w:pP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b/>
          <w:color w:val="000000"/>
          <w:lang w:val="en-GB"/>
        </w:rPr>
        <w:t>Location:</w:t>
      </w:r>
      <w:r>
        <w:rPr>
          <w:rFonts w:eastAsia="Calibri" w:cs="Arial"/>
          <w:color w:val="000000"/>
          <w:lang w:val="en-GB"/>
        </w:rPr>
        <w:t xml:space="preserve"> </w:t>
      </w:r>
      <w:r>
        <w:rPr>
          <w:rFonts w:cs="Arial"/>
          <w:color w:val="000000"/>
        </w:rPr>
        <w:t xml:space="preserve">Botosani and Suceava cities. ROSCI0184 in the Botosani County the covers territories are Candesti and Varful Campului villages. </w:t>
      </w:r>
      <w:r>
        <w:rPr>
          <w:rFonts w:eastAsia="Calibri" w:cs="Arial"/>
          <w:color w:val="000000"/>
          <w:lang w:val="en-GB"/>
        </w:rPr>
        <w:t xml:space="preserve">  </w:t>
      </w:r>
    </w:p>
    <w:p w:rsidR="008D0E03" w:rsidRDefault="008D0E03" w:rsidP="008D0E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color w:val="000000"/>
          <w:lang w:val="en-GB"/>
        </w:rPr>
      </w:pPr>
      <w:r>
        <w:rPr>
          <w:rFonts w:eastAsia="Calibri" w:cs="Arial"/>
          <w:b/>
          <w:color w:val="000000"/>
          <w:lang w:val="en-GB"/>
        </w:rPr>
        <w:lastRenderedPageBreak/>
        <w:t>The types of habitats</w:t>
      </w:r>
      <w:r>
        <w:rPr>
          <w:rFonts w:eastAsia="Calibri" w:cs="Arial"/>
          <w:color w:val="000000"/>
          <w:lang w:val="en-GB"/>
        </w:rPr>
        <w:t>: forests of oak and hornbeam Dacian, mixed riparian forests with Quercus robur, along the great rivers Frasinus excelsior.</w:t>
      </w:r>
    </w:p>
    <w:p w:rsidR="008D0E03" w:rsidRDefault="008D0E03" w:rsidP="008D0E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000000"/>
        </w:rPr>
      </w:pPr>
      <w:r>
        <w:rPr>
          <w:rFonts w:cs="Arial"/>
          <w:color w:val="000000"/>
        </w:rPr>
        <w:t>Amphibians and</w:t>
      </w:r>
      <w:r>
        <w:rPr>
          <w:rFonts w:ascii="Courier New" w:hAnsi="Courier New" w:cs="Courier New"/>
          <w:sz w:val="20"/>
          <w:szCs w:val="20"/>
        </w:rPr>
        <w:t xml:space="preserve"> </w:t>
      </w:r>
      <w:r>
        <w:rPr>
          <w:rFonts w:cs="Arial"/>
          <w:color w:val="000000"/>
        </w:rPr>
        <w:t>reptiles species from Annex 2 of the Habitats Directive:  Emys orbicularis;</w:t>
      </w:r>
    </w:p>
    <w:p w:rsidR="008D0E03" w:rsidRDefault="008D0E03" w:rsidP="008D0E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Arial"/>
          <w:color w:val="000000"/>
          <w:lang w:val="en-GB"/>
        </w:rPr>
      </w:pP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Surface: 68, 77 ha.</w:t>
      </w:r>
    </w:p>
    <w:p w:rsidR="008D0E03" w:rsidRDefault="008D0E03" w:rsidP="008D0E03">
      <w:pPr>
        <w:spacing w:after="200" w:line="276" w:lineRule="auto"/>
        <w:jc w:val="both"/>
        <w:rPr>
          <w:rFonts w:eastAsia="Calibri" w:cs="Arial"/>
          <w:lang w:val="en-GB" w:eastAsia="en-US"/>
        </w:rPr>
      </w:pPr>
    </w:p>
    <w:p w:rsidR="008D0E03" w:rsidRDefault="008D0E03" w:rsidP="008D0E03">
      <w:pPr>
        <w:numPr>
          <w:ilvl w:val="0"/>
          <w:numId w:val="7"/>
        </w:numPr>
        <w:autoSpaceDE w:val="0"/>
        <w:autoSpaceDN w:val="0"/>
        <w:adjustRightInd w:val="0"/>
        <w:spacing w:before="60" w:after="60" w:line="288" w:lineRule="auto"/>
        <w:ind w:left="720"/>
        <w:contextualSpacing/>
        <w:jc w:val="both"/>
        <w:rPr>
          <w:rFonts w:eastAsia="EUAlbertina-Regular-Identity-H" w:cs="Arial"/>
          <w:b/>
          <w:i/>
          <w:lang w:val="en-GB" w:eastAsia="en-US"/>
        </w:rPr>
      </w:pPr>
      <w:r>
        <w:rPr>
          <w:rFonts w:eastAsia="EUAlbertina-Regular-Identity-H" w:cs="Arial"/>
          <w:b/>
          <w:i/>
          <w:lang w:val="en-GB" w:eastAsia="en-US"/>
        </w:rPr>
        <w:t>Maramures County</w:t>
      </w:r>
    </w:p>
    <w:p w:rsidR="008D0E03" w:rsidRDefault="008D0E03" w:rsidP="008D0E03">
      <w:pPr>
        <w:autoSpaceDE w:val="0"/>
        <w:autoSpaceDN w:val="0"/>
        <w:adjustRightInd w:val="0"/>
        <w:spacing w:before="60" w:after="60" w:line="288" w:lineRule="auto"/>
        <w:ind w:left="720"/>
        <w:contextualSpacing/>
        <w:jc w:val="both"/>
        <w:rPr>
          <w:rFonts w:eastAsia="EUAlbertina-Regular-Identity-H" w:cs="Arial"/>
          <w:b/>
          <w:i/>
          <w:lang w:val="en-GB" w:eastAsia="en-US"/>
        </w:rPr>
      </w:pPr>
    </w:p>
    <w:p w:rsidR="008D0E03" w:rsidRDefault="008D0E03" w:rsidP="008D0E03">
      <w:pPr>
        <w:spacing w:before="60" w:after="60" w:line="288" w:lineRule="auto"/>
        <w:jc w:val="both"/>
        <w:rPr>
          <w:rFonts w:cs="Arial"/>
        </w:rPr>
      </w:pPr>
      <w:r>
        <w:rPr>
          <w:rFonts w:cs="Arial"/>
        </w:rPr>
        <w:t>In Maramures are set 12 SCI, five Special Protection Areas, nature reserves and natural parks. Figure 5.2 shows the distribution of SCI, SPA, nature reserves and natural parks in the county of Maramures.</w:t>
      </w:r>
    </w:p>
    <w:p w:rsidR="008D0E03" w:rsidRDefault="008D0E03" w:rsidP="008D0E03">
      <w:pPr>
        <w:spacing w:before="60" w:after="60" w:line="288" w:lineRule="auto"/>
        <w:jc w:val="both"/>
        <w:rPr>
          <w:rFonts w:cs="Arial"/>
        </w:rPr>
      </w:pPr>
      <w:r>
        <w:rPr>
          <w:rFonts w:cs="Arial"/>
        </w:rPr>
        <w:t>Protected natural areas of national interest in Maramures County are: Pietrosu Mare , Piatra Rea , Lake Morareni , Glade Swamp Trees , Forest Ronisoara , Craiasca Forest , Forest Bavna , Coştiui Iarice Forest , The stand of chestnut Baia Mare , Lapus Gorges Forest Comja pin , Arcer - Tibleş , Vf . Farcău - Vf. Mihailescu Autumnal Daffodils Glade - Sehleanu Reserve fossil Chiuzbaia , Blue Lake , Somcutei Văienii Cave , Cave with Bones , rocks Sâlhoi Zâmbroslavele , Taul Dumitru , Rooster ridge Gorge Tatar Gorge Baba Cave Boiu Great Swamp Iezeru Great Limpedea columns , stone rosette from Ilba , Cave hill Solovan , Taul Black Swamp , Old spring , caves and karst spring Iza Forest Runc , Maramures Mountains Natural Park .</w:t>
      </w:r>
    </w:p>
    <w:p w:rsidR="008D0E03" w:rsidRDefault="008D0E03" w:rsidP="008D0E03">
      <w:pPr>
        <w:spacing w:before="60" w:after="60" w:line="288" w:lineRule="auto"/>
        <w:jc w:val="both"/>
        <w:rPr>
          <w:rFonts w:cs="Arial"/>
        </w:rPr>
      </w:pPr>
    </w:p>
    <w:p w:rsidR="008D0E03" w:rsidRDefault="008D0E03" w:rsidP="008D0E03">
      <w:pPr>
        <w:spacing w:before="60" w:after="60" w:line="288" w:lineRule="auto"/>
        <w:jc w:val="both"/>
        <w:rPr>
          <w:rFonts w:cs="Arial"/>
        </w:rPr>
      </w:pPr>
      <w:r>
        <w:rPr>
          <w:rFonts w:cs="Arial"/>
        </w:rPr>
        <w:t>Natural protected areas of international interest</w:t>
      </w:r>
    </w:p>
    <w:p w:rsidR="008D0E03" w:rsidRDefault="008D0E03" w:rsidP="008D0E03">
      <w:pPr>
        <w:spacing w:before="60" w:after="60" w:line="288" w:lineRule="auto"/>
        <w:jc w:val="both"/>
        <w:rPr>
          <w:rFonts w:cs="Arial"/>
        </w:rPr>
      </w:pPr>
    </w:p>
    <w:p w:rsidR="008D0E03" w:rsidRDefault="008D0E03" w:rsidP="008D0E03">
      <w:pPr>
        <w:spacing w:before="60" w:after="60" w:line="288" w:lineRule="auto"/>
        <w:jc w:val="both"/>
        <w:rPr>
          <w:rFonts w:cs="Arial"/>
          <w:b/>
        </w:rPr>
      </w:pPr>
      <w:r>
        <w:rPr>
          <w:rFonts w:cs="Arial"/>
          <w:b/>
        </w:rPr>
        <w:t>Rodney Mountains National Park - Biosphere Reserve</w:t>
      </w:r>
    </w:p>
    <w:p w:rsidR="008D0E03" w:rsidRDefault="008D0E03" w:rsidP="008D0E03">
      <w:pPr>
        <w:spacing w:before="60" w:after="60" w:line="288" w:lineRule="auto"/>
        <w:jc w:val="both"/>
        <w:rPr>
          <w:rFonts w:cs="Arial"/>
        </w:rPr>
      </w:pPr>
      <w:r>
        <w:rPr>
          <w:rFonts w:cs="Arial"/>
        </w:rPr>
        <w:t xml:space="preserve">Rodney Mountains National Park - Biosphere Reserve is the main objective of natural heritage in the county, with a total area of </w:t>
      </w:r>
      <w:r>
        <w:rPr>
          <w:rFonts w:ascii="Cambria Math" w:hAnsi="Cambria Math" w:cs="Cambria Math"/>
        </w:rPr>
        <w:t>​​</w:t>
      </w:r>
      <w:r>
        <w:rPr>
          <w:rFonts w:cs="Arial"/>
        </w:rPr>
        <w:t>47,227 ha, of which 36,974 ha (80 %) in Bistrita Nasaud and 9798 ha (20%) in Maramures County.</w:t>
      </w:r>
    </w:p>
    <w:p w:rsidR="008D0E03" w:rsidRDefault="008D0E03" w:rsidP="008D0E03">
      <w:pPr>
        <w:spacing w:before="60" w:after="60" w:line="288" w:lineRule="auto"/>
        <w:jc w:val="both"/>
        <w:rPr>
          <w:rFonts w:cs="Arial"/>
          <w:lang w:val="en-GB"/>
        </w:rPr>
      </w:pPr>
      <w:r>
        <w:rPr>
          <w:rFonts w:cs="Arial"/>
        </w:rPr>
        <w:t>Reserve was established in 1932 - at first only goal being protected surrounding mountain peak Pietrosu (183 ha). Later reserve area was expanded reaching 3300 ha.</w:t>
      </w:r>
    </w:p>
    <w:p w:rsidR="008D0E03" w:rsidRDefault="008D0E03" w:rsidP="008D0E03">
      <w:pPr>
        <w:rPr>
          <w:snapToGrid w:val="0"/>
          <w:position w:val="-6"/>
          <w:lang w:val="en-GB"/>
        </w:rPr>
      </w:pPr>
    </w:p>
    <w:p w:rsidR="008D0E03" w:rsidRDefault="008D0E03" w:rsidP="008D0E03">
      <w:pPr>
        <w:rPr>
          <w:snapToGrid w:val="0"/>
          <w:position w:val="-6"/>
          <w:lang w:val="en-GB"/>
        </w:rPr>
      </w:pPr>
    </w:p>
    <w:p w:rsidR="008D0E03" w:rsidRDefault="008D0E03" w:rsidP="008D0E03">
      <w:pPr>
        <w:rPr>
          <w:snapToGrid w:val="0"/>
          <w:position w:val="-6"/>
          <w:lang w:val="en-GB"/>
        </w:rPr>
      </w:pPr>
    </w:p>
    <w:p w:rsidR="008D0E03" w:rsidRDefault="008D0E03" w:rsidP="008D0E03">
      <w:pPr>
        <w:rPr>
          <w:snapToGrid w:val="0"/>
          <w:position w:val="-6"/>
          <w:lang w:val="en-GB"/>
        </w:rPr>
        <w:sectPr w:rsidR="008D0E03">
          <w:headerReference w:type="default" r:id="rId37"/>
          <w:footerReference w:type="default" r:id="rId38"/>
          <w:pgSz w:w="11909" w:h="16834" w:code="9"/>
          <w:pgMar w:top="562" w:right="475" w:bottom="562" w:left="1138" w:header="288" w:footer="0" w:gutter="0"/>
          <w:cols w:space="708"/>
          <w:docGrid w:linePitch="360"/>
        </w:sectPr>
      </w:pPr>
    </w:p>
    <w:p w:rsidR="008D0E03" w:rsidRDefault="008D0E03" w:rsidP="008D0E03">
      <w:pPr>
        <w:rPr>
          <w:snapToGrid w:val="0"/>
          <w:position w:val="-6"/>
          <w:lang w:val="en-GB"/>
        </w:rPr>
      </w:pPr>
    </w:p>
    <w:p w:rsidR="008D0E03" w:rsidRDefault="008D0E03" w:rsidP="008D0E03">
      <w:pPr>
        <w:jc w:val="center"/>
        <w:rPr>
          <w:rFonts w:cs="Arial"/>
          <w:lang w:val="en-GB"/>
        </w:rPr>
      </w:pPr>
      <w:r w:rsidRPr="002E01ED">
        <w:rPr>
          <w:rFonts w:cs="Arial"/>
          <w:noProof/>
          <w:lang w:val="en-US" w:eastAsia="en-US"/>
        </w:rPr>
        <w:drawing>
          <wp:inline distT="0" distB="0" distL="0" distR="0" wp14:anchorId="712D1251" wp14:editId="6924A815">
            <wp:extent cx="8004175" cy="5652770"/>
            <wp:effectExtent l="0" t="0" r="0" b="5080"/>
            <wp:docPr id="28" name="Imagine 28" descr="SEA_Maramure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A_Maramures_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004175" cy="5652770"/>
                    </a:xfrm>
                    <a:prstGeom prst="rect">
                      <a:avLst/>
                    </a:prstGeom>
                    <a:noFill/>
                    <a:ln>
                      <a:noFill/>
                    </a:ln>
                  </pic:spPr>
                </pic:pic>
              </a:graphicData>
            </a:graphic>
          </wp:inline>
        </w:drawing>
      </w:r>
    </w:p>
    <w:p w:rsidR="008D0E03" w:rsidRDefault="008D0E03" w:rsidP="008D0E03">
      <w:pPr>
        <w:rPr>
          <w:rFonts w:cs="Arial"/>
          <w:lang w:val="en-GB"/>
        </w:rPr>
      </w:pPr>
    </w:p>
    <w:p w:rsidR="008D0E03" w:rsidRDefault="008D0E03" w:rsidP="008D0E03">
      <w:pPr>
        <w:rPr>
          <w:snapToGrid w:val="0"/>
          <w:position w:val="-6"/>
          <w:lang w:val="en-GB"/>
        </w:rPr>
        <w:sectPr w:rsidR="008D0E03">
          <w:headerReference w:type="default" r:id="rId40"/>
          <w:footerReference w:type="default" r:id="rId41"/>
          <w:pgSz w:w="16834" w:h="11909" w:orient="landscape" w:code="9"/>
          <w:pgMar w:top="1138" w:right="562" w:bottom="475" w:left="562" w:header="288" w:footer="0" w:gutter="0"/>
          <w:cols w:space="708"/>
          <w:docGrid w:linePitch="360"/>
        </w:sectPr>
      </w:pPr>
    </w:p>
    <w:p w:rsidR="008D0E03" w:rsidRDefault="008D0E03" w:rsidP="008D0E03">
      <w:pPr>
        <w:numPr>
          <w:ilvl w:val="0"/>
          <w:numId w:val="69"/>
        </w:numPr>
        <w:autoSpaceDE w:val="0"/>
        <w:autoSpaceDN w:val="0"/>
        <w:adjustRightInd w:val="0"/>
        <w:spacing w:before="60" w:after="60" w:line="288" w:lineRule="auto"/>
        <w:jc w:val="both"/>
        <w:rPr>
          <w:rFonts w:eastAsia="Calibri" w:cs="Arial"/>
          <w:color w:val="000000"/>
          <w:lang w:val="en-GB"/>
        </w:rPr>
      </w:pPr>
      <w:r>
        <w:rPr>
          <w:rFonts w:eastAsia="Calibri" w:cs="Arial"/>
          <w:b/>
          <w:bCs/>
          <w:color w:val="000000"/>
          <w:lang w:val="en-GB"/>
        </w:rPr>
        <w:lastRenderedPageBreak/>
        <w:t xml:space="preserve">SPECIAL PROTECTION AREAS –SPA </w:t>
      </w:r>
    </w:p>
    <w:p w:rsidR="008D0E03" w:rsidRDefault="008D0E03" w:rsidP="008D0E03">
      <w:pPr>
        <w:autoSpaceDE w:val="0"/>
        <w:autoSpaceDN w:val="0"/>
        <w:adjustRightInd w:val="0"/>
        <w:spacing w:before="60" w:after="60" w:line="288" w:lineRule="auto"/>
        <w:jc w:val="both"/>
        <w:rPr>
          <w:rFonts w:eastAsia="Calibri" w:cs="Arial"/>
          <w:color w:val="000000"/>
          <w:lang w:val="en-GB" w:eastAsia="en-US"/>
        </w:rPr>
      </w:pP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 xml:space="preserve">In Maramures County 5 SPA are declared. </w:t>
      </w:r>
    </w:p>
    <w:p w:rsidR="008D0E03" w:rsidRDefault="008D0E03" w:rsidP="008D0E03">
      <w:pPr>
        <w:autoSpaceDE w:val="0"/>
        <w:autoSpaceDN w:val="0"/>
        <w:adjustRightInd w:val="0"/>
        <w:spacing w:before="60" w:after="60" w:line="288" w:lineRule="auto"/>
        <w:jc w:val="both"/>
        <w:rPr>
          <w:rFonts w:eastAsia="Calibri" w:cs="Arial"/>
          <w:color w:val="000000"/>
          <w:lang w:val="en-GB" w:eastAsia="en-US"/>
        </w:rPr>
      </w:pPr>
    </w:p>
    <w:p w:rsidR="008D0E03" w:rsidRDefault="008D0E03" w:rsidP="008D0E03">
      <w:pPr>
        <w:pStyle w:val="ListParagraph"/>
        <w:numPr>
          <w:ilvl w:val="0"/>
          <w:numId w:val="19"/>
        </w:numPr>
        <w:rPr>
          <w:rFonts w:eastAsia="Calibri" w:cs="Arial"/>
          <w:color w:val="000000"/>
          <w:szCs w:val="24"/>
          <w:lang w:val="en-US" w:eastAsia="en-US"/>
        </w:rPr>
      </w:pPr>
      <w:r>
        <w:rPr>
          <w:rFonts w:eastAsia="Calibri" w:cs="Arial"/>
          <w:color w:val="000000"/>
          <w:szCs w:val="24"/>
          <w:lang w:val="en-US" w:eastAsia="en-US"/>
        </w:rPr>
        <w:t>ROSPA0085 Rodney Mountains:</w:t>
      </w:r>
      <w:r>
        <w:rPr>
          <w:rFonts w:cs="Arial"/>
          <w:szCs w:val="24"/>
          <w:lang w:val="en-US"/>
        </w:rPr>
        <w:t xml:space="preserve"> </w:t>
      </w:r>
      <w:r>
        <w:rPr>
          <w:rFonts w:eastAsia="Calibri" w:cs="Arial"/>
          <w:color w:val="000000"/>
          <w:szCs w:val="24"/>
          <w:lang w:val="en-US" w:eastAsia="en-US"/>
        </w:rPr>
        <w:t>administrator Rodna Mountains National Park;</w:t>
      </w:r>
    </w:p>
    <w:p w:rsidR="008D0E03" w:rsidRDefault="008D0E03" w:rsidP="008D0E03">
      <w:pPr>
        <w:pStyle w:val="ListParagraph"/>
        <w:numPr>
          <w:ilvl w:val="0"/>
          <w:numId w:val="19"/>
        </w:numPr>
        <w:rPr>
          <w:rFonts w:eastAsia="Calibri" w:cs="Arial"/>
          <w:color w:val="000000"/>
          <w:szCs w:val="24"/>
          <w:lang w:val="en-US" w:eastAsia="en-US"/>
        </w:rPr>
      </w:pPr>
      <w:r>
        <w:rPr>
          <w:rFonts w:eastAsia="Calibri" w:cs="Arial"/>
          <w:color w:val="000000"/>
          <w:szCs w:val="24"/>
          <w:lang w:val="en-US" w:eastAsia="en-US"/>
        </w:rPr>
        <w:t>ROSPA0131 Maramureșului Mountains:</w:t>
      </w:r>
      <w:r>
        <w:rPr>
          <w:rFonts w:cs="Arial"/>
          <w:szCs w:val="24"/>
          <w:lang w:val="en-US"/>
        </w:rPr>
        <w:t xml:space="preserve"> </w:t>
      </w:r>
      <w:r>
        <w:rPr>
          <w:rFonts w:eastAsia="Calibri" w:cs="Arial"/>
          <w:color w:val="000000"/>
          <w:szCs w:val="24"/>
          <w:lang w:val="en-US" w:eastAsia="en-US"/>
        </w:rPr>
        <w:t xml:space="preserve">administrator Maramureșului Mountains National Park; </w:t>
      </w:r>
    </w:p>
    <w:p w:rsidR="008D0E03" w:rsidRDefault="008D0E03" w:rsidP="008D0E03">
      <w:pPr>
        <w:pStyle w:val="ListParagraph"/>
        <w:numPr>
          <w:ilvl w:val="0"/>
          <w:numId w:val="19"/>
        </w:numPr>
        <w:rPr>
          <w:rFonts w:eastAsia="Calibri" w:cs="Arial"/>
          <w:color w:val="000000"/>
          <w:szCs w:val="24"/>
          <w:lang w:val="en-US" w:eastAsia="en-US"/>
        </w:rPr>
      </w:pPr>
      <w:r>
        <w:rPr>
          <w:rFonts w:eastAsia="Calibri" w:cs="Arial"/>
          <w:color w:val="000000"/>
          <w:szCs w:val="24"/>
          <w:lang w:val="en-US" w:eastAsia="en-US"/>
        </w:rPr>
        <w:t>ROSPA0134 Gutâi Mountains:</w:t>
      </w:r>
      <w:r>
        <w:rPr>
          <w:rFonts w:cs="Arial"/>
          <w:szCs w:val="24"/>
          <w:lang w:val="en-US"/>
        </w:rPr>
        <w:t xml:space="preserve"> </w:t>
      </w:r>
      <w:r>
        <w:rPr>
          <w:rFonts w:eastAsia="Calibri" w:cs="Arial"/>
          <w:color w:val="000000"/>
          <w:szCs w:val="24"/>
          <w:lang w:val="en-US" w:eastAsia="en-US"/>
        </w:rPr>
        <w:t>administrator Maramureș Mountains</w:t>
      </w:r>
      <w:r>
        <w:rPr>
          <w:rFonts w:cs="Arial"/>
          <w:szCs w:val="24"/>
          <w:lang w:val="en-US"/>
        </w:rPr>
        <w:t xml:space="preserve"> National</w:t>
      </w:r>
      <w:r>
        <w:rPr>
          <w:rFonts w:eastAsia="Calibri" w:cs="Arial"/>
          <w:color w:val="000000"/>
          <w:szCs w:val="24"/>
          <w:lang w:val="en-US" w:eastAsia="en-US"/>
        </w:rPr>
        <w:t xml:space="preserve">; </w:t>
      </w:r>
    </w:p>
    <w:p w:rsidR="008D0E03" w:rsidRDefault="008D0E03" w:rsidP="008D0E03">
      <w:pPr>
        <w:pStyle w:val="ListParagraph"/>
        <w:numPr>
          <w:ilvl w:val="0"/>
          <w:numId w:val="19"/>
        </w:numPr>
        <w:rPr>
          <w:rFonts w:eastAsia="Calibri" w:cs="Arial"/>
          <w:color w:val="000000"/>
          <w:szCs w:val="24"/>
          <w:lang w:val="en-US" w:eastAsia="en-US"/>
        </w:rPr>
      </w:pPr>
      <w:r>
        <w:rPr>
          <w:rFonts w:cs="Arial"/>
          <w:color w:val="000000"/>
          <w:szCs w:val="24"/>
        </w:rPr>
        <w:t>ROSPA0143 Upper Tisa Superioară: curator Heidenroslein Association;</w:t>
      </w:r>
    </w:p>
    <w:p w:rsidR="008D0E03" w:rsidRDefault="008D0E03" w:rsidP="008D0E03">
      <w:pPr>
        <w:pStyle w:val="ListParagraph"/>
        <w:numPr>
          <w:ilvl w:val="0"/>
          <w:numId w:val="19"/>
        </w:numPr>
        <w:rPr>
          <w:rFonts w:eastAsia="Calibri" w:cs="Arial"/>
          <w:color w:val="000000"/>
          <w:szCs w:val="24"/>
          <w:lang w:val="en-US" w:eastAsia="en-US"/>
        </w:rPr>
      </w:pPr>
      <w:r>
        <w:rPr>
          <w:rFonts w:cs="Arial"/>
          <w:color w:val="000000"/>
          <w:szCs w:val="24"/>
        </w:rPr>
        <w:t xml:space="preserve">ROSPA0114 The middle of Somes–Maramureș and Sălaj Counties. </w:t>
      </w:r>
    </w:p>
    <w:p w:rsidR="008D0E03" w:rsidRDefault="008D0E03" w:rsidP="008D0E03">
      <w:pPr>
        <w:autoSpaceDE w:val="0"/>
        <w:autoSpaceDN w:val="0"/>
        <w:adjustRightInd w:val="0"/>
        <w:spacing w:before="60" w:after="60" w:line="288" w:lineRule="auto"/>
        <w:ind w:left="720"/>
        <w:jc w:val="both"/>
        <w:rPr>
          <w:rFonts w:eastAsia="Calibri" w:cs="Arial"/>
          <w:color w:val="000000"/>
          <w:lang w:val="en-GB" w:eastAsia="en-US"/>
        </w:rPr>
      </w:pPr>
    </w:p>
    <w:p w:rsidR="008D0E03" w:rsidRDefault="008D0E03" w:rsidP="008D0E03">
      <w:pPr>
        <w:spacing w:before="60" w:after="60" w:line="288" w:lineRule="auto"/>
        <w:jc w:val="both"/>
        <w:rPr>
          <w:rFonts w:eastAsia="Calibri" w:cs="Arial"/>
          <w:lang w:val="en-GB" w:eastAsia="en-US"/>
        </w:rPr>
      </w:pPr>
    </w:p>
    <w:p w:rsidR="008D0E03" w:rsidRDefault="008D0E03" w:rsidP="008D0E03">
      <w:pPr>
        <w:numPr>
          <w:ilvl w:val="0"/>
          <w:numId w:val="69"/>
        </w:numPr>
        <w:autoSpaceDE w:val="0"/>
        <w:autoSpaceDN w:val="0"/>
        <w:adjustRightInd w:val="0"/>
        <w:spacing w:before="60" w:after="60" w:line="288" w:lineRule="auto"/>
        <w:jc w:val="both"/>
        <w:rPr>
          <w:rFonts w:eastAsia="Calibri" w:cs="Arial"/>
          <w:color w:val="000000"/>
          <w:lang w:val="en-GB"/>
        </w:rPr>
      </w:pPr>
      <w:r>
        <w:rPr>
          <w:rFonts w:eastAsia="Calibri" w:cs="Arial"/>
          <w:b/>
          <w:bCs/>
          <w:color w:val="000000"/>
          <w:lang w:val="en-GB"/>
        </w:rPr>
        <w:t xml:space="preserve">SIT OF COMUNITY IMPORTANCE-SCI </w:t>
      </w:r>
    </w:p>
    <w:p w:rsidR="008D0E03" w:rsidRDefault="008D0E03" w:rsidP="008D0E03">
      <w:pPr>
        <w:autoSpaceDE w:val="0"/>
        <w:autoSpaceDN w:val="0"/>
        <w:adjustRightInd w:val="0"/>
        <w:spacing w:before="60" w:after="60" w:line="288" w:lineRule="auto"/>
        <w:ind w:left="1080"/>
        <w:jc w:val="both"/>
        <w:rPr>
          <w:rFonts w:eastAsia="Calibri" w:cs="Arial"/>
          <w:color w:val="000000"/>
          <w:lang w:val="en-GB" w:eastAsia="en-US"/>
        </w:rPr>
      </w:pPr>
    </w:p>
    <w:p w:rsidR="008D0E03" w:rsidRDefault="008D0E03" w:rsidP="008D0E03">
      <w:pPr>
        <w:autoSpaceDE w:val="0"/>
        <w:autoSpaceDN w:val="0"/>
        <w:adjustRightInd w:val="0"/>
        <w:spacing w:before="60" w:after="60" w:line="288" w:lineRule="auto"/>
        <w:jc w:val="both"/>
        <w:rPr>
          <w:rFonts w:cs="Arial"/>
          <w:color w:val="000000"/>
        </w:rPr>
      </w:pPr>
      <w:r>
        <w:rPr>
          <w:rFonts w:cs="Arial"/>
          <w:color w:val="000000"/>
        </w:rPr>
        <w:t xml:space="preserve">Currently, in Maramures County are </w:t>
      </w:r>
      <w:r>
        <w:rPr>
          <w:rFonts w:cs="Arial"/>
          <w:b/>
          <w:color w:val="000000"/>
        </w:rPr>
        <w:t xml:space="preserve">12 </w:t>
      </w:r>
      <w:r>
        <w:rPr>
          <w:rFonts w:cs="Arial"/>
          <w:color w:val="000000"/>
        </w:rPr>
        <w:t xml:space="preserve">Sits of community importance. </w:t>
      </w:r>
    </w:p>
    <w:p w:rsidR="008D0E03" w:rsidRDefault="008D0E03" w:rsidP="008D0E03">
      <w:pPr>
        <w:pStyle w:val="ListParagraph"/>
        <w:numPr>
          <w:ilvl w:val="0"/>
          <w:numId w:val="20"/>
        </w:numPr>
        <w:spacing w:line="288" w:lineRule="auto"/>
        <w:rPr>
          <w:rFonts w:eastAsia="Calibri" w:cs="Arial"/>
          <w:color w:val="000000"/>
          <w:szCs w:val="24"/>
          <w:lang w:val="en-US" w:eastAsia="en-US"/>
        </w:rPr>
      </w:pPr>
      <w:r>
        <w:rPr>
          <w:rFonts w:eastAsia="Calibri" w:cs="Arial"/>
          <w:color w:val="000000"/>
          <w:szCs w:val="24"/>
          <w:lang w:val="en-US" w:eastAsia="en-US"/>
        </w:rPr>
        <w:t>ROSCI0003 Chestnut Tree Baia Mare,</w:t>
      </w:r>
      <w:r>
        <w:rPr>
          <w:rFonts w:cs="Arial"/>
          <w:szCs w:val="24"/>
          <w:lang w:val="en-US"/>
        </w:rPr>
        <w:t xml:space="preserve"> </w:t>
      </w:r>
      <w:r>
        <w:rPr>
          <w:rFonts w:eastAsia="Calibri" w:cs="Arial"/>
          <w:color w:val="000000"/>
          <w:szCs w:val="24"/>
          <w:lang w:val="en-US" w:eastAsia="en-US"/>
        </w:rPr>
        <w:t xml:space="preserve">custode Municipal Forest custodian Baia Mare; </w:t>
      </w:r>
    </w:p>
    <w:p w:rsidR="008D0E03" w:rsidRDefault="008D0E03" w:rsidP="008D0E03">
      <w:pPr>
        <w:numPr>
          <w:ilvl w:val="0"/>
          <w:numId w:val="20"/>
        </w:numPr>
        <w:autoSpaceDE w:val="0"/>
        <w:autoSpaceDN w:val="0"/>
        <w:adjustRightInd w:val="0"/>
        <w:spacing w:before="60" w:after="60" w:line="288" w:lineRule="auto"/>
        <w:jc w:val="both"/>
        <w:rPr>
          <w:rFonts w:cs="Arial"/>
          <w:color w:val="000000"/>
        </w:rPr>
      </w:pPr>
      <w:r>
        <w:rPr>
          <w:rFonts w:cs="Arial"/>
          <w:color w:val="000000"/>
        </w:rPr>
        <w:t xml:space="preserve"> ROSCI0030 Lapsul Defile, Custodian Professional Association Geommed</w:t>
      </w:r>
    </w:p>
    <w:p w:rsidR="008D0E03" w:rsidRDefault="008D0E03" w:rsidP="008D0E03">
      <w:pPr>
        <w:pStyle w:val="ListParagraph"/>
        <w:numPr>
          <w:ilvl w:val="0"/>
          <w:numId w:val="20"/>
        </w:numPr>
        <w:spacing w:line="288" w:lineRule="auto"/>
        <w:rPr>
          <w:rFonts w:eastAsia="Calibri" w:cs="Arial"/>
          <w:color w:val="000000"/>
          <w:szCs w:val="24"/>
          <w:lang w:val="en-US" w:eastAsia="en-US"/>
        </w:rPr>
      </w:pPr>
      <w:r>
        <w:rPr>
          <w:rFonts w:eastAsia="Calibri" w:cs="Arial"/>
          <w:color w:val="000000"/>
          <w:szCs w:val="24"/>
          <w:lang w:val="en-US" w:eastAsia="en-US"/>
        </w:rPr>
        <w:t>ROSCI0089 Rooster Ridge Gutâi – EcoLogic Association custodian;</w:t>
      </w:r>
    </w:p>
    <w:p w:rsidR="008D0E03" w:rsidRDefault="008D0E03" w:rsidP="008D0E03">
      <w:pPr>
        <w:pStyle w:val="ListParagraph"/>
        <w:numPr>
          <w:ilvl w:val="0"/>
          <w:numId w:val="20"/>
        </w:numPr>
        <w:spacing w:line="288" w:lineRule="auto"/>
        <w:rPr>
          <w:rFonts w:eastAsia="Calibri" w:cs="Arial"/>
          <w:color w:val="000000"/>
          <w:szCs w:val="24"/>
          <w:lang w:val="en-US" w:eastAsia="en-US"/>
        </w:rPr>
      </w:pPr>
      <w:r>
        <w:rPr>
          <w:rFonts w:eastAsia="Calibri" w:cs="Arial"/>
          <w:color w:val="000000"/>
          <w:szCs w:val="24"/>
          <w:lang w:val="en-US" w:eastAsia="en-US"/>
        </w:rPr>
        <w:t xml:space="preserve"> ROSCI0092 administrator Maramures Mountains Natural Park; </w:t>
      </w:r>
    </w:p>
    <w:p w:rsidR="008D0E03" w:rsidRDefault="008D0E03" w:rsidP="008D0E03">
      <w:pPr>
        <w:pStyle w:val="ListParagraph"/>
        <w:numPr>
          <w:ilvl w:val="0"/>
          <w:numId w:val="20"/>
        </w:numPr>
        <w:spacing w:line="288" w:lineRule="auto"/>
        <w:rPr>
          <w:rFonts w:eastAsia="Calibri" w:cs="Arial"/>
          <w:color w:val="000000"/>
          <w:szCs w:val="24"/>
          <w:lang w:val="en-US" w:eastAsia="en-US"/>
        </w:rPr>
      </w:pPr>
      <w:r>
        <w:rPr>
          <w:rFonts w:eastAsia="Calibri" w:cs="Arial"/>
          <w:color w:val="000000"/>
          <w:szCs w:val="24"/>
          <w:lang w:val="en-US" w:eastAsia="en-US"/>
        </w:rPr>
        <w:t xml:space="preserve">ROSCI0124 Maramureş Mountains, </w:t>
      </w:r>
      <w:r>
        <w:rPr>
          <w:rFonts w:cs="Arial"/>
          <w:szCs w:val="24"/>
          <w:lang w:val="en-US"/>
        </w:rPr>
        <w:t xml:space="preserve"> </w:t>
      </w:r>
      <w:r>
        <w:rPr>
          <w:rFonts w:eastAsia="Calibri" w:cs="Arial"/>
          <w:color w:val="000000"/>
          <w:szCs w:val="24"/>
          <w:lang w:val="en-US" w:eastAsia="en-US"/>
        </w:rPr>
        <w:t>Maramures Mountains Natural Park administrator ;</w:t>
      </w:r>
    </w:p>
    <w:p w:rsidR="008D0E03" w:rsidRDefault="008D0E03" w:rsidP="008D0E03">
      <w:pPr>
        <w:pStyle w:val="ListParagraph"/>
        <w:numPr>
          <w:ilvl w:val="0"/>
          <w:numId w:val="20"/>
        </w:numPr>
        <w:spacing w:line="288" w:lineRule="auto"/>
        <w:rPr>
          <w:rFonts w:eastAsia="Calibri" w:cs="Arial"/>
          <w:color w:val="000000"/>
          <w:szCs w:val="24"/>
          <w:lang w:val="en-US" w:eastAsia="en-US"/>
        </w:rPr>
      </w:pPr>
      <w:r>
        <w:rPr>
          <w:rFonts w:eastAsia="Calibri" w:cs="Arial"/>
          <w:color w:val="000000"/>
          <w:szCs w:val="24"/>
          <w:lang w:val="en-US" w:eastAsia="en-US"/>
        </w:rPr>
        <w:t>ROSCI0125 Rodna Mountains, Rodnei Mountains National Park administrator ;</w:t>
      </w:r>
    </w:p>
    <w:p w:rsidR="008D0E03" w:rsidRDefault="008D0E03" w:rsidP="008D0E03">
      <w:pPr>
        <w:pStyle w:val="ListParagraph"/>
        <w:numPr>
          <w:ilvl w:val="0"/>
          <w:numId w:val="20"/>
        </w:numPr>
        <w:spacing w:line="288" w:lineRule="auto"/>
        <w:rPr>
          <w:rFonts w:eastAsia="Calibri" w:cs="Arial"/>
          <w:color w:val="000000"/>
          <w:szCs w:val="24"/>
          <w:lang w:val="en-US" w:eastAsia="en-US"/>
        </w:rPr>
      </w:pPr>
      <w:r>
        <w:rPr>
          <w:rFonts w:eastAsia="Calibri" w:cs="Arial"/>
          <w:color w:val="000000"/>
          <w:szCs w:val="24"/>
          <w:lang w:val="en-US" w:eastAsia="en-US"/>
        </w:rPr>
        <w:t>ROSCI0251 Upper Tisa, Heidenroslein custodian Association ;</w:t>
      </w:r>
    </w:p>
    <w:p w:rsidR="008D0E03" w:rsidRDefault="008D0E03" w:rsidP="008D0E03">
      <w:pPr>
        <w:numPr>
          <w:ilvl w:val="0"/>
          <w:numId w:val="20"/>
        </w:numPr>
        <w:autoSpaceDE w:val="0"/>
        <w:autoSpaceDN w:val="0"/>
        <w:adjustRightInd w:val="0"/>
        <w:spacing w:before="60" w:after="60" w:line="288" w:lineRule="auto"/>
        <w:jc w:val="both"/>
        <w:rPr>
          <w:rFonts w:cs="Arial"/>
        </w:rPr>
      </w:pPr>
      <w:r>
        <w:rPr>
          <w:rFonts w:cs="Arial"/>
          <w:color w:val="000000"/>
        </w:rPr>
        <w:t>ROSCI0264 Iza Valley and Hill Solovan,</w:t>
      </w:r>
      <w:r>
        <w:rPr>
          <w:rFonts w:cs="Arial"/>
        </w:rPr>
        <w:t xml:space="preserve"> </w:t>
      </w:r>
      <w:r>
        <w:rPr>
          <w:rFonts w:cs="Arial"/>
          <w:color w:val="000000"/>
        </w:rPr>
        <w:t>administrator SC Mircea Mara SRL;</w:t>
      </w:r>
    </w:p>
    <w:p w:rsidR="008D0E03" w:rsidRDefault="008D0E03" w:rsidP="008D0E03">
      <w:pPr>
        <w:pStyle w:val="ListParagraph"/>
        <w:numPr>
          <w:ilvl w:val="0"/>
          <w:numId w:val="20"/>
        </w:numPr>
        <w:spacing w:line="288" w:lineRule="auto"/>
        <w:rPr>
          <w:rFonts w:eastAsia="Calibri" w:cs="Arial"/>
          <w:color w:val="000000"/>
          <w:szCs w:val="24"/>
          <w:lang w:val="en-US" w:eastAsia="en-US"/>
        </w:rPr>
      </w:pPr>
      <w:r>
        <w:rPr>
          <w:rFonts w:eastAsia="Calibri" w:cs="Arial"/>
          <w:color w:val="000000"/>
          <w:szCs w:val="24"/>
          <w:lang w:val="en-US" w:eastAsia="en-US"/>
        </w:rPr>
        <w:t>ROSCI0192 Magura Cave Maramures ( in 10% ) and Salaj , custodian Association Somes Valley Local Action Group ;</w:t>
      </w:r>
    </w:p>
    <w:p w:rsidR="008D0E03" w:rsidRDefault="008D0E03" w:rsidP="008D0E03">
      <w:pPr>
        <w:pStyle w:val="ListParagraph"/>
        <w:numPr>
          <w:ilvl w:val="0"/>
          <w:numId w:val="20"/>
        </w:numPr>
        <w:spacing w:line="288" w:lineRule="auto"/>
        <w:rPr>
          <w:rFonts w:eastAsia="Calibri" w:cs="Arial"/>
          <w:color w:val="000000"/>
          <w:szCs w:val="24"/>
          <w:lang w:val="en-US" w:eastAsia="en-US"/>
        </w:rPr>
      </w:pPr>
      <w:r>
        <w:rPr>
          <w:rFonts w:eastAsia="Calibri" w:cs="Arial"/>
          <w:color w:val="000000"/>
          <w:szCs w:val="24"/>
          <w:lang w:val="en-US" w:eastAsia="en-US"/>
        </w:rPr>
        <w:t xml:space="preserve">ROSCI0275 Bârsău Șomcuta, Maramureș and Satu Mare County; </w:t>
      </w:r>
    </w:p>
    <w:p w:rsidR="008D0E03" w:rsidRDefault="008D0E03" w:rsidP="008D0E03">
      <w:pPr>
        <w:pStyle w:val="ListParagraph"/>
        <w:numPr>
          <w:ilvl w:val="0"/>
          <w:numId w:val="20"/>
        </w:numPr>
        <w:spacing w:line="288" w:lineRule="auto"/>
        <w:rPr>
          <w:rFonts w:eastAsia="Calibri" w:cs="Arial"/>
          <w:color w:val="000000"/>
          <w:szCs w:val="24"/>
          <w:lang w:val="en-US" w:eastAsia="en-US"/>
        </w:rPr>
      </w:pPr>
      <w:r>
        <w:rPr>
          <w:rFonts w:eastAsia="Calibri" w:cs="Arial"/>
          <w:color w:val="000000"/>
          <w:szCs w:val="24"/>
          <w:lang w:val="en-US" w:eastAsia="en-US"/>
        </w:rPr>
        <w:t>ROSCI0285 Secular Forests of Strâmbu Băiuţ, custodian</w:t>
      </w:r>
      <w:r>
        <w:rPr>
          <w:rFonts w:cs="Arial"/>
          <w:szCs w:val="24"/>
          <w:lang w:val="en-US"/>
        </w:rPr>
        <w:t xml:space="preserve"> </w:t>
      </w:r>
      <w:r>
        <w:rPr>
          <w:rFonts w:eastAsia="Calibri" w:cs="Arial"/>
          <w:color w:val="000000"/>
          <w:szCs w:val="24"/>
          <w:lang w:val="en-US" w:eastAsia="en-US"/>
        </w:rPr>
        <w:t>WWF Danube Carpathian Programme;</w:t>
      </w:r>
    </w:p>
    <w:p w:rsidR="008D0E03" w:rsidRDefault="008D0E03" w:rsidP="008D0E03">
      <w:pPr>
        <w:autoSpaceDE w:val="0"/>
        <w:autoSpaceDN w:val="0"/>
        <w:adjustRightInd w:val="0"/>
        <w:spacing w:before="60" w:after="60" w:line="288" w:lineRule="auto"/>
        <w:jc w:val="both"/>
        <w:rPr>
          <w:rFonts w:eastAsia="Calibri" w:cs="Arial"/>
          <w:color w:val="000000"/>
          <w:lang w:val="en-US" w:eastAsia="en-US"/>
        </w:rPr>
      </w:pPr>
      <w:r>
        <w:rPr>
          <w:rFonts w:eastAsia="Calibri" w:cs="Arial"/>
          <w:color w:val="000000"/>
          <w:lang w:val="en-US" w:eastAsia="en-US"/>
        </w:rPr>
        <w:t xml:space="preserve">ROSCI0358 Pricop Huta Certeze, Maramureș and Satu Mare County – custodian Heidenroslein Association. </w:t>
      </w:r>
    </w:p>
    <w:p w:rsidR="008D0E03" w:rsidRDefault="008D0E03" w:rsidP="008D0E03">
      <w:pPr>
        <w:autoSpaceDE w:val="0"/>
        <w:autoSpaceDN w:val="0"/>
        <w:adjustRightInd w:val="0"/>
        <w:spacing w:before="60" w:after="60" w:line="288" w:lineRule="auto"/>
        <w:jc w:val="both"/>
        <w:rPr>
          <w:rFonts w:eastAsia="Calibri" w:cs="Arial"/>
          <w:color w:val="000000"/>
          <w:lang w:val="en-US" w:eastAsia="en-US"/>
        </w:rPr>
      </w:pPr>
    </w:p>
    <w:p w:rsidR="008D0E03" w:rsidRDefault="008D0E03" w:rsidP="008D0E03">
      <w:pPr>
        <w:numPr>
          <w:ilvl w:val="0"/>
          <w:numId w:val="20"/>
        </w:numPr>
        <w:autoSpaceDE w:val="0"/>
        <w:autoSpaceDN w:val="0"/>
        <w:adjustRightInd w:val="0"/>
        <w:spacing w:before="60" w:after="60" w:line="288" w:lineRule="auto"/>
        <w:contextualSpacing/>
        <w:jc w:val="both"/>
        <w:rPr>
          <w:rFonts w:eastAsia="EUAlbertina-Regular-Identity-H" w:cs="Arial"/>
          <w:b/>
          <w:szCs w:val="20"/>
          <w:lang w:val="en-GB" w:eastAsia="x-none"/>
        </w:rPr>
      </w:pPr>
      <w:r>
        <w:rPr>
          <w:rFonts w:eastAsia="EUAlbertina-Regular-Identity-H" w:cs="Arial"/>
          <w:b/>
          <w:szCs w:val="20"/>
          <w:lang w:val="en-GB" w:eastAsia="x-none"/>
        </w:rPr>
        <w:t>Satu Mare County</w:t>
      </w:r>
    </w:p>
    <w:p w:rsidR="008D0E03" w:rsidRDefault="008D0E03" w:rsidP="008D0E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en-GB" w:eastAsia="en-US"/>
        </w:rPr>
      </w:pPr>
    </w:p>
    <w:p w:rsidR="008D0E03" w:rsidRDefault="008D0E03" w:rsidP="008D0E03">
      <w:pPr>
        <w:jc w:val="both"/>
        <w:rPr>
          <w:rFonts w:cs="Arial"/>
        </w:rPr>
      </w:pPr>
      <w:r>
        <w:rPr>
          <w:rFonts w:cs="Arial"/>
          <w:lang w:val="en-GB" w:eastAsia="en-US"/>
        </w:rPr>
        <w:t xml:space="preserve">Satu Mare County established 5 Sites for Community Importance (SCI) and 2 Special Protection Areas (SPA). </w:t>
      </w:r>
      <w:r>
        <w:rPr>
          <w:rFonts w:cs="Arial"/>
        </w:rPr>
        <w:t xml:space="preserve">The area occupied by the Natura 2000 sites relative to the total area of </w:t>
      </w:r>
      <w:r>
        <w:rPr>
          <w:rFonts w:ascii="Cambria Math" w:hAnsi="Cambria Math" w:cs="Cambria Math"/>
        </w:rPr>
        <w:t>​​</w:t>
      </w:r>
      <w:r>
        <w:rPr>
          <w:rFonts w:cs="Arial"/>
        </w:rPr>
        <w:t>Satu Mare (% ) is: 10.39 ( 45902.16 ha ) . Figure 5.3 shows the distribution of SCI , SPA and nature reserves in the county of Satu Mare.</w:t>
      </w:r>
    </w:p>
    <w:p w:rsidR="008D0E03" w:rsidRDefault="008D0E03" w:rsidP="008D0E03">
      <w:pPr>
        <w:jc w:val="both"/>
        <w:rPr>
          <w:rFonts w:cs="Arial"/>
        </w:rPr>
      </w:pPr>
      <w:r>
        <w:rPr>
          <w:rFonts w:cs="Arial"/>
        </w:rPr>
        <w:t>Protected natural areas of national interest from Maramures county are the following: Sand dunes Foeni, Vermes Swamp, Olighotrophic swamps from Oas Mountains, Urziceni Forest, Tur River, Pine Forest Comja.</w:t>
      </w:r>
    </w:p>
    <w:p w:rsidR="008D0E03" w:rsidRDefault="008D0E03" w:rsidP="008D0E03">
      <w:pPr>
        <w:spacing w:after="200" w:line="276" w:lineRule="auto"/>
        <w:jc w:val="center"/>
        <w:rPr>
          <w:rFonts w:ascii="Calibri" w:eastAsia="Calibri" w:hAnsi="Calibri" w:cs="Arial"/>
          <w:sz w:val="22"/>
          <w:szCs w:val="22"/>
          <w:lang w:val="en-GB" w:eastAsia="en-US"/>
        </w:rPr>
      </w:pPr>
    </w:p>
    <w:p w:rsidR="008D0E03" w:rsidRDefault="008D0E03" w:rsidP="008D0E03">
      <w:pPr>
        <w:rPr>
          <w:snapToGrid w:val="0"/>
          <w:position w:val="-6"/>
          <w:lang w:val="en-GB"/>
        </w:rPr>
        <w:sectPr w:rsidR="008D0E03">
          <w:headerReference w:type="default" r:id="rId42"/>
          <w:footerReference w:type="default" r:id="rId43"/>
          <w:pgSz w:w="11909" w:h="16834" w:code="9"/>
          <w:pgMar w:top="562" w:right="475" w:bottom="562" w:left="1138" w:header="288" w:footer="0" w:gutter="0"/>
          <w:cols w:space="708"/>
          <w:docGrid w:linePitch="360"/>
        </w:sectPr>
      </w:pPr>
    </w:p>
    <w:p w:rsidR="008D0E03" w:rsidRDefault="008D0E03" w:rsidP="008D0E03">
      <w:pPr>
        <w:jc w:val="center"/>
        <w:rPr>
          <w:rFonts w:cs="Arial"/>
          <w:lang w:val="en-GB"/>
        </w:rPr>
      </w:pPr>
    </w:p>
    <w:p w:rsidR="008D0E03" w:rsidRDefault="008D0E03" w:rsidP="008D0E03">
      <w:pPr>
        <w:rPr>
          <w:rFonts w:cs="Arial"/>
          <w:lang w:val="en-GB"/>
        </w:rPr>
      </w:pPr>
    </w:p>
    <w:p w:rsidR="008D0E03" w:rsidRDefault="008D0E03" w:rsidP="008D0E03">
      <w:pPr>
        <w:rPr>
          <w:rFonts w:cs="Arial"/>
          <w:lang w:val="en-GB"/>
        </w:rPr>
      </w:pPr>
    </w:p>
    <w:p w:rsidR="008D0E03" w:rsidRDefault="008D0E03" w:rsidP="008D0E03">
      <w:pPr>
        <w:jc w:val="center"/>
        <w:rPr>
          <w:snapToGrid w:val="0"/>
          <w:position w:val="-6"/>
          <w:lang w:val="en-GB"/>
        </w:rPr>
        <w:sectPr w:rsidR="008D0E03">
          <w:headerReference w:type="default" r:id="rId44"/>
          <w:footerReference w:type="default" r:id="rId45"/>
          <w:pgSz w:w="16834" w:h="11909" w:orient="landscape" w:code="9"/>
          <w:pgMar w:top="1138" w:right="562" w:bottom="475" w:left="562" w:header="288" w:footer="0" w:gutter="0"/>
          <w:cols w:space="708"/>
          <w:docGrid w:linePitch="360"/>
        </w:sectPr>
      </w:pPr>
      <w:r w:rsidRPr="002E01ED">
        <w:rPr>
          <w:noProof/>
          <w:position w:val="-6"/>
          <w:lang w:val="en-US" w:eastAsia="en-US"/>
        </w:rPr>
        <w:drawing>
          <wp:inline distT="0" distB="0" distL="0" distR="0" wp14:anchorId="2A8B210A" wp14:editId="367F337B">
            <wp:extent cx="7514590" cy="5314315"/>
            <wp:effectExtent l="0" t="0" r="0" b="635"/>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514590" cy="5314315"/>
                    </a:xfrm>
                    <a:prstGeom prst="rect">
                      <a:avLst/>
                    </a:prstGeom>
                    <a:noFill/>
                  </pic:spPr>
                </pic:pic>
              </a:graphicData>
            </a:graphic>
          </wp:inline>
        </w:drawing>
      </w:r>
    </w:p>
    <w:p w:rsidR="008D0E03" w:rsidRDefault="008D0E03" w:rsidP="008D0E03">
      <w:pPr>
        <w:numPr>
          <w:ilvl w:val="0"/>
          <w:numId w:val="70"/>
        </w:numPr>
        <w:autoSpaceDE w:val="0"/>
        <w:autoSpaceDN w:val="0"/>
        <w:adjustRightInd w:val="0"/>
        <w:spacing w:before="60" w:after="60" w:line="288" w:lineRule="auto"/>
        <w:jc w:val="both"/>
        <w:rPr>
          <w:rFonts w:eastAsia="Calibri" w:cs="Arial"/>
          <w:color w:val="000000"/>
          <w:lang w:val="en-GB" w:eastAsia="en-US"/>
        </w:rPr>
      </w:pPr>
      <w:r>
        <w:rPr>
          <w:rFonts w:eastAsia="Calibri" w:cs="Arial"/>
          <w:b/>
          <w:bCs/>
          <w:color w:val="000000"/>
          <w:lang w:val="en-GB"/>
        </w:rPr>
        <w:lastRenderedPageBreak/>
        <w:t>SPECIAL PROTECTION AREAS –SPA</w:t>
      </w: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 xml:space="preserve">In Satu Mare County 2 SPA are declared. </w:t>
      </w:r>
    </w:p>
    <w:p w:rsidR="008D0E03" w:rsidRDefault="008D0E03" w:rsidP="008D0E03">
      <w:pPr>
        <w:autoSpaceDE w:val="0"/>
        <w:autoSpaceDN w:val="0"/>
        <w:adjustRightInd w:val="0"/>
        <w:spacing w:after="200" w:line="276" w:lineRule="auto"/>
        <w:jc w:val="both"/>
        <w:rPr>
          <w:rFonts w:eastAsia="Calibri" w:cs="Arial"/>
          <w:color w:val="000000"/>
          <w:lang w:val="en-GB" w:eastAsia="en-US"/>
        </w:rPr>
      </w:pPr>
    </w:p>
    <w:p w:rsidR="008D0E03" w:rsidRDefault="008D0E03" w:rsidP="008D0E03">
      <w:pPr>
        <w:numPr>
          <w:ilvl w:val="0"/>
          <w:numId w:val="21"/>
        </w:numPr>
        <w:autoSpaceDE w:val="0"/>
        <w:autoSpaceDN w:val="0"/>
        <w:adjustRightInd w:val="0"/>
        <w:spacing w:before="60" w:after="60" w:line="288" w:lineRule="auto"/>
        <w:jc w:val="both"/>
        <w:rPr>
          <w:rFonts w:eastAsia="Calibri" w:cs="Arial"/>
          <w:color w:val="000000"/>
          <w:lang w:val="en-GB" w:eastAsia="en-US"/>
        </w:rPr>
      </w:pPr>
      <w:r>
        <w:rPr>
          <w:rFonts w:eastAsia="Calibri" w:cs="Arial"/>
          <w:b/>
          <w:bCs/>
          <w:color w:val="000000"/>
          <w:lang w:val="en-GB" w:eastAsia="en-US"/>
        </w:rPr>
        <w:t>ROSPA0016 Nirului Plain –Ierului Valley</w:t>
      </w:r>
    </w:p>
    <w:p w:rsidR="008D0E03" w:rsidRPr="0088539B" w:rsidRDefault="008D0E03" w:rsidP="008D0E03">
      <w:pPr>
        <w:autoSpaceDE w:val="0"/>
        <w:autoSpaceDN w:val="0"/>
        <w:adjustRightInd w:val="0"/>
        <w:spacing w:line="288" w:lineRule="auto"/>
        <w:jc w:val="both"/>
        <w:rPr>
          <w:rFonts w:cs="Arial"/>
          <w:color w:val="000000"/>
        </w:rPr>
      </w:pPr>
      <w:r w:rsidRPr="0088539B">
        <w:rPr>
          <w:rFonts w:cs="Arial"/>
          <w:color w:val="000000"/>
        </w:rPr>
        <w:t>Bihor County: Cherechiu (6%), Curtuişeni (32%), Sălacea (30%), Tarcea (47%), Valea lui Mihai (47%), Şimian (46%) . Judeţul Satu Mare: Andrid (42%), Carei (7%), Ciumeşti (76%), Căuaş (5%), Foieni (54%), Pir (18%), Pişcolt (52%), Sanislău (61%), Santău (15%), Tiream (37%), Urziceni (47%);</w:t>
      </w:r>
    </w:p>
    <w:p w:rsidR="008D0E03" w:rsidRDefault="008D0E03" w:rsidP="008D0E03">
      <w:pPr>
        <w:autoSpaceDE w:val="0"/>
        <w:autoSpaceDN w:val="0"/>
        <w:adjustRightInd w:val="0"/>
        <w:spacing w:before="60" w:after="60" w:line="288" w:lineRule="auto"/>
        <w:jc w:val="both"/>
        <w:rPr>
          <w:rFonts w:eastAsia="Calibri" w:cs="Arial"/>
          <w:color w:val="000000"/>
          <w:lang w:val="en-GB" w:eastAsia="en-US"/>
        </w:rPr>
      </w:pPr>
      <w:r>
        <w:rPr>
          <w:rFonts w:eastAsia="Calibri" w:cs="Arial"/>
          <w:color w:val="000000"/>
          <w:lang w:val="en-GB" w:eastAsia="en-US"/>
        </w:rPr>
        <w:t>Surface: 38 682.1 ha</w:t>
      </w:r>
    </w:p>
    <w:p w:rsidR="008D0E03" w:rsidRDefault="008D0E03" w:rsidP="008D0E03">
      <w:pPr>
        <w:autoSpaceDE w:val="0"/>
        <w:autoSpaceDN w:val="0"/>
        <w:adjustRightInd w:val="0"/>
        <w:spacing w:before="60" w:after="60" w:line="288" w:lineRule="auto"/>
        <w:jc w:val="both"/>
        <w:rPr>
          <w:rFonts w:eastAsia="Calibri" w:cs="Arial"/>
          <w:color w:val="000000"/>
          <w:lang w:val="en-GB" w:eastAsia="en-US"/>
        </w:rPr>
      </w:pPr>
      <w:r>
        <w:rPr>
          <w:rFonts w:cs="Arial"/>
          <w:color w:val="000000"/>
        </w:rPr>
        <w:t>Site Overview:</w:t>
      </w:r>
      <w:r>
        <w:rPr>
          <w:rFonts w:eastAsia="Calibri" w:cs="Arial"/>
          <w:color w:val="000000"/>
          <w:lang w:val="en-GB" w:eastAsia="en-US"/>
        </w:rPr>
        <w:t>Continental sands of Nir Plain stretch along the northwestern border of Romania, accounting for a third of the total area of sand in our country.  Nir Plain relief is characterized by rows of dunes oriented NNE - SSW general alternating lowland swamps of interdune sometimes. The main rivers are: Berea, Valea Neagra and Horea. Within the sands there are several lakes and ponds, but with small areas.</w:t>
      </w:r>
    </w:p>
    <w:p w:rsidR="008D0E03" w:rsidRDefault="008D0E03" w:rsidP="008D0E03">
      <w:pPr>
        <w:autoSpaceDE w:val="0"/>
        <w:autoSpaceDN w:val="0"/>
        <w:adjustRightInd w:val="0"/>
        <w:spacing w:before="60" w:after="60" w:line="288" w:lineRule="auto"/>
        <w:jc w:val="both"/>
        <w:rPr>
          <w:rFonts w:eastAsia="Calibri" w:cs="Arial"/>
          <w:color w:val="000000"/>
          <w:lang w:val="en-GB" w:eastAsia="en-US"/>
        </w:rPr>
      </w:pPr>
    </w:p>
    <w:p w:rsidR="008D0E03" w:rsidRDefault="008D0E03" w:rsidP="008D0E03">
      <w:pPr>
        <w:numPr>
          <w:ilvl w:val="0"/>
          <w:numId w:val="21"/>
        </w:numPr>
        <w:autoSpaceDE w:val="0"/>
        <w:autoSpaceDN w:val="0"/>
        <w:adjustRightInd w:val="0"/>
        <w:spacing w:before="60" w:after="60" w:line="288" w:lineRule="auto"/>
        <w:jc w:val="both"/>
        <w:rPr>
          <w:rFonts w:eastAsia="Calibri" w:cs="Arial"/>
          <w:color w:val="000000"/>
          <w:lang w:val="en-GB" w:eastAsia="en-US"/>
        </w:rPr>
      </w:pPr>
      <w:r>
        <w:rPr>
          <w:rFonts w:eastAsia="Calibri" w:cs="Arial"/>
          <w:b/>
          <w:bCs/>
          <w:color w:val="000000"/>
          <w:lang w:val="en-GB" w:eastAsia="en-US"/>
        </w:rPr>
        <w:t>ROSPA0068 Turului Lower Meadow</w:t>
      </w:r>
    </w:p>
    <w:p w:rsidR="008D0E03" w:rsidRPr="0088539B" w:rsidRDefault="008D0E03" w:rsidP="008D0E03">
      <w:pPr>
        <w:autoSpaceDE w:val="0"/>
        <w:autoSpaceDN w:val="0"/>
        <w:adjustRightInd w:val="0"/>
        <w:spacing w:line="288" w:lineRule="auto"/>
        <w:jc w:val="both"/>
        <w:rPr>
          <w:rFonts w:cs="Arial"/>
          <w:bCs/>
          <w:color w:val="000000"/>
        </w:rPr>
      </w:pPr>
      <w:r w:rsidRPr="0088539B">
        <w:rPr>
          <w:rFonts w:cs="Arial"/>
          <w:bCs/>
          <w:color w:val="000000"/>
        </w:rPr>
        <w:t xml:space="preserve">Satu Mare County: Agriş (19%), Botiz (&lt; 1%), Călineşti-Oaş (42%), Gherţa Mică (34%), Halmeu (&lt; 1%), Lazuri (20%), Livada (43%),Medieşu Aurit (15%), Micula (54%), Oraşu Nou (40%), Porumbeşti (22%), Turulung (40%), Turţ (2%); </w:t>
      </w:r>
    </w:p>
    <w:p w:rsidR="008D0E03" w:rsidRDefault="008D0E03" w:rsidP="008D0E03">
      <w:pPr>
        <w:autoSpaceDE w:val="0"/>
        <w:autoSpaceDN w:val="0"/>
        <w:adjustRightInd w:val="0"/>
        <w:spacing w:before="60" w:after="60" w:line="288" w:lineRule="auto"/>
        <w:jc w:val="both"/>
        <w:rPr>
          <w:rFonts w:eastAsia="Calibri" w:cs="Arial"/>
          <w:bCs/>
          <w:color w:val="000000"/>
          <w:lang w:val="en-GB" w:eastAsia="en-US"/>
        </w:rPr>
      </w:pPr>
      <w:r>
        <w:rPr>
          <w:rFonts w:eastAsia="Calibri" w:cs="Arial"/>
          <w:bCs/>
          <w:color w:val="000000"/>
          <w:lang w:val="en-GB" w:eastAsia="en-US"/>
        </w:rPr>
        <w:t>Surface: 20 126.5 ha</w:t>
      </w:r>
    </w:p>
    <w:p w:rsidR="008D0E03" w:rsidRDefault="008D0E03" w:rsidP="008D0E03">
      <w:pPr>
        <w:autoSpaceDE w:val="0"/>
        <w:autoSpaceDN w:val="0"/>
        <w:adjustRightInd w:val="0"/>
        <w:spacing w:before="60" w:after="60" w:line="288" w:lineRule="auto"/>
        <w:jc w:val="both"/>
        <w:rPr>
          <w:rFonts w:eastAsia="Calibri" w:cs="Arial"/>
          <w:bCs/>
          <w:color w:val="000000"/>
          <w:lang w:val="en-GB" w:eastAsia="en-US"/>
        </w:rPr>
      </w:pPr>
      <w:r>
        <w:rPr>
          <w:rFonts w:cs="Arial"/>
          <w:color w:val="000000"/>
        </w:rPr>
        <w:t>Site Overview:</w:t>
      </w:r>
      <w:r>
        <w:rPr>
          <w:rFonts w:eastAsia="Calibri" w:cs="Arial"/>
          <w:bCs/>
          <w:color w:val="000000"/>
          <w:lang w:val="en-GB" w:eastAsia="en-US"/>
        </w:rPr>
        <w:t xml:space="preserve"> Tur River Basin is divided in two major relief units: mountain (35%) and plain (65%).</w:t>
      </w:r>
    </w:p>
    <w:p w:rsidR="008D0E03" w:rsidRDefault="008D0E03" w:rsidP="008D0E03">
      <w:pPr>
        <w:autoSpaceDE w:val="0"/>
        <w:autoSpaceDN w:val="0"/>
        <w:adjustRightInd w:val="0"/>
        <w:spacing w:before="60" w:after="60" w:line="288" w:lineRule="auto"/>
        <w:jc w:val="both"/>
        <w:rPr>
          <w:rFonts w:eastAsia="Calibri" w:cs="Arial"/>
          <w:bCs/>
          <w:color w:val="000000"/>
          <w:lang w:val="en-GB" w:eastAsia="en-US"/>
        </w:rPr>
      </w:pPr>
      <w:r>
        <w:rPr>
          <w:rFonts w:eastAsia="Calibri" w:cs="Arial"/>
          <w:b/>
          <w:bCs/>
          <w:color w:val="000000"/>
          <w:lang w:val="en-GB" w:eastAsia="en-US"/>
        </w:rPr>
        <w:t>Habitat classes</w:t>
      </w:r>
      <w:r>
        <w:rPr>
          <w:rFonts w:eastAsia="Calibri" w:cs="Arial"/>
          <w:bCs/>
          <w:color w:val="000000"/>
          <w:lang w:val="en-GB" w:eastAsia="en-US"/>
        </w:rPr>
        <w:t xml:space="preserve"> : rivers, lakes , swamps , bogs , cultures (arable land ) , grassland , other arable land , deciduous forests .</w:t>
      </w:r>
    </w:p>
    <w:p w:rsidR="008D0E03" w:rsidRDefault="008D0E03" w:rsidP="008D0E03">
      <w:pPr>
        <w:spacing w:before="60" w:after="60" w:line="288" w:lineRule="auto"/>
        <w:jc w:val="both"/>
        <w:rPr>
          <w:rFonts w:cs="Arial"/>
        </w:rPr>
      </w:pPr>
      <w:r>
        <w:rPr>
          <w:rFonts w:cs="Arial"/>
          <w:b/>
        </w:rPr>
        <w:t>Quality and importance</w:t>
      </w:r>
      <w:r>
        <w:rPr>
          <w:rFonts w:cs="Arial"/>
        </w:rPr>
        <w:t>: This area is a green corridor showing a vegetation: with rare flora species phytocenosis alongside a rich spontaneous flora. They are very well represented fauna, reptiles, amphibians, invertebrates. Meadow Tour has a rich entomofauna very rare species of butterflies. During migrations are ponds nearby place for migratory bird’s passage, observing a mixture of species of native species with northern areas (some rare ornithological or vulnerable species).</w:t>
      </w:r>
    </w:p>
    <w:p w:rsidR="008D0E03" w:rsidRDefault="008D0E03" w:rsidP="008D0E03">
      <w:pPr>
        <w:spacing w:before="60" w:after="60" w:line="288" w:lineRule="auto"/>
        <w:jc w:val="both"/>
        <w:rPr>
          <w:rFonts w:cs="Arial"/>
        </w:rPr>
      </w:pPr>
      <w:r>
        <w:rPr>
          <w:rFonts w:cs="Arial"/>
        </w:rPr>
        <w:t>Species of global conservation interest - 1 species: Corncrake (Crex crex). Important populations of threatened species in the European Union - 4 species : black kite ( Milvus migrans ) , Nightingale pond ( Acrocephalus melanopogon ), Black Stork ( Ciconia nigra ), kite reed( Circus aeruginosus) .</w:t>
      </w:r>
    </w:p>
    <w:p w:rsidR="008D0E03" w:rsidRDefault="008D0E03" w:rsidP="008D0E03">
      <w:pPr>
        <w:spacing w:before="60" w:after="60" w:line="288" w:lineRule="auto"/>
        <w:jc w:val="both"/>
        <w:rPr>
          <w:rFonts w:eastAsia="Calibri" w:cs="Arial"/>
          <w:lang w:val="en-GB" w:eastAsia="en-US"/>
        </w:rPr>
      </w:pPr>
    </w:p>
    <w:p w:rsidR="002E01ED" w:rsidRDefault="002E01ED" w:rsidP="008D0E03">
      <w:pPr>
        <w:spacing w:before="60" w:after="60" w:line="288" w:lineRule="auto"/>
        <w:jc w:val="both"/>
        <w:rPr>
          <w:rFonts w:eastAsia="Calibri" w:cs="Arial"/>
          <w:lang w:val="en-GB" w:eastAsia="en-US"/>
        </w:rPr>
      </w:pPr>
    </w:p>
    <w:p w:rsidR="002E01ED" w:rsidRDefault="002E01ED" w:rsidP="008D0E03">
      <w:pPr>
        <w:spacing w:before="60" w:after="60" w:line="288" w:lineRule="auto"/>
        <w:jc w:val="both"/>
        <w:rPr>
          <w:rFonts w:eastAsia="Calibri" w:cs="Arial"/>
          <w:lang w:val="en-GB" w:eastAsia="en-US"/>
        </w:rPr>
      </w:pPr>
    </w:p>
    <w:p w:rsidR="002E01ED" w:rsidRDefault="002E01ED" w:rsidP="008D0E03">
      <w:pPr>
        <w:spacing w:before="60" w:after="60" w:line="288" w:lineRule="auto"/>
        <w:jc w:val="both"/>
        <w:rPr>
          <w:rFonts w:eastAsia="Calibri" w:cs="Arial"/>
          <w:lang w:val="en-GB" w:eastAsia="en-US"/>
        </w:rPr>
      </w:pPr>
    </w:p>
    <w:p w:rsidR="008D0E03" w:rsidRDefault="008D0E03" w:rsidP="008D0E03">
      <w:pPr>
        <w:spacing w:before="60" w:after="60" w:line="288" w:lineRule="auto"/>
        <w:jc w:val="both"/>
        <w:rPr>
          <w:rFonts w:eastAsia="Calibri" w:cs="Arial"/>
          <w:lang w:val="en-GB" w:eastAsia="en-US"/>
        </w:rPr>
      </w:pPr>
    </w:p>
    <w:p w:rsidR="008D0E03" w:rsidRDefault="008D0E03" w:rsidP="008D0E03">
      <w:pPr>
        <w:numPr>
          <w:ilvl w:val="0"/>
          <w:numId w:val="70"/>
        </w:numPr>
        <w:autoSpaceDE w:val="0"/>
        <w:autoSpaceDN w:val="0"/>
        <w:adjustRightInd w:val="0"/>
        <w:spacing w:before="60" w:after="60" w:line="288" w:lineRule="auto"/>
        <w:jc w:val="both"/>
        <w:rPr>
          <w:rFonts w:eastAsia="Calibri" w:cs="Arial"/>
          <w:color w:val="000000"/>
          <w:lang w:val="en-GB"/>
        </w:rPr>
      </w:pPr>
      <w:r>
        <w:rPr>
          <w:rFonts w:eastAsia="Calibri" w:cs="Arial"/>
          <w:b/>
          <w:bCs/>
          <w:color w:val="000000"/>
          <w:lang w:val="en-GB"/>
        </w:rPr>
        <w:t xml:space="preserve">SIT OF COMUNITY IMPORTANCE-SCI </w:t>
      </w:r>
    </w:p>
    <w:p w:rsidR="008D0E03" w:rsidRDefault="008D0E03" w:rsidP="008D0E03">
      <w:pPr>
        <w:autoSpaceDE w:val="0"/>
        <w:autoSpaceDN w:val="0"/>
        <w:adjustRightInd w:val="0"/>
        <w:spacing w:before="60" w:after="60" w:line="288" w:lineRule="auto"/>
        <w:ind w:left="1080"/>
        <w:jc w:val="both"/>
        <w:rPr>
          <w:rFonts w:eastAsia="Calibri" w:cs="Arial"/>
          <w:color w:val="000000"/>
          <w:lang w:val="en-GB" w:eastAsia="en-US"/>
        </w:rPr>
      </w:pPr>
    </w:p>
    <w:p w:rsidR="008D0E03" w:rsidRDefault="008D0E03" w:rsidP="008D0E03">
      <w:pPr>
        <w:autoSpaceDE w:val="0"/>
        <w:autoSpaceDN w:val="0"/>
        <w:adjustRightInd w:val="0"/>
        <w:spacing w:before="60" w:after="60" w:line="288" w:lineRule="auto"/>
        <w:jc w:val="both"/>
        <w:rPr>
          <w:rFonts w:eastAsia="Calibri" w:cs="Arial"/>
          <w:color w:val="000000"/>
          <w:lang w:val="en-GB"/>
        </w:rPr>
      </w:pPr>
      <w:r>
        <w:rPr>
          <w:rFonts w:eastAsia="Calibri" w:cs="Arial"/>
          <w:color w:val="000000"/>
          <w:lang w:val="en-GB"/>
        </w:rPr>
        <w:t xml:space="preserve">In Satu Mare County are </w:t>
      </w:r>
      <w:r>
        <w:rPr>
          <w:rFonts w:eastAsia="Calibri" w:cs="Arial"/>
          <w:b/>
          <w:color w:val="000000"/>
          <w:lang w:val="en-GB"/>
        </w:rPr>
        <w:t xml:space="preserve">5 </w:t>
      </w:r>
      <w:r>
        <w:rPr>
          <w:rFonts w:eastAsia="Calibri" w:cs="Arial"/>
          <w:color w:val="000000"/>
          <w:lang w:val="en-GB"/>
        </w:rPr>
        <w:t xml:space="preserve">Sits of community importance. </w:t>
      </w:r>
    </w:p>
    <w:p w:rsidR="008D0E03" w:rsidRDefault="008D0E03" w:rsidP="008D0E03">
      <w:pPr>
        <w:autoSpaceDE w:val="0"/>
        <w:autoSpaceDN w:val="0"/>
        <w:adjustRightInd w:val="0"/>
        <w:spacing w:before="60" w:after="60" w:line="288" w:lineRule="auto"/>
        <w:jc w:val="both"/>
        <w:rPr>
          <w:rFonts w:eastAsia="Calibri" w:cs="Arial"/>
          <w:color w:val="000000"/>
          <w:lang w:val="en-GB" w:eastAsia="en-US"/>
        </w:rPr>
      </w:pPr>
    </w:p>
    <w:p w:rsidR="008D0E03" w:rsidRPr="0088539B" w:rsidRDefault="008D0E03" w:rsidP="008D0E03">
      <w:pPr>
        <w:numPr>
          <w:ilvl w:val="0"/>
          <w:numId w:val="21"/>
        </w:numPr>
        <w:autoSpaceDE w:val="0"/>
        <w:autoSpaceDN w:val="0"/>
        <w:adjustRightInd w:val="0"/>
        <w:spacing w:before="60" w:after="60" w:line="288" w:lineRule="auto"/>
        <w:jc w:val="both"/>
        <w:rPr>
          <w:rFonts w:eastAsia="Calibri" w:cs="Arial"/>
          <w:b/>
          <w:bCs/>
          <w:iCs/>
          <w:color w:val="000000"/>
          <w:lang w:val="en-GB" w:eastAsia="en-US"/>
        </w:rPr>
      </w:pPr>
      <w:r w:rsidRPr="0088539B">
        <w:rPr>
          <w:rFonts w:eastAsia="Calibri" w:cs="Arial"/>
          <w:b/>
          <w:bCs/>
          <w:iCs/>
          <w:color w:val="000000"/>
          <w:lang w:val="en-GB" w:eastAsia="en-US"/>
        </w:rPr>
        <w:t>ROSCI0020 Plain Careiului</w:t>
      </w:r>
    </w:p>
    <w:p w:rsidR="008D0E03"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Cs/>
          <w:iCs/>
          <w:color w:val="000000"/>
        </w:rPr>
        <w:t>Satu Mare County: Ciumeşti (73%), Foieni (51%), Pişcolt (47%), Sanislău (58%), Urziceni (47%);</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Cs/>
          <w:iCs/>
          <w:color w:val="000000"/>
        </w:rPr>
        <w:t>Bihor County: Curtuişeni (28%), Valea lui Mihai (47%), Şimian (40%);</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Types of habitats</w:t>
      </w:r>
      <w:r w:rsidRPr="0088539B">
        <w:rPr>
          <w:rFonts w:cs="Arial"/>
          <w:bCs/>
          <w:iCs/>
          <w:color w:val="000000"/>
        </w:rPr>
        <w:t>: 2190 - Depression interdune wet ; 2340  - Dune Pannonian ; 3260 - Water courses in the plains to the mountain stage , with vegetation and Callitricho - Batrachion fluitantis Ranunculion; 3270 - cumaluri muddy rivers with vegetation Chenopodion Ariege and Bidention; 6120  - grasslands xerice on nisipuricalcaroase; 6410 - Molinia meadows on calcareous, peaty or clay loam ( Molinion caeruleae ); 6430 communicates the hydrophilic tall grass skirt from plain to mountain and alpine floors ; 6440 - grasslands aluvialedin Cnidion doubt ; 6510 - low altitude meadows ( Alopecurus pratensis , Sanguisorba officinalis ) ; 91F0 – Mixed Forest with Quercus robur, Ulmus laevis , Fraxinus excelsior or Fraxinus angustifolia, along rivers ( Ulmenion minoris ); 91I0 - eurosiberiană steppe vegetation with Quercus spp; 92A0 - groves with Salix white and Populus white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Mammalian Species</w:t>
      </w:r>
      <w:r w:rsidRPr="0088539B">
        <w:rPr>
          <w:rFonts w:cs="Arial"/>
          <w:bCs/>
          <w:iCs/>
          <w:color w:val="000000"/>
        </w:rPr>
        <w:t xml:space="preserve">: 1335 – Spermophilus citellus (Popândău, Şuită);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Amphibians and reptiles</w:t>
      </w:r>
      <w:r w:rsidRPr="0088539B">
        <w:rPr>
          <w:rFonts w:cs="Arial"/>
          <w:bCs/>
          <w:iCs/>
          <w:color w:val="000000"/>
        </w:rPr>
        <w:t>: 1188 - Bombina (Eurasian Bittern red belly ); 1220 - Emys orbicularis ( water turtle ); 1166 - Triturus cristatus ( crested newt ); 1993 - Triturus dobrogicus ( Triton crested Dobrogea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Fish species</w:t>
      </w:r>
      <w:r w:rsidRPr="0088539B">
        <w:rPr>
          <w:rFonts w:cs="Arial"/>
          <w:bCs/>
          <w:iCs/>
          <w:color w:val="000000"/>
        </w:rPr>
        <w:t>: 1149 - Cobitis taenia (grig ); 1145 - Misgurnus fossilis ( Eel ); 1134 - Rhodeus sericeus amarus ( Boart ); 2011 - Umbra krameri ( Ţigănuş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Invertebrate Species</w:t>
      </w:r>
      <w:r w:rsidRPr="0088539B">
        <w:rPr>
          <w:rFonts w:cs="Arial"/>
          <w:bCs/>
          <w:iCs/>
          <w:color w:val="000000"/>
        </w:rPr>
        <w:t>: 1088 - Cerambyx cerdo (Tailor large forest guard ); 1052 - Euphydryas maturna; 1083 -Lucanus cervus ( stag beetle, Răgacea ); 1060 - Lycaena disappear; 1059 - Maculinea teleius; Odontopodisma 4052 rubripes ( Grasshopper mountain );</w:t>
      </w:r>
    </w:p>
    <w:p w:rsidR="008D0E03"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Plant species</w:t>
      </w:r>
      <w:r w:rsidRPr="0088539B">
        <w:rPr>
          <w:rFonts w:cs="Arial"/>
          <w:bCs/>
          <w:iCs/>
          <w:color w:val="000000"/>
        </w:rPr>
        <w:t xml:space="preserve"> : 4068 - Adenophora lilifolia ; 1516 - Aldrovanda ( Otrăţel ) ; 1617 - Angelica palustris ( marsh Angelica ) ; 4081 - Cirsium brachycephalum ( bonito ) ; 1898 - Eleocharis Carniola ; 4097 - Iris aphyllassp . Hungarica (Iris , iris ) ; 4098 - Iris humilis ssp. Arenaria (Iris , iris ) ; 1428 - Marsilea quadrifolia ( Trifoiaş legs ) ; 4110  - Pulsatilla pratensis ssp. Hungarica ( Dediţei , Sisine ) .</w:t>
      </w:r>
    </w:p>
    <w:p w:rsidR="008D0E03" w:rsidRPr="0088539B" w:rsidRDefault="008D0E03" w:rsidP="008D0E03">
      <w:pPr>
        <w:tabs>
          <w:tab w:val="left" w:pos="567"/>
        </w:tabs>
        <w:autoSpaceDE w:val="0"/>
        <w:autoSpaceDN w:val="0"/>
        <w:adjustRightInd w:val="0"/>
        <w:spacing w:line="288" w:lineRule="auto"/>
        <w:jc w:val="both"/>
        <w:rPr>
          <w:rFonts w:cs="Arial"/>
          <w:bCs/>
          <w:iCs/>
          <w:color w:val="000000"/>
        </w:rPr>
      </w:pPr>
    </w:p>
    <w:p w:rsidR="008D0E03" w:rsidRPr="0088539B" w:rsidRDefault="008D0E03" w:rsidP="008D0E03">
      <w:pPr>
        <w:numPr>
          <w:ilvl w:val="0"/>
          <w:numId w:val="21"/>
        </w:numPr>
        <w:autoSpaceDE w:val="0"/>
        <w:autoSpaceDN w:val="0"/>
        <w:adjustRightInd w:val="0"/>
        <w:spacing w:before="60" w:after="60" w:line="288" w:lineRule="auto"/>
        <w:jc w:val="both"/>
        <w:rPr>
          <w:rFonts w:eastAsia="Calibri" w:cs="Arial"/>
          <w:b/>
          <w:bCs/>
          <w:iCs/>
          <w:color w:val="000000"/>
          <w:lang w:val="en-GB" w:eastAsia="en-US"/>
        </w:rPr>
      </w:pPr>
      <w:r w:rsidRPr="0088539B">
        <w:rPr>
          <w:rFonts w:eastAsia="Calibri" w:cs="Arial"/>
          <w:b/>
          <w:bCs/>
          <w:iCs/>
          <w:color w:val="000000"/>
          <w:lang w:val="en-GB" w:eastAsia="en-US"/>
        </w:rPr>
        <w:t xml:space="preserve"> ROSCI0021 Plain Ierului</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Cs/>
          <w:iCs/>
          <w:color w:val="000000"/>
        </w:rPr>
        <w:t xml:space="preserve">Satu Mare County: Andrid (41%), Căuaş (7%), Pir (22%), Pişcolt (&lt;1%), Santău (18%), Tiream (37%);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Cs/>
          <w:iCs/>
          <w:color w:val="000000"/>
        </w:rPr>
        <w:t>Bihor County: Cherechiu (58%), Curtuişeni (15%), Diosig (2%), Săcueni (18%), Sălacea (46%), Tarcea (51%), Valea lui Mihai (&lt;1%), Şimian (3%);</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Types of habitats</w:t>
      </w:r>
      <w:r w:rsidRPr="0088539B">
        <w:rPr>
          <w:rFonts w:cs="Arial"/>
          <w:bCs/>
          <w:iCs/>
          <w:color w:val="000000"/>
        </w:rPr>
        <w:t xml:space="preserve">: 1530 * - grasslands and swamps halophile Ponto- Pannonian and Sarmatian ; 3130 - oligotrophic to mesotrophic standing waters with vegetation of Littorelletea uniflorae and / or Isoëto - Nanojuncetea ; 3150 - Ariege eutrophic lakes with vegetation type or Hydrocharition Magnopotamion ; 3260 - Water courses in the plains to </w:t>
      </w:r>
      <w:r w:rsidRPr="0088539B">
        <w:rPr>
          <w:rFonts w:cs="Arial"/>
          <w:bCs/>
          <w:iCs/>
          <w:color w:val="000000"/>
        </w:rPr>
        <w:lastRenderedPageBreak/>
        <w:t>the mountain stage , with vegetation and Callitricho - Batrachion fluitantis Ranunculion ; 3270 - Rivers with muddy banks with vegetation Chenopodion Ariege and Bidention ; 40A0 - thicket peripanonice subcontinent ; 6430 - Communities of hydrophilic tall grass skirt from plain to mountain and alpine floors ; 91F0 - Riparian mixed forests with Quercus robur , Ulmus laevis , Fraxinus excelsior or Fraxinus angustifolia , along the great rivers                  (Ulmenionminoris ) ; 91I0 - eurosiberiană steppe vegetation with Quercus spp .; 92A0 - groves with Populus alba and Salix white.</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Species of mammals</w:t>
      </w:r>
      <w:r w:rsidRPr="0088539B">
        <w:rPr>
          <w:rFonts w:cs="Arial"/>
          <w:bCs/>
          <w:iCs/>
          <w:color w:val="000000"/>
        </w:rPr>
        <w:t>: 1355 - Lutra Lutra (otter, Lutra); 1335 - Spermophilus citellus (ground squirrel, Suite);</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Amphibians and reptiles</w:t>
      </w:r>
      <w:r w:rsidRPr="0088539B">
        <w:rPr>
          <w:rFonts w:cs="Arial"/>
          <w:bCs/>
          <w:iCs/>
          <w:color w:val="000000"/>
        </w:rPr>
        <w:t xml:space="preserve"> : 1188 - Bombina bombina ( Eurasian Bittern red belly ) ; 1193 - Bombina Ariege ( Buhai yellow -bellied toad ) ; 1220 - Emys orbicularis ( water turtle ) ; 1166 - Triturus cristatus (crested newt ) ; 1993 - Triturus dobrogicus ( Triton crested Dobrogea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Fish species</w:t>
      </w:r>
      <w:r w:rsidRPr="0088539B">
        <w:rPr>
          <w:rFonts w:cs="Arial"/>
          <w:bCs/>
          <w:iCs/>
          <w:color w:val="000000"/>
        </w:rPr>
        <w:t>: 1149 - Cobitis taenia ( grig ) ; 1124 - Gobio albipinnatus ( Pig plain ) ; -Misgurnus 1145 fossilis ( Eel ) ; 1134 - Rhodeus sericeus amarus ( Boart ) ; 2011 - Umbra krameri ( Ţigănuş )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Invertebrate species</w:t>
      </w:r>
      <w:r w:rsidRPr="0088539B">
        <w:rPr>
          <w:rFonts w:cs="Arial"/>
          <w:bCs/>
          <w:iCs/>
          <w:color w:val="000000"/>
        </w:rPr>
        <w:t>: 4056 - Anisus vorticulus (snail hook); 1078 * - Callimorpha quadripunctaria; 1052 - Euphydryas maturna; 4036 - Leptidea walrus; 1060 - Lycaena disappear;</w:t>
      </w:r>
    </w:p>
    <w:p w:rsidR="008D0E03"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Plant species:</w:t>
      </w:r>
      <w:r w:rsidRPr="0088539B">
        <w:rPr>
          <w:rFonts w:cs="Arial"/>
          <w:bCs/>
          <w:iCs/>
          <w:color w:val="000000"/>
        </w:rPr>
        <w:t xml:space="preserve"> 1516 - Aldrovanda ( Otrăţel ) ; 4081 - Cirsium brachycephalum ( bonito ) ; Carniola -Eleocharis 1898 ; 1428 - Marsilea quadrifolia ( Trifoiaş pond ).</w:t>
      </w:r>
    </w:p>
    <w:p w:rsidR="008D0E03" w:rsidRPr="0088539B" w:rsidRDefault="008D0E03" w:rsidP="008D0E03">
      <w:pPr>
        <w:tabs>
          <w:tab w:val="left" w:pos="567"/>
        </w:tabs>
        <w:autoSpaceDE w:val="0"/>
        <w:autoSpaceDN w:val="0"/>
        <w:adjustRightInd w:val="0"/>
        <w:spacing w:line="288" w:lineRule="auto"/>
        <w:jc w:val="both"/>
        <w:rPr>
          <w:rFonts w:cs="Arial"/>
          <w:bCs/>
          <w:iCs/>
          <w:color w:val="000000"/>
        </w:rPr>
      </w:pPr>
    </w:p>
    <w:p w:rsidR="008D0E03" w:rsidRDefault="008D0E03" w:rsidP="008D0E03">
      <w:pPr>
        <w:numPr>
          <w:ilvl w:val="0"/>
          <w:numId w:val="21"/>
        </w:numPr>
        <w:autoSpaceDE w:val="0"/>
        <w:autoSpaceDN w:val="0"/>
        <w:adjustRightInd w:val="0"/>
        <w:spacing w:before="60" w:after="60" w:line="288" w:lineRule="auto"/>
        <w:jc w:val="both"/>
        <w:rPr>
          <w:rFonts w:eastAsia="Calibri" w:cs="Arial"/>
          <w:b/>
          <w:bCs/>
          <w:iCs/>
          <w:color w:val="000000"/>
          <w:lang w:val="en-GB" w:eastAsia="en-US"/>
        </w:rPr>
      </w:pPr>
      <w:r w:rsidRPr="0088539B">
        <w:rPr>
          <w:rFonts w:eastAsia="Calibri" w:cs="Arial"/>
          <w:b/>
          <w:bCs/>
          <w:iCs/>
          <w:color w:val="000000"/>
          <w:lang w:val="en-GB" w:eastAsia="en-US"/>
        </w:rPr>
        <w:t xml:space="preserve"> ROSCI0214 River Tour</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Cs/>
          <w:iCs/>
          <w:color w:val="000000"/>
        </w:rPr>
        <w:t>Satu Mare County: Agriş (19%), Botiz (&lt;1%), Călineşti-Oaş (42%), Gherţa Mică (34%), Halmeu (3%), Lazuri(20%), Livada(44%), Medieşu Aurit (15%), Micula (55%), Oraşu Nou (40%), Porumbeşti (22%),Turulung (41%), Turţ (2%);</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Types of habitats</w:t>
      </w:r>
      <w:r w:rsidRPr="0088539B">
        <w:rPr>
          <w:rFonts w:cs="Arial"/>
          <w:bCs/>
          <w:iCs/>
          <w:color w:val="000000"/>
        </w:rPr>
        <w:t>: 3150 - Natural eutrophic lakes with vegetation type or Hydrocharition Magnopotamion; -Lacuri 3160 dystrophic and ponds; 3270 - Rivers with muddy banks with vegetation Chenopodion rubrişi Bidention; 40A0 - peri-Pannonic scrub subcontinent; 6120 - xerice grasslands on calcareous sands; 6410 - cuMolinia meadows on calcareous, peaty or clay loam (Molinion caeruleae); 6430 - Communities of fringe cuierburi hydrophilic high from the plain to the mountain and alpine floors; 6510 - low altitude meadows (Alopecurus pratensis, Sanguisorba officinalis); 9130 - beech forests Asperulo-Fagetum; 91E0 - Alluvial forests with Alnus glutinosa and Fraxinus excelsior (Alno-Padion, Alnion incanae, Salicion albae); 91F0 - Riparian mixed forests cuQuercus robur, Ulmus laevis, Fraxinus excelsior or Fraxinus angustifolia, along the great rivers (Ulmenion minoris); 91M0 - Forest Balkan-Pannonian sky and oak; 91Y0 - oak and hornbeam forests Dacian; -Zăvoaie 92A0 Salix whitw and Populus white;</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Mammalian Species</w:t>
      </w:r>
      <w:r w:rsidRPr="0088539B">
        <w:rPr>
          <w:rFonts w:cs="Arial"/>
          <w:bCs/>
          <w:iCs/>
          <w:color w:val="000000"/>
        </w:rPr>
        <w:t>: 1308 - Barbastella barbastellus ( Bat meat) ; 1355 - Lutra Lutra ( otter , Lutra ) ; -Myotis 1323 Bechstein ( big-eared bat ) ; 1307 - blythii Myotis ( common bat low ) ; 1318 - dasycneme Myotis ( Bat deiaz ) ; 1321 - emarginatus Myotis ( Bat brick ) ; 1324 - Myotis myotis ( Common Lilac ) ; -Rhinolophus 1304 ferrumequinum ( greater horseshoe bat ) ; 1303 - Rhinolophus hipposideros ( lesser horseshoe bat )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lastRenderedPageBreak/>
        <w:t>Amphibians and reptiles</w:t>
      </w:r>
      <w:r w:rsidRPr="0088539B">
        <w:rPr>
          <w:rFonts w:cs="Arial"/>
          <w:bCs/>
          <w:iCs/>
          <w:color w:val="000000"/>
        </w:rPr>
        <w:t xml:space="preserve"> : 1188 - Bombina bombina ( Eurasian Bittern red belly ) ; 1193 - Bombina ( Buhai yellow -bellied toad ) ; 1220 - Emys orbicularis ( water turtle ) ; 1166 - Triturus cristatus ( crested newt ) ; 1993 - Triturus dobrogicus ( Triton crested Dobrogea ) ;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Fish species</w:t>
      </w:r>
      <w:r w:rsidRPr="0088539B">
        <w:rPr>
          <w:rFonts w:cs="Arial"/>
          <w:bCs/>
          <w:iCs/>
          <w:color w:val="000000"/>
        </w:rPr>
        <w:t>: 1130 - Aspius aspius ( Avat ) ; 1149 - Cobitis taenia ( grig ) ; 1124 - Gobio albipinnatus ( Porcuşorde plain ) ; 2511 - Gobio kessleri ( Pig sand ) ; 1145 - Misgurnus fossilis ( Eel ) ; 1134 - Rhodeus sericeus amarus ( Boart ) ; 1114 - Rutilus pigus ; 1146 - Sabanejewia aurata ( Danube) ; 1160 - streber Zingel ( Fusarium )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Invertebrate Species</w:t>
      </w:r>
      <w:r w:rsidRPr="0088539B">
        <w:rPr>
          <w:rFonts w:cs="Arial"/>
          <w:bCs/>
          <w:iCs/>
          <w:color w:val="000000"/>
        </w:rPr>
        <w:t xml:space="preserve"> 1088 - Cerambyx cerdo ( Tailor large forest guard ) ; 4045 - Coenagrion ornatum ( peasant ) ; 1074 - Eriogaster catax ; 1065 - Euphydryas aurinia ; 1082 - Graphoderus bilineatus ( Cockroach water) ; 4036 - Leptidea walrus ; 1083 - Lucanus cervus ( stag beetle , Răgacea ) ; 1060 - Lycaena disappear ; 4038 - Lycaena Helle ; Teleius -Maculinea 1059 ; 1032 - Unio crassus ( clams ) .</w:t>
      </w:r>
    </w:p>
    <w:p w:rsidR="008D0E03" w:rsidRPr="0088539B" w:rsidRDefault="008D0E03" w:rsidP="008D0E03">
      <w:pPr>
        <w:autoSpaceDE w:val="0"/>
        <w:autoSpaceDN w:val="0"/>
        <w:adjustRightInd w:val="0"/>
        <w:spacing w:before="60" w:after="60" w:line="288" w:lineRule="auto"/>
        <w:ind w:left="644"/>
        <w:jc w:val="both"/>
        <w:rPr>
          <w:rFonts w:eastAsia="Calibri" w:cs="Arial"/>
          <w:b/>
          <w:bCs/>
          <w:iCs/>
          <w:color w:val="000000"/>
          <w:lang w:val="en-GB" w:eastAsia="en-US"/>
        </w:rPr>
      </w:pPr>
    </w:p>
    <w:p w:rsidR="008D0E03" w:rsidRDefault="008D0E03" w:rsidP="008D0E03">
      <w:pPr>
        <w:numPr>
          <w:ilvl w:val="0"/>
          <w:numId w:val="21"/>
        </w:numPr>
        <w:autoSpaceDE w:val="0"/>
        <w:autoSpaceDN w:val="0"/>
        <w:adjustRightInd w:val="0"/>
        <w:spacing w:before="60" w:after="60" w:line="288" w:lineRule="auto"/>
        <w:jc w:val="both"/>
        <w:rPr>
          <w:rFonts w:eastAsia="Calibri" w:cs="Arial"/>
          <w:b/>
          <w:bCs/>
          <w:iCs/>
          <w:color w:val="000000"/>
          <w:lang w:val="en-GB" w:eastAsia="en-US"/>
        </w:rPr>
      </w:pPr>
      <w:r>
        <w:rPr>
          <w:rFonts w:eastAsia="Calibri" w:cs="Arial"/>
          <w:bCs/>
          <w:iCs/>
          <w:color w:val="000000"/>
          <w:lang w:val="en-GB" w:eastAsia="en-US"/>
        </w:rPr>
        <w:t xml:space="preserve"> </w:t>
      </w:r>
      <w:r w:rsidRPr="0088539B">
        <w:rPr>
          <w:rFonts w:eastAsia="Calibri" w:cs="Arial"/>
          <w:b/>
          <w:bCs/>
          <w:iCs/>
          <w:color w:val="000000"/>
          <w:lang w:val="en-GB" w:eastAsia="en-US"/>
        </w:rPr>
        <w:t xml:space="preserve">ROSCI0275 Bârsău </w:t>
      </w:r>
      <w:r>
        <w:rPr>
          <w:rFonts w:eastAsia="Calibri" w:cs="Arial"/>
          <w:b/>
          <w:bCs/>
          <w:iCs/>
          <w:color w:val="000000"/>
          <w:lang w:val="en-GB" w:eastAsia="en-US"/>
        </w:rPr>
        <w:t>–</w:t>
      </w:r>
      <w:r w:rsidRPr="0088539B">
        <w:rPr>
          <w:rFonts w:eastAsia="Calibri" w:cs="Arial"/>
          <w:b/>
          <w:bCs/>
          <w:iCs/>
          <w:color w:val="000000"/>
          <w:lang w:val="en-GB" w:eastAsia="en-US"/>
        </w:rPr>
        <w:t xml:space="preserve"> Şomcuta</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Satu Mare County</w:t>
      </w:r>
      <w:r w:rsidRPr="0088539B">
        <w:rPr>
          <w:rFonts w:cs="Arial"/>
          <w:bCs/>
          <w:iCs/>
          <w:color w:val="000000"/>
        </w:rPr>
        <w:t>: Bârsău (11%);</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Maramureş County</w:t>
      </w:r>
      <w:r w:rsidRPr="0088539B">
        <w:rPr>
          <w:rFonts w:cs="Arial"/>
          <w:bCs/>
          <w:iCs/>
          <w:color w:val="000000"/>
        </w:rPr>
        <w:t>: Asuaju de Sus (5%), Băiţa de sub Codru (6%), Fărcaşa (3%), Gârdani (63%), Mireşu Mare (&lt;1%), Satulung (17%), Sălsig (16%), Şomcuţa Mare (7%);</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Types of habitats</w:t>
      </w:r>
      <w:r w:rsidRPr="0088539B">
        <w:rPr>
          <w:rFonts w:cs="Arial"/>
          <w:bCs/>
          <w:iCs/>
          <w:color w:val="000000"/>
        </w:rPr>
        <w:t>: 9170 - oak and hornbeam forests Galio - Carpinetum type ; 91Y0 - oak and hornbeam forests Dacian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Mammalian Species</w:t>
      </w:r>
      <w:r w:rsidRPr="0088539B">
        <w:rPr>
          <w:rFonts w:cs="Arial"/>
          <w:bCs/>
          <w:iCs/>
          <w:color w:val="000000"/>
        </w:rPr>
        <w:t>: 1323 - Myotis Bechstein ( big-eared bat ) ; 1324 - Myotis myotis ( Common Lilac ) ; 1305 - horseshoe Ariege ( Mediterranean horseshoe bat ) ; 1304 - Rhinolophus ferrumequinum ( big bat cupotcoavă ) ; 1303 - Rhinolophus hipposideros ( lesser horseshoe bat )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Amphibians and reptiles:</w:t>
      </w:r>
      <w:r w:rsidRPr="0088539B">
        <w:rPr>
          <w:rFonts w:cs="Arial"/>
          <w:bCs/>
          <w:iCs/>
          <w:color w:val="000000"/>
        </w:rPr>
        <w:t xml:space="preserve"> 1193 - Bombina Ariege ( Buhai yellow -bellied toad ) ; 1166 - Triturus cristatus ( crested newt ) .</w:t>
      </w:r>
    </w:p>
    <w:p w:rsidR="008D0E03" w:rsidRPr="0088539B" w:rsidRDefault="008D0E03" w:rsidP="008D0E03">
      <w:pPr>
        <w:autoSpaceDE w:val="0"/>
        <w:autoSpaceDN w:val="0"/>
        <w:adjustRightInd w:val="0"/>
        <w:spacing w:before="60" w:after="60" w:line="288" w:lineRule="auto"/>
        <w:jc w:val="both"/>
        <w:rPr>
          <w:rFonts w:eastAsia="Calibri" w:cs="Arial"/>
          <w:b/>
          <w:bCs/>
          <w:iCs/>
          <w:color w:val="000000"/>
          <w:lang w:val="en-GB" w:eastAsia="en-US"/>
        </w:rPr>
      </w:pPr>
      <w:r>
        <w:rPr>
          <w:rFonts w:eastAsia="Calibri" w:cs="Arial"/>
          <w:b/>
          <w:bCs/>
          <w:iCs/>
          <w:color w:val="000000"/>
          <w:lang w:val="en-GB" w:eastAsia="en-US"/>
        </w:rPr>
        <w:t xml:space="preserve">  </w:t>
      </w:r>
    </w:p>
    <w:p w:rsidR="008D0E03" w:rsidRDefault="008D0E03" w:rsidP="008D0E03">
      <w:pPr>
        <w:numPr>
          <w:ilvl w:val="0"/>
          <w:numId w:val="21"/>
        </w:numPr>
        <w:autoSpaceDE w:val="0"/>
        <w:autoSpaceDN w:val="0"/>
        <w:adjustRightInd w:val="0"/>
        <w:spacing w:before="60" w:after="60" w:line="288" w:lineRule="auto"/>
        <w:jc w:val="both"/>
        <w:rPr>
          <w:rFonts w:eastAsia="Calibri" w:cs="Arial"/>
          <w:b/>
          <w:bCs/>
          <w:iCs/>
          <w:color w:val="000000"/>
          <w:lang w:val="en-GB" w:eastAsia="en-US"/>
        </w:rPr>
      </w:pPr>
      <w:r>
        <w:rPr>
          <w:rFonts w:eastAsia="Calibri" w:cs="Arial"/>
          <w:bCs/>
          <w:iCs/>
          <w:color w:val="000000"/>
          <w:lang w:val="en-GB" w:eastAsia="en-US"/>
        </w:rPr>
        <w:t xml:space="preserve"> </w:t>
      </w:r>
      <w:r w:rsidRPr="0088539B">
        <w:rPr>
          <w:rFonts w:eastAsia="Calibri" w:cs="Arial"/>
          <w:b/>
          <w:bCs/>
          <w:iCs/>
          <w:color w:val="000000"/>
          <w:lang w:val="en-GB" w:eastAsia="en-US"/>
        </w:rPr>
        <w:t>ROSCI0358 Pricop - Huta – Certeze</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Cs/>
          <w:iCs/>
          <w:color w:val="000000"/>
        </w:rPr>
        <w:t xml:space="preserve">Satu Mare County: Bixad (3%), Certeze (13%);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Cs/>
          <w:iCs/>
          <w:color w:val="000000"/>
        </w:rPr>
        <w:t xml:space="preserve">Maramureş County: Remeţi(23%), Săpânţa(&lt;1%);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Types of habitats</w:t>
      </w:r>
      <w:r w:rsidRPr="0088539B">
        <w:rPr>
          <w:rFonts w:cs="Arial"/>
          <w:bCs/>
          <w:iCs/>
          <w:color w:val="000000"/>
        </w:rPr>
        <w:t>: 9130 - beech forests Asperulo - Fagetum; 9170 - Forests of oak and hornbeam Carpinetum Galio- type ; 91V0 - Dacian beech forests ( Symphyto - Fagion )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Cs/>
          <w:iCs/>
          <w:color w:val="000000"/>
        </w:rPr>
        <w:t xml:space="preserve">Mammalian Species 1352 - Canis lupus ( wolf ) ; 1361 - Lynx lynx ( Lynx ) ; 1304 - Rhinolophus ferrumequinum ( greater horseshoe bat ) ; 1354 - Ursus arctos ( brown bear ). </w:t>
      </w: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p>
    <w:p w:rsidR="008D0E03" w:rsidRPr="0088539B" w:rsidRDefault="008D0E03" w:rsidP="008D0E03">
      <w:pPr>
        <w:tabs>
          <w:tab w:val="left" w:pos="567"/>
        </w:tabs>
        <w:autoSpaceDE w:val="0"/>
        <w:autoSpaceDN w:val="0"/>
        <w:adjustRightInd w:val="0"/>
        <w:spacing w:line="288" w:lineRule="auto"/>
        <w:ind w:left="567"/>
        <w:jc w:val="both"/>
        <w:rPr>
          <w:rFonts w:cs="Arial"/>
          <w:bCs/>
          <w:iCs/>
          <w:color w:val="000000"/>
        </w:rPr>
      </w:pPr>
      <w:r w:rsidRPr="0088539B">
        <w:rPr>
          <w:rFonts w:cs="Arial"/>
          <w:b/>
          <w:bCs/>
          <w:iCs/>
          <w:color w:val="000000"/>
        </w:rPr>
        <w:t>Amphibians and reptiles</w:t>
      </w:r>
      <w:r w:rsidRPr="0088539B">
        <w:rPr>
          <w:rFonts w:cs="Arial"/>
          <w:bCs/>
          <w:iCs/>
          <w:color w:val="000000"/>
        </w:rPr>
        <w:t>: 1193 - Bombina Ariege ( Buhai yellow -bellied toad ) ; 1166 - Triturus cristatus ( crested newt ) ; 2001 - Triturus montandoni ( Carpathian Triton ) .</w:t>
      </w:r>
    </w:p>
    <w:p w:rsidR="008D0E03" w:rsidRDefault="008D0E03" w:rsidP="008D0E03">
      <w:pPr>
        <w:autoSpaceDE w:val="0"/>
        <w:autoSpaceDN w:val="0"/>
        <w:adjustRightInd w:val="0"/>
        <w:spacing w:before="60" w:after="60" w:line="288" w:lineRule="auto"/>
        <w:jc w:val="both"/>
        <w:rPr>
          <w:rFonts w:eastAsia="Calibri" w:cs="Arial"/>
          <w:b/>
          <w:bCs/>
          <w:iCs/>
          <w:color w:val="000000"/>
          <w:lang w:val="en-GB" w:eastAsia="en-US"/>
        </w:rPr>
      </w:pPr>
    </w:p>
    <w:p w:rsidR="008D0E03" w:rsidRDefault="008D0E03" w:rsidP="008D0E03">
      <w:pPr>
        <w:autoSpaceDE w:val="0"/>
        <w:autoSpaceDN w:val="0"/>
        <w:adjustRightInd w:val="0"/>
        <w:spacing w:before="60" w:after="60" w:line="288" w:lineRule="auto"/>
        <w:ind w:left="644"/>
        <w:jc w:val="both"/>
        <w:rPr>
          <w:rFonts w:eastAsia="Calibri" w:cs="Arial"/>
          <w:bCs/>
          <w:iCs/>
          <w:color w:val="000000"/>
          <w:lang w:val="en-GB" w:eastAsia="en-US"/>
        </w:rPr>
      </w:pPr>
    </w:p>
    <w:p w:rsidR="008D0E03" w:rsidRDefault="008D0E03" w:rsidP="008D0E03">
      <w:pPr>
        <w:numPr>
          <w:ilvl w:val="0"/>
          <w:numId w:val="7"/>
        </w:numPr>
        <w:autoSpaceDE w:val="0"/>
        <w:autoSpaceDN w:val="0"/>
        <w:adjustRightInd w:val="0"/>
        <w:spacing w:before="60" w:after="60" w:line="288" w:lineRule="auto"/>
        <w:ind w:left="1080"/>
        <w:contextualSpacing/>
        <w:jc w:val="both"/>
        <w:rPr>
          <w:rFonts w:eastAsia="EUAlbertina-Regular-Identity-H" w:cs="Arial"/>
          <w:b/>
          <w:szCs w:val="20"/>
          <w:lang w:val="en-GB" w:eastAsia="x-none"/>
        </w:rPr>
      </w:pPr>
      <w:r>
        <w:rPr>
          <w:rFonts w:eastAsia="EUAlbertina-Regular-Identity-H" w:cs="Arial"/>
          <w:b/>
          <w:szCs w:val="20"/>
          <w:lang w:val="en-GB" w:eastAsia="x-none"/>
        </w:rPr>
        <w:t>Suceava County</w:t>
      </w:r>
    </w:p>
    <w:p w:rsidR="008D0E03" w:rsidRDefault="008D0E03" w:rsidP="008D0E03">
      <w:pPr>
        <w:spacing w:before="60" w:after="60" w:line="288" w:lineRule="auto"/>
        <w:ind w:firstLine="709"/>
        <w:jc w:val="both"/>
        <w:rPr>
          <w:rFonts w:cs="Arial"/>
        </w:rPr>
      </w:pPr>
      <w:r>
        <w:rPr>
          <w:rFonts w:cs="Arial"/>
        </w:rPr>
        <w:t>In Suceava County are set 23 SCIs, 6 SPA, nature reserves and natural parks. Figure 5.4 shows the distribution of SCI , SPA, nature reserves and natural parks in Suceava County .</w:t>
      </w:r>
    </w:p>
    <w:p w:rsidR="008D0E03" w:rsidRDefault="008D0E03" w:rsidP="008D0E03">
      <w:pPr>
        <w:spacing w:before="60" w:after="60" w:line="288" w:lineRule="auto"/>
        <w:ind w:firstLine="709"/>
        <w:jc w:val="both"/>
        <w:rPr>
          <w:rFonts w:cs="Arial"/>
        </w:rPr>
      </w:pPr>
      <w:r>
        <w:rPr>
          <w:rFonts w:cs="Arial"/>
        </w:rPr>
        <w:lastRenderedPageBreak/>
        <w:t>Suceava County there are a total of 29 protected areas of national interest (botanical reserves, forest reserves, reserves geological, paleontological, one scientific reserve , Calimani National Park with a total area of 24,041 ha, of which 10,700 ha territory Suceava county ) .</w:t>
      </w:r>
    </w:p>
    <w:p w:rsidR="008D0E03" w:rsidRDefault="008D0E03" w:rsidP="008D0E03">
      <w:pPr>
        <w:widowControl w:val="0"/>
        <w:tabs>
          <w:tab w:val="left" w:pos="720"/>
          <w:tab w:val="center" w:pos="4680"/>
          <w:tab w:val="right" w:pos="9360"/>
        </w:tabs>
        <w:spacing w:line="264" w:lineRule="auto"/>
        <w:jc w:val="center"/>
        <w:rPr>
          <w:rFonts w:cs="Arial"/>
          <w:color w:val="000000"/>
        </w:rPr>
      </w:pPr>
      <w:r>
        <w:rPr>
          <w:rFonts w:cs="Arial"/>
          <w:color w:val="000000"/>
        </w:rPr>
        <w:t>Protected natural areas of national interest in Suceava County</w:t>
      </w:r>
    </w:p>
    <w:tbl>
      <w:tblPr>
        <w:tblW w:w="6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564"/>
        <w:gridCol w:w="2880"/>
        <w:gridCol w:w="2070"/>
        <w:gridCol w:w="1260"/>
      </w:tblGrid>
      <w:tr w:rsidR="008D0E03" w:rsidTr="002E01ED">
        <w:trPr>
          <w:trHeight w:val="464"/>
          <w:tblHeader/>
          <w:jc w:val="center"/>
        </w:trPr>
        <w:tc>
          <w:tcPr>
            <w:tcW w:w="564" w:type="dxa"/>
            <w:vMerge w:val="restart"/>
            <w:shd w:val="clear" w:color="auto" w:fill="auto"/>
            <w:tcMar>
              <w:left w:w="28" w:type="dxa"/>
              <w:right w:w="28" w:type="dxa"/>
            </w:tcMar>
            <w:vAlign w:val="center"/>
          </w:tcPr>
          <w:p w:rsidR="008D0E03" w:rsidRDefault="008D0E03" w:rsidP="002E01ED">
            <w:pPr>
              <w:widowControl w:val="0"/>
              <w:rPr>
                <w:rFonts w:cs="Arial"/>
                <w:b/>
                <w:sz w:val="20"/>
                <w:szCs w:val="20"/>
              </w:rPr>
            </w:pPr>
            <w:r>
              <w:rPr>
                <w:rFonts w:cs="Arial"/>
                <w:b/>
                <w:sz w:val="20"/>
                <w:szCs w:val="20"/>
              </w:rPr>
              <w:t>Nr. crt.</w:t>
            </w:r>
          </w:p>
        </w:tc>
        <w:tc>
          <w:tcPr>
            <w:tcW w:w="2880" w:type="dxa"/>
            <w:vMerge w:val="restart"/>
            <w:shd w:val="clear" w:color="auto" w:fill="auto"/>
            <w:tcMar>
              <w:left w:w="28" w:type="dxa"/>
              <w:right w:w="28" w:type="dxa"/>
            </w:tcMar>
            <w:vAlign w:val="center"/>
          </w:tcPr>
          <w:p w:rsidR="008D0E03" w:rsidRDefault="008D0E03" w:rsidP="002E01ED">
            <w:pPr>
              <w:widowControl w:val="0"/>
              <w:rPr>
                <w:rFonts w:cs="Arial"/>
                <w:b/>
                <w:sz w:val="20"/>
                <w:szCs w:val="20"/>
              </w:rPr>
            </w:pPr>
            <w:r>
              <w:rPr>
                <w:rFonts w:cs="Arial"/>
                <w:b/>
                <w:sz w:val="20"/>
                <w:szCs w:val="20"/>
              </w:rPr>
              <w:t>Name</w:t>
            </w:r>
          </w:p>
        </w:tc>
        <w:tc>
          <w:tcPr>
            <w:tcW w:w="2070" w:type="dxa"/>
            <w:vMerge w:val="restart"/>
            <w:shd w:val="clear" w:color="auto" w:fill="auto"/>
            <w:tcMar>
              <w:left w:w="28" w:type="dxa"/>
              <w:right w:w="28" w:type="dxa"/>
            </w:tcMar>
            <w:vAlign w:val="center"/>
          </w:tcPr>
          <w:p w:rsidR="008D0E03" w:rsidRDefault="008D0E03" w:rsidP="002E01ED">
            <w:pPr>
              <w:widowControl w:val="0"/>
              <w:rPr>
                <w:rFonts w:cs="Arial"/>
                <w:b/>
                <w:sz w:val="20"/>
                <w:szCs w:val="20"/>
              </w:rPr>
            </w:pPr>
            <w:r>
              <w:rPr>
                <w:rFonts w:cs="Arial"/>
                <w:b/>
                <w:sz w:val="20"/>
                <w:szCs w:val="20"/>
              </w:rPr>
              <w:t>ANP Category</w:t>
            </w:r>
          </w:p>
        </w:tc>
        <w:tc>
          <w:tcPr>
            <w:tcW w:w="1260" w:type="dxa"/>
            <w:vMerge w:val="restart"/>
            <w:shd w:val="clear" w:color="auto" w:fill="auto"/>
            <w:tcMar>
              <w:left w:w="28" w:type="dxa"/>
              <w:right w:w="28" w:type="dxa"/>
            </w:tcMar>
            <w:vAlign w:val="center"/>
          </w:tcPr>
          <w:p w:rsidR="008D0E03" w:rsidRDefault="008D0E03" w:rsidP="002E01ED">
            <w:pPr>
              <w:widowControl w:val="0"/>
              <w:rPr>
                <w:rFonts w:cs="Arial"/>
                <w:b/>
                <w:sz w:val="20"/>
                <w:szCs w:val="20"/>
              </w:rPr>
            </w:pPr>
            <w:r>
              <w:rPr>
                <w:rFonts w:cs="Arial"/>
                <w:b/>
                <w:sz w:val="20"/>
                <w:szCs w:val="20"/>
              </w:rPr>
              <w:t>Surface</w:t>
            </w:r>
          </w:p>
          <w:p w:rsidR="008D0E03" w:rsidRDefault="008D0E03" w:rsidP="002E01ED">
            <w:pPr>
              <w:widowControl w:val="0"/>
              <w:rPr>
                <w:rFonts w:cs="Arial"/>
                <w:b/>
                <w:sz w:val="20"/>
                <w:szCs w:val="20"/>
              </w:rPr>
            </w:pPr>
            <w:r>
              <w:rPr>
                <w:rFonts w:cs="Arial"/>
                <w:b/>
                <w:sz w:val="20"/>
                <w:szCs w:val="20"/>
              </w:rPr>
              <w:t>(ha)</w:t>
            </w:r>
          </w:p>
        </w:tc>
      </w:tr>
      <w:tr w:rsidR="008D0E03" w:rsidTr="002E01ED">
        <w:trPr>
          <w:trHeight w:val="464"/>
          <w:tblHeader/>
          <w:jc w:val="center"/>
        </w:trPr>
        <w:tc>
          <w:tcPr>
            <w:tcW w:w="564" w:type="dxa"/>
            <w:vMerge/>
            <w:shd w:val="clear" w:color="auto" w:fill="auto"/>
            <w:tcMar>
              <w:left w:w="28" w:type="dxa"/>
              <w:right w:w="28" w:type="dxa"/>
            </w:tcMar>
            <w:vAlign w:val="center"/>
          </w:tcPr>
          <w:p w:rsidR="008D0E03" w:rsidRDefault="008D0E03" w:rsidP="002E01ED">
            <w:pPr>
              <w:widowControl w:val="0"/>
              <w:rPr>
                <w:rFonts w:cs="Arial"/>
                <w:b/>
                <w:sz w:val="20"/>
                <w:szCs w:val="20"/>
              </w:rPr>
            </w:pPr>
          </w:p>
        </w:tc>
        <w:tc>
          <w:tcPr>
            <w:tcW w:w="2880" w:type="dxa"/>
            <w:vMerge/>
            <w:shd w:val="clear" w:color="auto" w:fill="auto"/>
            <w:tcMar>
              <w:left w:w="28" w:type="dxa"/>
              <w:right w:w="28" w:type="dxa"/>
            </w:tcMar>
            <w:vAlign w:val="center"/>
          </w:tcPr>
          <w:p w:rsidR="008D0E03" w:rsidRDefault="008D0E03" w:rsidP="002E01ED">
            <w:pPr>
              <w:widowControl w:val="0"/>
              <w:rPr>
                <w:rFonts w:cs="Arial"/>
                <w:b/>
                <w:sz w:val="20"/>
                <w:szCs w:val="20"/>
              </w:rPr>
            </w:pPr>
          </w:p>
        </w:tc>
        <w:tc>
          <w:tcPr>
            <w:tcW w:w="2070" w:type="dxa"/>
            <w:vMerge/>
            <w:shd w:val="clear" w:color="auto" w:fill="auto"/>
            <w:tcMar>
              <w:left w:w="28" w:type="dxa"/>
              <w:right w:w="28" w:type="dxa"/>
            </w:tcMar>
            <w:vAlign w:val="center"/>
          </w:tcPr>
          <w:p w:rsidR="008D0E03" w:rsidRDefault="008D0E03" w:rsidP="002E01ED">
            <w:pPr>
              <w:widowControl w:val="0"/>
              <w:rPr>
                <w:rFonts w:cs="Arial"/>
                <w:b/>
                <w:sz w:val="20"/>
                <w:szCs w:val="20"/>
              </w:rPr>
            </w:pPr>
          </w:p>
        </w:tc>
        <w:tc>
          <w:tcPr>
            <w:tcW w:w="1260" w:type="dxa"/>
            <w:vMerge/>
            <w:shd w:val="clear" w:color="auto" w:fill="auto"/>
            <w:tcMar>
              <w:left w:w="28" w:type="dxa"/>
              <w:right w:w="28" w:type="dxa"/>
            </w:tcMar>
            <w:vAlign w:val="center"/>
          </w:tcPr>
          <w:p w:rsidR="008D0E03" w:rsidRDefault="008D0E03" w:rsidP="002E01ED">
            <w:pPr>
              <w:widowControl w:val="0"/>
              <w:rPr>
                <w:rFonts w:cs="Arial"/>
                <w:b/>
                <w:sz w:val="20"/>
                <w:szCs w:val="20"/>
              </w:rPr>
            </w:pPr>
          </w:p>
        </w:tc>
      </w:tr>
      <w:tr w:rsidR="008D0E03" w:rsidTr="002E01ED">
        <w:trPr>
          <w:trHeight w:val="227"/>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1</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Calimani National Park</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National Park</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10700</w:t>
            </w:r>
          </w:p>
        </w:tc>
      </w:tr>
      <w:tr w:rsidR="008D0E03" w:rsidTr="002E01ED">
        <w:trPr>
          <w:trHeight w:val="144"/>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2</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The meadows secular Ponoare</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Botanical reserve</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24,50</w:t>
            </w:r>
          </w:p>
        </w:tc>
      </w:tr>
      <w:tr w:rsidR="008D0E03" w:rsidTr="002E01ED">
        <w:trPr>
          <w:trHeight w:val="144"/>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3</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Secular meadows</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Botanical reserve</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9,50</w:t>
            </w:r>
          </w:p>
        </w:tc>
      </w:tr>
      <w:tr w:rsidR="008D0E03" w:rsidTr="002E01ED">
        <w:trPr>
          <w:trHeight w:val="144"/>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4</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Beautiful</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Joint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973,00</w:t>
            </w:r>
          </w:p>
        </w:tc>
      </w:tr>
      <w:tr w:rsidR="008D0E03" w:rsidTr="002E01ED">
        <w:trPr>
          <w:trHeight w:val="144"/>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5</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Lady Rocks Rarău</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Joint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314,00</w:t>
            </w:r>
          </w:p>
        </w:tc>
      </w:tr>
      <w:tr w:rsidR="008D0E03" w:rsidTr="002E01ED">
        <w:trPr>
          <w:trHeight w:val="144"/>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6</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Keys Zugrenilor</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forest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1064,20</w:t>
            </w:r>
          </w:p>
        </w:tc>
      </w:tr>
      <w:tr w:rsidR="008D0E03" w:rsidTr="002E01ED">
        <w:trPr>
          <w:trHeight w:val="144"/>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7</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Forest Slătioara</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forest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309,50</w:t>
            </w:r>
          </w:p>
        </w:tc>
      </w:tr>
      <w:tr w:rsidR="008D0E03" w:rsidTr="002E01ED">
        <w:trPr>
          <w:trHeight w:val="144"/>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8</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Woods secular Giumalău</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forest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681,8</w:t>
            </w:r>
          </w:p>
        </w:tc>
      </w:tr>
      <w:tr w:rsidR="008D0E03" w:rsidTr="002E01ED">
        <w:trPr>
          <w:trHeight w:val="144"/>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9</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Poiana Stampa Tinovul</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forest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36,0</w:t>
            </w:r>
          </w:p>
        </w:tc>
      </w:tr>
      <w:tr w:rsidR="008D0E03" w:rsidTr="002E01ED">
        <w:trPr>
          <w:trHeight w:val="144"/>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10</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Tinovul Saru Dornei</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forest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107,6</w:t>
            </w:r>
          </w:p>
        </w:tc>
      </w:tr>
      <w:tr w:rsidR="008D0E03" w:rsidTr="002E01ED">
        <w:trPr>
          <w:trHeight w:val="409"/>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11</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Forest Meadow Zamostea</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forest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39,40</w:t>
            </w:r>
          </w:p>
        </w:tc>
      </w:tr>
      <w:tr w:rsidR="008D0E03" w:rsidTr="002E01ED">
        <w:trPr>
          <w:trHeight w:val="70"/>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12</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Forest ( Quercetum ) Crujana</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forest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139,40</w:t>
            </w:r>
          </w:p>
        </w:tc>
      </w:tr>
      <w:tr w:rsidR="008D0E03" w:rsidTr="002E01ED">
        <w:trPr>
          <w:trHeight w:val="271"/>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13</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Fagetul Dragomirna</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Botanical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316,4</w:t>
            </w:r>
          </w:p>
        </w:tc>
      </w:tr>
      <w:tr w:rsidR="008D0E03" w:rsidTr="002E01ED">
        <w:trPr>
          <w:trHeight w:val="70"/>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14</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Rachitis Mare</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Botanical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1,00</w:t>
            </w:r>
          </w:p>
        </w:tc>
      </w:tr>
      <w:tr w:rsidR="008D0E03" w:rsidTr="002E01ED">
        <w:trPr>
          <w:trHeight w:val="70"/>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15</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Lucina chicken Tinovul</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Botanical reserve</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38,10</w:t>
            </w:r>
          </w:p>
        </w:tc>
      </w:tr>
      <w:tr w:rsidR="008D0E03" w:rsidTr="002E01ED">
        <w:trPr>
          <w:trHeight w:val="169"/>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16</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Mountain meadows Todirescu</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geological reservation</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33,00</w:t>
            </w:r>
          </w:p>
        </w:tc>
      </w:tr>
      <w:tr w:rsidR="008D0E03" w:rsidTr="002E01ED">
        <w:trPr>
          <w:trHeight w:val="70"/>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17</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keys Lucavei</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geological reservation</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0,50</w:t>
            </w:r>
          </w:p>
        </w:tc>
      </w:tr>
      <w:tr w:rsidR="008D0E03" w:rsidTr="002E01ED">
        <w:trPr>
          <w:trHeight w:val="78"/>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18</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Pine Stone and Stone Şiomului</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geological reservation</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20,30</w:t>
            </w:r>
          </w:p>
        </w:tc>
      </w:tr>
      <w:tr w:rsidR="008D0E03" w:rsidTr="002E01ED">
        <w:trPr>
          <w:trHeight w:val="81"/>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19</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Stone Tiba</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geological reservation</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1,30</w:t>
            </w:r>
          </w:p>
        </w:tc>
      </w:tr>
      <w:tr w:rsidR="008D0E03" w:rsidTr="002E01ED">
        <w:trPr>
          <w:trHeight w:val="114"/>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20</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Devil's Mill Gorges</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paleontological</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1,00</w:t>
            </w:r>
          </w:p>
        </w:tc>
      </w:tr>
      <w:tr w:rsidR="008D0E03" w:rsidTr="002E01ED">
        <w:trPr>
          <w:trHeight w:val="108"/>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21</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Aptychus layers with the Pojorâta</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geological reservation</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200,00</w:t>
            </w:r>
          </w:p>
        </w:tc>
      </w:tr>
      <w:tr w:rsidR="008D0E03" w:rsidTr="002E01ED">
        <w:trPr>
          <w:trHeight w:val="70"/>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22</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Twelve (PN -K )</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forest reserve</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384,20</w:t>
            </w:r>
          </w:p>
        </w:tc>
      </w:tr>
      <w:tr w:rsidR="008D0E03" w:rsidTr="002E01ED">
        <w:trPr>
          <w:trHeight w:val="355"/>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23</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Juniper trees with Pinus cembra</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Botanical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7,00</w:t>
            </w:r>
          </w:p>
        </w:tc>
      </w:tr>
      <w:tr w:rsidR="008D0E03" w:rsidTr="002E01ED">
        <w:trPr>
          <w:trHeight w:val="189"/>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24</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Secular meadows Calafindeşti</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forest reserve</w:t>
            </w:r>
          </w:p>
        </w:tc>
        <w:tc>
          <w:tcPr>
            <w:tcW w:w="1260" w:type="dxa"/>
            <w:tcMar>
              <w:left w:w="28" w:type="dxa"/>
              <w:right w:w="28" w:type="dxa"/>
            </w:tcMar>
            <w:vAlign w:val="center"/>
          </w:tcPr>
          <w:p w:rsidR="008D0E03" w:rsidRDefault="008D0E03" w:rsidP="002E01ED">
            <w:pPr>
              <w:spacing w:before="20" w:after="20"/>
              <w:rPr>
                <w:rFonts w:cs="Arial"/>
                <w:b/>
                <w:sz w:val="20"/>
                <w:szCs w:val="20"/>
              </w:rPr>
            </w:pPr>
            <w:r>
              <w:rPr>
                <w:rFonts w:cs="Arial"/>
                <w:sz w:val="20"/>
                <w:szCs w:val="20"/>
              </w:rPr>
              <w:t>204,80</w:t>
            </w:r>
          </w:p>
        </w:tc>
      </w:tr>
      <w:tr w:rsidR="008D0E03" w:rsidTr="002E01ED">
        <w:trPr>
          <w:trHeight w:val="208"/>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25</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Forest Roşoşa</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forest reserve</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483,00</w:t>
            </w:r>
          </w:p>
        </w:tc>
      </w:tr>
      <w:tr w:rsidR="008D0E03" w:rsidTr="002E01ED">
        <w:trPr>
          <w:trHeight w:val="225"/>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26</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Forest Loben</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forest reserve</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101,90</w:t>
            </w:r>
          </w:p>
        </w:tc>
      </w:tr>
      <w:tr w:rsidR="008D0E03" w:rsidTr="002E01ED">
        <w:trPr>
          <w:trHeight w:val="399"/>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27</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Forest Voievodeasa</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paleontological</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0,1</w:t>
            </w:r>
          </w:p>
        </w:tc>
      </w:tr>
      <w:tr w:rsidR="008D0E03" w:rsidTr="002E01ED">
        <w:trPr>
          <w:trHeight w:val="70"/>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28</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Klipp Triassic limestone creek Horses</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geological reservation</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2</w:t>
            </w:r>
          </w:p>
        </w:tc>
      </w:tr>
      <w:tr w:rsidR="008D0E03" w:rsidTr="002E01ED">
        <w:trPr>
          <w:trHeight w:val="77"/>
          <w:jc w:val="center"/>
        </w:trPr>
        <w:tc>
          <w:tcPr>
            <w:tcW w:w="564" w:type="dxa"/>
            <w:tcMar>
              <w:left w:w="28" w:type="dxa"/>
              <w:right w:w="28" w:type="dxa"/>
            </w:tcMar>
            <w:vAlign w:val="center"/>
          </w:tcPr>
          <w:p w:rsidR="008D0E03" w:rsidRDefault="008D0E03" w:rsidP="002E01ED">
            <w:pPr>
              <w:widowControl w:val="0"/>
              <w:spacing w:before="20" w:after="20"/>
              <w:rPr>
                <w:rFonts w:cs="Arial"/>
                <w:sz w:val="20"/>
                <w:szCs w:val="20"/>
              </w:rPr>
            </w:pPr>
            <w:r>
              <w:rPr>
                <w:rFonts w:cs="Arial"/>
                <w:sz w:val="20"/>
                <w:szCs w:val="20"/>
              </w:rPr>
              <w:t>29</w:t>
            </w:r>
          </w:p>
        </w:tc>
        <w:tc>
          <w:tcPr>
            <w:tcW w:w="288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Stone buhi</w:t>
            </w:r>
          </w:p>
        </w:tc>
        <w:tc>
          <w:tcPr>
            <w:tcW w:w="2070" w:type="dxa"/>
            <w:tcMar>
              <w:left w:w="28" w:type="dxa"/>
              <w:right w:w="28" w:type="dxa"/>
            </w:tcMar>
            <w:vAlign w:val="center"/>
          </w:tcPr>
          <w:p w:rsidR="008D0E03" w:rsidRDefault="008D0E03" w:rsidP="002E01ED">
            <w:pPr>
              <w:rPr>
                <w:rFonts w:cs="Arial"/>
                <w:sz w:val="20"/>
                <w:szCs w:val="20"/>
              </w:rPr>
            </w:pPr>
            <w:r>
              <w:rPr>
                <w:rFonts w:cs="Arial"/>
                <w:sz w:val="20"/>
                <w:szCs w:val="20"/>
              </w:rPr>
              <w:t>scientific reserve</w:t>
            </w:r>
          </w:p>
        </w:tc>
        <w:tc>
          <w:tcPr>
            <w:tcW w:w="1260" w:type="dxa"/>
            <w:tcMar>
              <w:left w:w="28" w:type="dxa"/>
              <w:right w:w="28" w:type="dxa"/>
            </w:tcMar>
            <w:vAlign w:val="center"/>
          </w:tcPr>
          <w:p w:rsidR="008D0E03" w:rsidRDefault="008D0E03" w:rsidP="002E01ED">
            <w:pPr>
              <w:spacing w:before="20" w:after="20"/>
              <w:rPr>
                <w:rFonts w:cs="Arial"/>
                <w:sz w:val="20"/>
                <w:szCs w:val="20"/>
              </w:rPr>
            </w:pPr>
            <w:r>
              <w:rPr>
                <w:rFonts w:cs="Arial"/>
                <w:sz w:val="20"/>
                <w:szCs w:val="20"/>
              </w:rPr>
              <w:t>6</w:t>
            </w:r>
          </w:p>
        </w:tc>
      </w:tr>
    </w:tbl>
    <w:p w:rsidR="008D0E03" w:rsidRDefault="008D0E03" w:rsidP="008D0E03">
      <w:pPr>
        <w:spacing w:before="60" w:after="60" w:line="288" w:lineRule="auto"/>
        <w:jc w:val="both"/>
        <w:rPr>
          <w:rFonts w:cs="Arial"/>
        </w:rPr>
      </w:pPr>
    </w:p>
    <w:p w:rsidR="008D0E03" w:rsidRDefault="008D0E03" w:rsidP="008D0E03">
      <w:pPr>
        <w:jc w:val="center"/>
        <w:rPr>
          <w:rFonts w:cs="Arial"/>
        </w:rPr>
      </w:pPr>
    </w:p>
    <w:p w:rsidR="008D0E03" w:rsidRDefault="008D0E03" w:rsidP="008D0E03">
      <w:pPr>
        <w:spacing w:before="60" w:after="60" w:line="288" w:lineRule="auto"/>
        <w:jc w:val="both"/>
        <w:rPr>
          <w:rFonts w:ascii="Calibri" w:eastAsia="Calibri" w:hAnsi="Calibri" w:cs="Arial"/>
          <w:sz w:val="22"/>
          <w:szCs w:val="22"/>
          <w:lang w:val="en-GB" w:eastAsia="en-US"/>
        </w:rPr>
      </w:pPr>
    </w:p>
    <w:p w:rsidR="008D0E03" w:rsidRDefault="008D0E03" w:rsidP="008D0E03">
      <w:pPr>
        <w:spacing w:after="200" w:line="276" w:lineRule="auto"/>
        <w:jc w:val="center"/>
        <w:rPr>
          <w:rFonts w:ascii="Calibri" w:eastAsia="Calibri" w:hAnsi="Calibri" w:cs="Arial"/>
          <w:sz w:val="22"/>
          <w:szCs w:val="22"/>
          <w:lang w:val="en-GB" w:eastAsia="en-US"/>
        </w:rPr>
      </w:pPr>
    </w:p>
    <w:p w:rsidR="008D0E03" w:rsidRDefault="008D0E03" w:rsidP="008D0E03">
      <w:pPr>
        <w:spacing w:before="60" w:after="60" w:line="288" w:lineRule="auto"/>
        <w:jc w:val="both"/>
        <w:rPr>
          <w:rFonts w:cs="Arial"/>
          <w:lang w:val="en-GB"/>
        </w:rPr>
        <w:sectPr w:rsidR="008D0E03">
          <w:headerReference w:type="default" r:id="rId47"/>
          <w:footerReference w:type="default" r:id="rId48"/>
          <w:pgSz w:w="11909" w:h="16834" w:code="9"/>
          <w:pgMar w:top="562" w:right="475" w:bottom="562" w:left="1138" w:header="288" w:footer="0" w:gutter="0"/>
          <w:cols w:space="708"/>
          <w:docGrid w:linePitch="360"/>
        </w:sectPr>
      </w:pPr>
    </w:p>
    <w:p w:rsidR="008D0E03" w:rsidRDefault="008D0E03" w:rsidP="008D0E03">
      <w:pPr>
        <w:spacing w:before="60" w:after="60" w:line="288" w:lineRule="auto"/>
        <w:jc w:val="center"/>
        <w:rPr>
          <w:rFonts w:cs="Arial"/>
          <w:lang w:val="en-GB"/>
        </w:rPr>
      </w:pPr>
    </w:p>
    <w:p w:rsidR="008D0E03" w:rsidRDefault="008D0E03" w:rsidP="008D0E03">
      <w:pPr>
        <w:spacing w:before="60" w:after="60" w:line="288" w:lineRule="auto"/>
        <w:jc w:val="both"/>
        <w:rPr>
          <w:rFonts w:cs="Arial"/>
          <w:lang w:val="en-GB"/>
        </w:rPr>
      </w:pPr>
    </w:p>
    <w:p w:rsidR="008D0E03" w:rsidRDefault="008D0E03" w:rsidP="008D0E03">
      <w:pPr>
        <w:spacing w:before="60" w:after="60" w:line="288" w:lineRule="auto"/>
        <w:jc w:val="center"/>
        <w:rPr>
          <w:snapToGrid w:val="0"/>
          <w:position w:val="-6"/>
          <w:lang w:val="en-GB"/>
        </w:rPr>
        <w:sectPr w:rsidR="008D0E03">
          <w:headerReference w:type="default" r:id="rId49"/>
          <w:footerReference w:type="default" r:id="rId50"/>
          <w:pgSz w:w="16834" w:h="11909" w:orient="landscape" w:code="9"/>
          <w:pgMar w:top="1138" w:right="562" w:bottom="475" w:left="562" w:header="288" w:footer="0" w:gutter="0"/>
          <w:cols w:space="708"/>
          <w:docGrid w:linePitch="360"/>
        </w:sectPr>
      </w:pPr>
      <w:r w:rsidRPr="002E01ED">
        <w:rPr>
          <w:noProof/>
          <w:position w:val="-6"/>
          <w:lang w:val="en-US" w:eastAsia="en-US"/>
        </w:rPr>
        <w:drawing>
          <wp:inline distT="0" distB="0" distL="0" distR="0" wp14:anchorId="7D521DDB" wp14:editId="525051C5">
            <wp:extent cx="7742555" cy="5474335"/>
            <wp:effectExtent l="0" t="0" r="0" b="0"/>
            <wp:docPr id="30" name="Imagine 30" descr="SEA_Suceav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A_Suceava_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742555" cy="5474335"/>
                    </a:xfrm>
                    <a:prstGeom prst="rect">
                      <a:avLst/>
                    </a:prstGeom>
                    <a:noFill/>
                    <a:ln>
                      <a:noFill/>
                    </a:ln>
                  </pic:spPr>
                </pic:pic>
              </a:graphicData>
            </a:graphic>
          </wp:inline>
        </w:drawing>
      </w:r>
    </w:p>
    <w:p w:rsidR="00252B38" w:rsidRDefault="00252B38">
      <w:pPr>
        <w:widowControl w:val="0"/>
        <w:jc w:val="both"/>
        <w:rPr>
          <w:rFonts w:eastAsia="Calibri" w:cs="Arial"/>
          <w:noProof/>
          <w:lang w:val="en-GB" w:eastAsia="en-US"/>
        </w:rPr>
      </w:pPr>
    </w:p>
    <w:p w:rsidR="00252B38" w:rsidRDefault="00252B38">
      <w:pPr>
        <w:widowControl w:val="0"/>
        <w:jc w:val="both"/>
        <w:rPr>
          <w:rFonts w:eastAsia="Calibri" w:cs="Arial"/>
          <w:noProof/>
          <w:lang w:val="en-GB" w:eastAsia="en-US"/>
        </w:rPr>
      </w:pPr>
    </w:p>
    <w:p w:rsidR="00252B38" w:rsidRDefault="00252B38">
      <w:pPr>
        <w:widowControl w:val="0"/>
        <w:jc w:val="both"/>
        <w:rPr>
          <w:rFonts w:eastAsia="Calibri" w:cs="Arial"/>
          <w:noProof/>
          <w:lang w:val="en-GB" w:eastAsia="en-US"/>
        </w:rPr>
      </w:pPr>
    </w:p>
    <w:p w:rsidR="00252B38" w:rsidRDefault="008C6885">
      <w:pPr>
        <w:numPr>
          <w:ilvl w:val="0"/>
          <w:numId w:val="71"/>
        </w:numPr>
        <w:autoSpaceDE w:val="0"/>
        <w:autoSpaceDN w:val="0"/>
        <w:adjustRightInd w:val="0"/>
        <w:spacing w:before="60" w:after="60" w:line="288" w:lineRule="auto"/>
        <w:jc w:val="both"/>
        <w:rPr>
          <w:rFonts w:cs="Arial"/>
          <w:color w:val="000000"/>
        </w:rPr>
      </w:pPr>
      <w:r>
        <w:rPr>
          <w:rFonts w:cs="Arial"/>
          <w:b/>
          <w:bCs/>
          <w:color w:val="000000"/>
        </w:rPr>
        <w:t xml:space="preserve">SIT OF COMUNITY IMPORTANCE-SCI </w:t>
      </w:r>
    </w:p>
    <w:p w:rsidR="00252B38" w:rsidRDefault="00252B38">
      <w:pPr>
        <w:autoSpaceDE w:val="0"/>
        <w:autoSpaceDN w:val="0"/>
        <w:adjustRightInd w:val="0"/>
        <w:spacing w:before="60" w:after="60" w:line="288" w:lineRule="auto"/>
        <w:ind w:left="1080"/>
        <w:jc w:val="both"/>
        <w:rPr>
          <w:rFonts w:cs="Arial"/>
          <w:color w:val="000000"/>
        </w:rPr>
      </w:pPr>
    </w:p>
    <w:p w:rsidR="00252B38" w:rsidRDefault="00252B38">
      <w:pPr>
        <w:rPr>
          <w:highlight w:val="yellow"/>
          <w:lang w:val="en-GB" w:eastAsia="x-none"/>
        </w:rPr>
      </w:pPr>
      <w:bookmarkStart w:id="20" w:name="n18"/>
      <w:bookmarkStart w:id="21" w:name="n19"/>
      <w:bookmarkStart w:id="22" w:name="n20"/>
      <w:bookmarkStart w:id="23" w:name="n21"/>
      <w:bookmarkStart w:id="24" w:name="n23"/>
      <w:bookmarkStart w:id="25" w:name="n24"/>
      <w:bookmarkStart w:id="26" w:name="n25"/>
      <w:bookmarkStart w:id="27" w:name="_Toc412114139"/>
      <w:bookmarkEnd w:id="20"/>
      <w:bookmarkEnd w:id="21"/>
      <w:bookmarkEnd w:id="22"/>
      <w:bookmarkEnd w:id="23"/>
      <w:bookmarkEnd w:id="24"/>
      <w:bookmarkEnd w:id="25"/>
      <w:bookmarkEnd w:id="26"/>
    </w:p>
    <w:p w:rsidR="00511045" w:rsidRDefault="00511045" w:rsidP="00511045">
      <w:pPr>
        <w:autoSpaceDE w:val="0"/>
        <w:autoSpaceDN w:val="0"/>
        <w:adjustRightInd w:val="0"/>
        <w:spacing w:before="60" w:after="60" w:line="288" w:lineRule="auto"/>
        <w:jc w:val="both"/>
        <w:rPr>
          <w:rFonts w:cs="Arial"/>
          <w:color w:val="000000"/>
        </w:rPr>
      </w:pPr>
      <w:r>
        <w:rPr>
          <w:rFonts w:cs="Arial"/>
          <w:color w:val="000000"/>
        </w:rPr>
        <w:t xml:space="preserve">In Suceava County are </w:t>
      </w:r>
      <w:r>
        <w:rPr>
          <w:rFonts w:cs="Arial"/>
          <w:b/>
          <w:color w:val="000000"/>
        </w:rPr>
        <w:t xml:space="preserve">23 </w:t>
      </w:r>
      <w:r>
        <w:rPr>
          <w:rFonts w:cs="Arial"/>
          <w:color w:val="000000"/>
        </w:rPr>
        <w:t xml:space="preserve">Sits of community importance. </w:t>
      </w:r>
    </w:p>
    <w:p w:rsidR="00511045" w:rsidRDefault="00511045" w:rsidP="00511045">
      <w:pPr>
        <w:spacing w:before="60" w:after="60" w:line="288" w:lineRule="auto"/>
        <w:jc w:val="both"/>
        <w:rPr>
          <w:rFonts w:cs="Arial"/>
        </w:rPr>
      </w:pPr>
    </w:p>
    <w:p w:rsidR="00511045" w:rsidRDefault="00511045" w:rsidP="00511045">
      <w:pPr>
        <w:widowControl w:val="0"/>
        <w:ind w:left="539"/>
        <w:jc w:val="center"/>
        <w:rPr>
          <w:rFonts w:cs="Arial"/>
          <w:color w:val="000000"/>
        </w:rPr>
      </w:pPr>
      <w:r>
        <w:rPr>
          <w:rFonts w:cs="Arial"/>
          <w:b/>
        </w:rPr>
        <w:t xml:space="preserve">Table 5.1.2. - </w:t>
      </w:r>
      <w:r>
        <w:rPr>
          <w:rFonts w:cs="Arial"/>
          <w:color w:val="000000"/>
        </w:rPr>
        <w:t>Sits of community importance in county Suceava</w:t>
      </w:r>
    </w:p>
    <w:tbl>
      <w:tblPr>
        <w:tblW w:w="9880" w:type="dxa"/>
        <w:tblLayout w:type="fixed"/>
        <w:tblCellMar>
          <w:left w:w="28" w:type="dxa"/>
          <w:right w:w="28" w:type="dxa"/>
        </w:tblCellMar>
        <w:tblLook w:val="01E0" w:firstRow="1" w:lastRow="1" w:firstColumn="1" w:lastColumn="1" w:noHBand="0" w:noVBand="0"/>
      </w:tblPr>
      <w:tblGrid>
        <w:gridCol w:w="388"/>
        <w:gridCol w:w="1876"/>
        <w:gridCol w:w="2742"/>
        <w:gridCol w:w="1080"/>
        <w:gridCol w:w="1080"/>
        <w:gridCol w:w="1890"/>
        <w:gridCol w:w="824"/>
      </w:tblGrid>
      <w:tr w:rsidR="00511045" w:rsidTr="002E01ED">
        <w:trPr>
          <w:trHeight w:hRule="exact" w:val="510"/>
          <w:tblHeader/>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No.</w:t>
            </w:r>
          </w:p>
        </w:tc>
        <w:tc>
          <w:tcPr>
            <w:tcW w:w="18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rPr>
                <w:rFonts w:cs="Arial"/>
                <w:sz w:val="20"/>
                <w:szCs w:val="20"/>
              </w:rPr>
            </w:pPr>
            <w:r>
              <w:rPr>
                <w:rFonts w:cs="Arial"/>
                <w:sz w:val="20"/>
                <w:szCs w:val="20"/>
              </w:rPr>
              <w:t>Name</w:t>
            </w:r>
          </w:p>
        </w:tc>
        <w:tc>
          <w:tcPr>
            <w:tcW w:w="274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rPr>
                <w:rFonts w:cs="Arial"/>
                <w:sz w:val="20"/>
                <w:szCs w:val="20"/>
              </w:rPr>
            </w:pPr>
            <w:r>
              <w:rPr>
                <w:rFonts w:cs="Arial"/>
                <w:sz w:val="20"/>
                <w:szCs w:val="20"/>
              </w:rPr>
              <w:t>Location</w:t>
            </w:r>
          </w:p>
        </w:tc>
        <w:tc>
          <w:tcPr>
            <w:tcW w:w="21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rPr>
                <w:rFonts w:cs="Arial"/>
                <w:sz w:val="20"/>
                <w:szCs w:val="20"/>
              </w:rPr>
            </w:pPr>
            <w:r>
              <w:rPr>
                <w:rFonts w:cs="Arial"/>
                <w:sz w:val="20"/>
                <w:szCs w:val="20"/>
              </w:rPr>
              <w:t>Surface (ha)</w:t>
            </w:r>
          </w:p>
        </w:tc>
        <w:tc>
          <w:tcPr>
            <w:tcW w:w="1890" w:type="dxa"/>
            <w:vMerge w:val="restart"/>
            <w:tcBorders>
              <w:top w:val="single" w:sz="4" w:space="0" w:color="auto"/>
              <w:left w:val="single" w:sz="4" w:space="0" w:color="auto"/>
              <w:right w:val="single" w:sz="4" w:space="0" w:color="auto"/>
            </w:tcBorders>
          </w:tcPr>
          <w:p w:rsidR="00511045" w:rsidRDefault="00511045" w:rsidP="002E01ED">
            <w:pPr>
              <w:rPr>
                <w:rFonts w:cs="Arial"/>
                <w:sz w:val="20"/>
                <w:szCs w:val="20"/>
              </w:rPr>
            </w:pPr>
            <w:r>
              <w:rPr>
                <w:rFonts w:cs="Arial"/>
                <w:b/>
                <w:sz w:val="20"/>
                <w:szCs w:val="20"/>
              </w:rPr>
              <w:t xml:space="preserve">Surface (%) </w:t>
            </w:r>
          </w:p>
        </w:tc>
        <w:tc>
          <w:tcPr>
            <w:tcW w:w="824" w:type="dxa"/>
            <w:vMerge w:val="restart"/>
            <w:tcBorders>
              <w:top w:val="single" w:sz="4" w:space="0" w:color="auto"/>
              <w:left w:val="single" w:sz="4" w:space="0" w:color="auto"/>
              <w:right w:val="single" w:sz="4" w:space="0" w:color="auto"/>
            </w:tcBorders>
          </w:tcPr>
          <w:p w:rsidR="00511045" w:rsidRDefault="00511045" w:rsidP="002E01ED">
            <w:pPr>
              <w:rPr>
                <w:rFonts w:cs="Arial"/>
                <w:sz w:val="20"/>
                <w:szCs w:val="20"/>
              </w:rPr>
            </w:pPr>
            <w:r>
              <w:rPr>
                <w:rFonts w:cs="Arial"/>
                <w:sz w:val="20"/>
                <w:szCs w:val="20"/>
              </w:rPr>
              <w:t>Occupied area</w:t>
            </w:r>
          </w:p>
        </w:tc>
      </w:tr>
      <w:tr w:rsidR="00511045" w:rsidTr="002E01ED">
        <w:trPr>
          <w:trHeight w:hRule="exact" w:val="510"/>
          <w:tblHeader/>
        </w:trPr>
        <w:tc>
          <w:tcPr>
            <w:tcW w:w="388" w:type="dxa"/>
            <w:tcBorders>
              <w:top w:val="single" w:sz="4" w:space="0" w:color="auto"/>
              <w:left w:val="single" w:sz="4" w:space="0" w:color="auto"/>
              <w:bottom w:val="single" w:sz="4" w:space="0" w:color="auto"/>
              <w:right w:val="single" w:sz="4" w:space="0" w:color="auto"/>
            </w:tcBorders>
            <w:shd w:val="clear" w:color="auto" w:fill="FFFF99"/>
          </w:tcPr>
          <w:p w:rsidR="00511045" w:rsidRDefault="00511045" w:rsidP="002E01ED">
            <w:pPr>
              <w:rPr>
                <w:rFonts w:cs="Arial"/>
                <w:sz w:val="20"/>
                <w:szCs w:val="20"/>
              </w:rPr>
            </w:pPr>
          </w:p>
        </w:tc>
        <w:tc>
          <w:tcPr>
            <w:tcW w:w="1876" w:type="dxa"/>
            <w:vMerge/>
            <w:tcBorders>
              <w:top w:val="single" w:sz="4" w:space="0" w:color="auto"/>
              <w:left w:val="single" w:sz="4" w:space="0" w:color="auto"/>
              <w:bottom w:val="single" w:sz="4" w:space="0" w:color="auto"/>
              <w:right w:val="single" w:sz="4" w:space="0" w:color="auto"/>
            </w:tcBorders>
            <w:shd w:val="clear" w:color="auto" w:fill="FFFF99"/>
            <w:vAlign w:val="center"/>
          </w:tcPr>
          <w:p w:rsidR="00511045" w:rsidRDefault="00511045" w:rsidP="002E01ED">
            <w:pPr>
              <w:rPr>
                <w:rFonts w:cs="Arial"/>
                <w:sz w:val="20"/>
                <w:szCs w:val="20"/>
              </w:rPr>
            </w:pPr>
          </w:p>
        </w:tc>
        <w:tc>
          <w:tcPr>
            <w:tcW w:w="2742" w:type="dxa"/>
            <w:vMerge/>
            <w:tcBorders>
              <w:top w:val="single" w:sz="4" w:space="0" w:color="auto"/>
              <w:left w:val="single" w:sz="4" w:space="0" w:color="auto"/>
              <w:bottom w:val="single" w:sz="4" w:space="0" w:color="auto"/>
              <w:right w:val="single" w:sz="4" w:space="0" w:color="auto"/>
            </w:tcBorders>
            <w:shd w:val="clear" w:color="auto" w:fill="FFFF99"/>
            <w:vAlign w:val="center"/>
          </w:tcPr>
          <w:p w:rsidR="00511045" w:rsidRDefault="00511045" w:rsidP="002E01ED">
            <w:pPr>
              <w:rPr>
                <w:rFonts w:cs="Arial"/>
                <w:sz w:val="20"/>
                <w:szCs w:val="20"/>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rPr>
                <w:rFonts w:cs="Arial"/>
                <w:sz w:val="20"/>
                <w:szCs w:val="20"/>
              </w:rPr>
            </w:pPr>
            <w:r>
              <w:rPr>
                <w:rFonts w:cs="Arial"/>
                <w:sz w:val="20"/>
                <w:szCs w:val="20"/>
              </w:rPr>
              <w:t>Total</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rPr>
                <w:rFonts w:cs="Arial"/>
                <w:sz w:val="20"/>
                <w:szCs w:val="20"/>
              </w:rPr>
            </w:pPr>
            <w:r>
              <w:rPr>
                <w:rFonts w:cs="Arial"/>
                <w:sz w:val="20"/>
                <w:szCs w:val="20"/>
              </w:rPr>
              <w:t>Territory</w:t>
            </w:r>
          </w:p>
        </w:tc>
        <w:tc>
          <w:tcPr>
            <w:tcW w:w="1890" w:type="dxa"/>
            <w:vMerge/>
            <w:tcBorders>
              <w:left w:val="single" w:sz="4" w:space="0" w:color="auto"/>
              <w:bottom w:val="single" w:sz="4" w:space="0" w:color="auto"/>
              <w:right w:val="single" w:sz="4" w:space="0" w:color="auto"/>
            </w:tcBorders>
          </w:tcPr>
          <w:p w:rsidR="00511045" w:rsidRDefault="00511045" w:rsidP="002E01ED">
            <w:pPr>
              <w:rPr>
                <w:rFonts w:cs="Arial"/>
                <w:sz w:val="20"/>
                <w:szCs w:val="20"/>
              </w:rPr>
            </w:pPr>
          </w:p>
        </w:tc>
        <w:tc>
          <w:tcPr>
            <w:tcW w:w="824" w:type="dxa"/>
            <w:vMerge/>
            <w:tcBorders>
              <w:left w:val="single" w:sz="4" w:space="0" w:color="auto"/>
              <w:bottom w:val="single" w:sz="4" w:space="0" w:color="auto"/>
              <w:right w:val="single" w:sz="4" w:space="0" w:color="auto"/>
            </w:tcBorders>
          </w:tcPr>
          <w:p w:rsidR="00511045" w:rsidRDefault="00511045" w:rsidP="002E01ED">
            <w:pPr>
              <w:rPr>
                <w:rFonts w:cs="Arial"/>
                <w:sz w:val="20"/>
                <w:szCs w:val="20"/>
              </w:rPr>
            </w:pP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1</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Bistriţa Aurie</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Cârlibaba, Ciocăneşti, Iacobeni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375</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375</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Not applicable</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0,04%</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2</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Fâneţele seculare Ponoare</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Bosanci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40</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40</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100%</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0,004%</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3</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Fâneţele seculare Frumoasa</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Moara</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10</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10</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100%</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0,001%</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4</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Găina – Lucina</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Moldova Suliţa, Breaza</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836</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836</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0,11%</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0,09%</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5</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Forest Zamostea – Lunca</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Zamostea</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135</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135</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100%</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0,015%</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6</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Pietrosul Broştenilor – Cheile Zugrenilor</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Crucea, Dorna Arini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469</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469</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90%</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0,05%</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7</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Rarău – Giumalău</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C-lung Moldovenesc, Crucea, Dorna Arini, Pojorâta Stulpicani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2547</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2547</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100%</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0,29%</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8</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Tinovul de la Româneşti</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Coşna</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21</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21</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Not applicable</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0,002%</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9</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Tinovul Mare Poiana Stampei</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Poiana Stampei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695</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695</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100%</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0,08%</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10</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Tinovul Şaru Dornei</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Şaru Dornei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41</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41</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100%</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0,004%</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11</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Călimani-Gurghiu</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Dorna Candrenilor, Panaci, Poiana Stampei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134936</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10794</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15%</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1,26%</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12</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Forest Pătrăuţi</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 xml:space="preserve">Adâncata, Şerbăuţi, Pătrăuţi, Calafindeşti, Dărmăneşti, Grămeşti, Mitocu Dragomirnei, Suceava, Zamostea, Zvoriştea </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8746</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8746</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1,96%</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1,02%</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13</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Lakes Fălticeni</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Bosanci, Buneşti, Fălticeni, Horodniceni, Moara, Rădăşeni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895</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895</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100%</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0,10%</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14</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Moldova Superioară</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Breaza, C-lung Moldovenesc, Fundu Moldovei, Pojorîta, Sadova</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429</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429</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Not applicable</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0,005%</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15</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Obcinele Bucovinei</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Breaza, Brodina, Vama, Putna,  Sadova,  C-lung Moldovenesc, Frumosu, Moldova Suliţa, Moldoviţa, Vatra Moldoviţei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32246</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32246</w:t>
            </w:r>
          </w:p>
        </w:tc>
        <w:tc>
          <w:tcPr>
            <w:tcW w:w="189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50%</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3,77%</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16</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Râul Moldova între Păltinoasa şi Ruşi</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Baia, Berchişeşti, Bogdăneşti, Boroaia, Capu Câmpului, Cornu Luncii, Forăşti, Fântâna Mare, Gura Humorului, Mălini, Păltinoasa, Râşca, Vadu Moldovei, Valea Moldovei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5303</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5196</w:t>
            </w:r>
          </w:p>
        </w:tc>
        <w:tc>
          <w:tcPr>
            <w:tcW w:w="1890" w:type="dxa"/>
            <w:tcBorders>
              <w:top w:val="single" w:sz="4" w:space="0" w:color="auto"/>
              <w:left w:val="single" w:sz="4" w:space="0" w:color="auto"/>
              <w:bottom w:val="single" w:sz="4" w:space="0" w:color="auto"/>
              <w:right w:val="single" w:sz="4" w:space="0" w:color="auto"/>
            </w:tcBorders>
          </w:tcPr>
          <w:p w:rsidR="00511045" w:rsidRDefault="00511045" w:rsidP="002E01ED">
            <w:pPr>
              <w:rPr>
                <w:sz w:val="20"/>
                <w:szCs w:val="20"/>
              </w:rPr>
            </w:pPr>
            <w:r>
              <w:rPr>
                <w:rFonts w:cs="Arial"/>
                <w:sz w:val="20"/>
                <w:szCs w:val="20"/>
              </w:rPr>
              <w:t>Not applicable</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0,60%</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17</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River Suceava</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Bilca, Dorneşti, Frătăuţii Noi, Frătăuţii Vechi, Gălăneşti, Horodnic de Jos, Horodnic de Sus, Milişăuţi, Muşeniţa, Rădăuţi, Satu Mare, Vicovu de Jos, Vicovu de Sus, Voitinel</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881</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881</w:t>
            </w:r>
          </w:p>
        </w:tc>
        <w:tc>
          <w:tcPr>
            <w:tcW w:w="1890" w:type="dxa"/>
            <w:tcBorders>
              <w:top w:val="single" w:sz="4" w:space="0" w:color="auto"/>
              <w:left w:val="single" w:sz="4" w:space="0" w:color="auto"/>
              <w:bottom w:val="single" w:sz="4" w:space="0" w:color="auto"/>
              <w:right w:val="single" w:sz="4" w:space="0" w:color="auto"/>
            </w:tcBorders>
          </w:tcPr>
          <w:p w:rsidR="00511045" w:rsidRDefault="00511045" w:rsidP="002E01ED">
            <w:pPr>
              <w:rPr>
                <w:sz w:val="20"/>
                <w:szCs w:val="20"/>
              </w:rPr>
            </w:pPr>
            <w:r>
              <w:rPr>
                <w:rFonts w:cs="Arial"/>
                <w:sz w:val="20"/>
                <w:szCs w:val="20"/>
              </w:rPr>
              <w:t>Not applicable</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0,10%</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18</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RiverSuceava Liteni</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Bosanci, Ipoteşti, Salcea, Suceava, Udeşti, Vereşti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1254</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1254</w:t>
            </w:r>
          </w:p>
        </w:tc>
        <w:tc>
          <w:tcPr>
            <w:tcW w:w="1890" w:type="dxa"/>
            <w:tcBorders>
              <w:top w:val="single" w:sz="4" w:space="0" w:color="auto"/>
              <w:left w:val="single" w:sz="4" w:space="0" w:color="auto"/>
              <w:bottom w:val="single" w:sz="4" w:space="0" w:color="auto"/>
              <w:right w:val="single" w:sz="4" w:space="0" w:color="auto"/>
            </w:tcBorders>
          </w:tcPr>
          <w:p w:rsidR="00511045" w:rsidRDefault="00511045" w:rsidP="002E01ED">
            <w:pPr>
              <w:rPr>
                <w:sz w:val="20"/>
                <w:szCs w:val="20"/>
              </w:rPr>
            </w:pPr>
            <w:r>
              <w:rPr>
                <w:rFonts w:cs="Arial"/>
                <w:sz w:val="20"/>
                <w:szCs w:val="20"/>
              </w:rPr>
              <w:t>Not applicable</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0,15%</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19</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Siretul Mijlociu – Bucecea</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Dumbrăveni, Hânţeşti, Siminicea</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570</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445</w:t>
            </w:r>
          </w:p>
        </w:tc>
        <w:tc>
          <w:tcPr>
            <w:tcW w:w="1890" w:type="dxa"/>
            <w:tcBorders>
              <w:top w:val="single" w:sz="4" w:space="0" w:color="auto"/>
              <w:left w:val="single" w:sz="4" w:space="0" w:color="auto"/>
              <w:bottom w:val="single" w:sz="4" w:space="0" w:color="auto"/>
              <w:right w:val="single" w:sz="4" w:space="0" w:color="auto"/>
            </w:tcBorders>
          </w:tcPr>
          <w:p w:rsidR="00511045" w:rsidRDefault="00511045" w:rsidP="002E01ED">
            <w:pPr>
              <w:rPr>
                <w:sz w:val="20"/>
                <w:szCs w:val="20"/>
              </w:rPr>
            </w:pPr>
            <w:r>
              <w:rPr>
                <w:rFonts w:cs="Arial"/>
                <w:sz w:val="20"/>
                <w:szCs w:val="20"/>
              </w:rPr>
              <w:t>Not applicable</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0,05%</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20</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Slatina</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Slatina, Valea Moldovei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137</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137</w:t>
            </w:r>
          </w:p>
        </w:tc>
        <w:tc>
          <w:tcPr>
            <w:tcW w:w="1890" w:type="dxa"/>
            <w:tcBorders>
              <w:top w:val="single" w:sz="4" w:space="0" w:color="auto"/>
              <w:left w:val="single" w:sz="4" w:space="0" w:color="auto"/>
              <w:bottom w:val="single" w:sz="4" w:space="0" w:color="auto"/>
              <w:right w:val="single" w:sz="4" w:space="0" w:color="auto"/>
            </w:tcBorders>
          </w:tcPr>
          <w:p w:rsidR="00511045" w:rsidRDefault="00511045" w:rsidP="002E01ED">
            <w:pPr>
              <w:rPr>
                <w:sz w:val="20"/>
                <w:szCs w:val="20"/>
              </w:rPr>
            </w:pPr>
            <w:r>
              <w:rPr>
                <w:rFonts w:cs="Arial"/>
                <w:sz w:val="20"/>
                <w:szCs w:val="20"/>
              </w:rPr>
              <w:t>Not applicable</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0,02%</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21</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Dealul Mare-Hârlău</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Suceava, Botoşani, Iaşi</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25112</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1506</w:t>
            </w:r>
          </w:p>
        </w:tc>
        <w:tc>
          <w:tcPr>
            <w:tcW w:w="1890" w:type="dxa"/>
            <w:tcBorders>
              <w:top w:val="single" w:sz="4" w:space="0" w:color="auto"/>
              <w:left w:val="single" w:sz="4" w:space="0" w:color="auto"/>
              <w:bottom w:val="single" w:sz="4" w:space="0" w:color="auto"/>
              <w:right w:val="single" w:sz="4" w:space="0" w:color="auto"/>
            </w:tcBorders>
          </w:tcPr>
          <w:p w:rsidR="00511045" w:rsidRDefault="00511045" w:rsidP="002E01ED">
            <w:pPr>
              <w:rPr>
                <w:sz w:val="20"/>
                <w:szCs w:val="20"/>
              </w:rPr>
            </w:pPr>
            <w:r>
              <w:rPr>
                <w:rFonts w:cs="Arial"/>
                <w:sz w:val="20"/>
                <w:szCs w:val="20"/>
              </w:rPr>
              <w:t>Not applicable</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0,17%</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lastRenderedPageBreak/>
              <w:t>22</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Larion</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Suceava, Bistriţa-Năsăud</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3023</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846</w:t>
            </w:r>
          </w:p>
        </w:tc>
        <w:tc>
          <w:tcPr>
            <w:tcW w:w="1890" w:type="dxa"/>
            <w:tcBorders>
              <w:top w:val="single" w:sz="4" w:space="0" w:color="auto"/>
              <w:left w:val="single" w:sz="4" w:space="0" w:color="auto"/>
              <w:bottom w:val="single" w:sz="4" w:space="0" w:color="auto"/>
              <w:right w:val="single" w:sz="4" w:space="0" w:color="auto"/>
            </w:tcBorders>
          </w:tcPr>
          <w:p w:rsidR="00511045" w:rsidRDefault="00511045" w:rsidP="002E01ED">
            <w:pPr>
              <w:rPr>
                <w:sz w:val="20"/>
                <w:szCs w:val="20"/>
              </w:rPr>
            </w:pPr>
            <w:r>
              <w:rPr>
                <w:rFonts w:cs="Arial"/>
                <w:sz w:val="20"/>
                <w:szCs w:val="20"/>
              </w:rPr>
              <w:t>Not applicable</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0,35%</w:t>
            </w:r>
          </w:p>
        </w:tc>
      </w:tr>
      <w:tr w:rsidR="00511045" w:rsidTr="002E01ED">
        <w:trPr>
          <w:trHeight w:hRule="exact" w:val="510"/>
        </w:trPr>
        <w:tc>
          <w:tcPr>
            <w:tcW w:w="388"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23</w:t>
            </w:r>
          </w:p>
        </w:tc>
        <w:tc>
          <w:tcPr>
            <w:tcW w:w="1876"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Moldova River</w:t>
            </w:r>
          </w:p>
        </w:tc>
        <w:tc>
          <w:tcPr>
            <w:tcW w:w="274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Suceava, Iaşi, Neamţ</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3215</w:t>
            </w:r>
          </w:p>
        </w:tc>
        <w:tc>
          <w:tcPr>
            <w:tcW w:w="10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450</w:t>
            </w:r>
          </w:p>
        </w:tc>
        <w:tc>
          <w:tcPr>
            <w:tcW w:w="1890" w:type="dxa"/>
            <w:tcBorders>
              <w:top w:val="single" w:sz="4" w:space="0" w:color="auto"/>
              <w:left w:val="single" w:sz="4" w:space="0" w:color="auto"/>
              <w:bottom w:val="single" w:sz="4" w:space="0" w:color="auto"/>
              <w:right w:val="single" w:sz="4" w:space="0" w:color="auto"/>
            </w:tcBorders>
          </w:tcPr>
          <w:p w:rsidR="00511045" w:rsidRDefault="00511045" w:rsidP="002E01ED">
            <w:pPr>
              <w:rPr>
                <w:rFonts w:cs="Arial"/>
                <w:sz w:val="20"/>
                <w:szCs w:val="20"/>
              </w:rPr>
            </w:pPr>
            <w:r>
              <w:rPr>
                <w:rFonts w:cs="Arial"/>
                <w:sz w:val="20"/>
                <w:szCs w:val="20"/>
              </w:rPr>
              <w:t>Not applicable</w:t>
            </w:r>
          </w:p>
        </w:tc>
        <w:tc>
          <w:tcPr>
            <w:tcW w:w="824"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rPr>
                <w:rFonts w:cs="Arial"/>
                <w:sz w:val="20"/>
                <w:szCs w:val="20"/>
              </w:rPr>
            </w:pPr>
            <w:r>
              <w:rPr>
                <w:rFonts w:cs="Arial"/>
                <w:sz w:val="20"/>
                <w:szCs w:val="20"/>
              </w:rPr>
              <w:t>0,05%</w:t>
            </w:r>
          </w:p>
        </w:tc>
      </w:tr>
    </w:tbl>
    <w:p w:rsidR="00511045" w:rsidRDefault="00511045" w:rsidP="00511045">
      <w:pPr>
        <w:widowControl w:val="0"/>
        <w:spacing w:line="720" w:lineRule="auto"/>
        <w:ind w:left="540"/>
        <w:jc w:val="center"/>
        <w:rPr>
          <w:rFonts w:cs="Arial"/>
          <w:noProof/>
        </w:rPr>
      </w:pPr>
    </w:p>
    <w:p w:rsidR="00511045" w:rsidRDefault="00511045" w:rsidP="00511045">
      <w:pPr>
        <w:widowControl w:val="0"/>
        <w:ind w:left="540"/>
        <w:jc w:val="center"/>
        <w:rPr>
          <w:rFonts w:cs="Arial"/>
        </w:rPr>
      </w:pPr>
      <w:r w:rsidRPr="002E01ED">
        <w:rPr>
          <w:rFonts w:cs="Arial"/>
          <w:noProof/>
          <w:lang w:val="en-US" w:eastAsia="en-US"/>
        </w:rPr>
        <w:drawing>
          <wp:inline distT="0" distB="0" distL="0" distR="0" wp14:anchorId="55380888" wp14:editId="61AC1B87">
            <wp:extent cx="3313430" cy="2351405"/>
            <wp:effectExtent l="0" t="0" r="1270" b="0"/>
            <wp:docPr id="32" name="Imagine 32" descr="C:\Users\mariana.filip\AppData\Local\Microsoft\Windows\Temporary Internet Files\Content.Word\New 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ana.filip\AppData\Local\Microsoft\Windows\Temporary Internet Files\Content.Word\New Picture (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13430" cy="2351405"/>
                    </a:xfrm>
                    <a:prstGeom prst="rect">
                      <a:avLst/>
                    </a:prstGeom>
                    <a:noFill/>
                    <a:ln>
                      <a:noFill/>
                    </a:ln>
                  </pic:spPr>
                </pic:pic>
              </a:graphicData>
            </a:graphic>
          </wp:inline>
        </w:drawing>
      </w:r>
    </w:p>
    <w:p w:rsidR="00511045" w:rsidRDefault="00511045" w:rsidP="00511045">
      <w:pPr>
        <w:widowControl w:val="0"/>
        <w:jc w:val="center"/>
        <w:rPr>
          <w:rFonts w:cs="Arial"/>
        </w:rPr>
      </w:pPr>
      <w:r>
        <w:rPr>
          <w:rFonts w:cs="Arial"/>
          <w:b/>
          <w:i/>
        </w:rPr>
        <w:t>Figura 5.4.2</w:t>
      </w:r>
      <w:r>
        <w:rPr>
          <w:rFonts w:cs="Arial"/>
          <w:b/>
        </w:rPr>
        <w:t xml:space="preserve">   </w:t>
      </w:r>
      <w:r>
        <w:rPr>
          <w:rFonts w:cs="Arial"/>
        </w:rPr>
        <w:t>Ponoare secular meadows - Site of Community Importance</w:t>
      </w:r>
    </w:p>
    <w:p w:rsidR="00511045" w:rsidRDefault="00511045" w:rsidP="00511045">
      <w:pPr>
        <w:widowControl w:val="0"/>
        <w:jc w:val="center"/>
        <w:rPr>
          <w:rFonts w:cs="Arial"/>
        </w:rPr>
      </w:pPr>
    </w:p>
    <w:p w:rsidR="00511045" w:rsidRDefault="00511045" w:rsidP="00511045">
      <w:pPr>
        <w:widowControl w:val="0"/>
        <w:jc w:val="center"/>
        <w:rPr>
          <w:rFonts w:cs="Arial"/>
        </w:rPr>
      </w:pPr>
    </w:p>
    <w:p w:rsidR="00511045" w:rsidRDefault="00511045" w:rsidP="00511045">
      <w:pPr>
        <w:numPr>
          <w:ilvl w:val="0"/>
          <w:numId w:val="7"/>
        </w:numPr>
        <w:autoSpaceDE w:val="0"/>
        <w:autoSpaceDN w:val="0"/>
        <w:adjustRightInd w:val="0"/>
        <w:spacing w:before="60" w:after="60" w:line="288" w:lineRule="auto"/>
        <w:ind w:left="720"/>
        <w:contextualSpacing/>
        <w:jc w:val="both"/>
        <w:rPr>
          <w:rFonts w:eastAsia="EUAlbertina-Regular-Identity-H" w:cs="Arial"/>
          <w:b/>
          <w:i/>
        </w:rPr>
      </w:pPr>
      <w:r>
        <w:rPr>
          <w:rFonts w:eastAsia="EUAlbertina-Regular-Identity-H" w:cs="Arial"/>
          <w:b/>
          <w:i/>
        </w:rPr>
        <w:t>Tulcea County</w:t>
      </w:r>
    </w:p>
    <w:p w:rsidR="00511045" w:rsidRDefault="00511045" w:rsidP="00511045">
      <w:pPr>
        <w:autoSpaceDE w:val="0"/>
        <w:autoSpaceDN w:val="0"/>
        <w:adjustRightInd w:val="0"/>
        <w:spacing w:before="60" w:after="60" w:line="288" w:lineRule="auto"/>
        <w:ind w:left="720"/>
        <w:contextualSpacing/>
        <w:jc w:val="both"/>
        <w:rPr>
          <w:rFonts w:eastAsia="EUAlbertina-Regular-Identity-H" w:cs="Arial"/>
          <w:b/>
          <w:i/>
        </w:rPr>
      </w:pPr>
    </w:p>
    <w:p w:rsidR="00511045" w:rsidRDefault="00511045" w:rsidP="00511045">
      <w:pPr>
        <w:spacing w:before="60" w:after="60" w:line="288" w:lineRule="auto"/>
        <w:ind w:firstLine="709"/>
        <w:jc w:val="both"/>
        <w:rPr>
          <w:rFonts w:cs="Arial"/>
        </w:rPr>
      </w:pPr>
      <w:r>
        <w:rPr>
          <w:rFonts w:cs="Arial"/>
        </w:rPr>
        <w:t xml:space="preserve">In Tulcea County are set </w:t>
      </w:r>
      <w:r w:rsidRPr="0088539B">
        <w:rPr>
          <w:rFonts w:cs="Arial"/>
          <w:b/>
        </w:rPr>
        <w:t>8</w:t>
      </w:r>
      <w:r>
        <w:rPr>
          <w:rFonts w:cs="Arial"/>
        </w:rPr>
        <w:t xml:space="preserve"> SCIs ,</w:t>
      </w:r>
      <w:r w:rsidRPr="0088539B">
        <w:rPr>
          <w:rFonts w:cs="Arial"/>
          <w:b/>
        </w:rPr>
        <w:t xml:space="preserve"> 9</w:t>
      </w:r>
      <w:r>
        <w:rPr>
          <w:rFonts w:cs="Arial"/>
        </w:rPr>
        <w:t xml:space="preserve"> SPA, nature reserves and natural parks. </w:t>
      </w:r>
      <w:r w:rsidRPr="0088539B">
        <w:rPr>
          <w:rFonts w:cs="Arial"/>
          <w:b/>
        </w:rPr>
        <w:t>Figure 5.5</w:t>
      </w:r>
      <w:r>
        <w:rPr>
          <w:rFonts w:cs="Arial"/>
        </w:rPr>
        <w:t xml:space="preserve"> shows the distribution of SCI,  SPA, nature reserves and natural parks in the Tulcea County .</w:t>
      </w:r>
    </w:p>
    <w:p w:rsidR="00511045" w:rsidRDefault="00511045" w:rsidP="00511045">
      <w:pPr>
        <w:spacing w:before="60" w:after="60" w:line="288" w:lineRule="auto"/>
        <w:ind w:firstLine="709"/>
        <w:jc w:val="both"/>
        <w:rPr>
          <w:rFonts w:cs="Arial"/>
        </w:rPr>
      </w:pPr>
      <w:r>
        <w:rPr>
          <w:rFonts w:cs="Arial"/>
        </w:rPr>
        <w:t>In Tulcea County are now legislated to 34 protected natural areas of national interest including: Macin Mountains National Park and 33 natural reserves.</w:t>
      </w:r>
    </w:p>
    <w:p w:rsidR="00511045" w:rsidRDefault="00511045" w:rsidP="00511045">
      <w:pPr>
        <w:spacing w:before="60" w:after="60" w:line="288" w:lineRule="auto"/>
        <w:ind w:firstLine="709"/>
        <w:jc w:val="both"/>
        <w:rPr>
          <w:rFonts w:cs="Arial"/>
        </w:rPr>
      </w:pPr>
      <w:r>
        <w:rPr>
          <w:rFonts w:cs="Arial"/>
        </w:rPr>
        <w:t>Protected natural areas of national interest in Tulcea County are presented in the following table.</w:t>
      </w:r>
    </w:p>
    <w:p w:rsidR="00511045" w:rsidRDefault="00511045" w:rsidP="00511045">
      <w:pPr>
        <w:spacing w:before="60" w:after="60" w:line="288" w:lineRule="auto"/>
        <w:ind w:firstLine="709"/>
        <w:jc w:val="center"/>
        <w:rPr>
          <w:rFonts w:cs="Arial"/>
        </w:rPr>
      </w:pPr>
      <w:r>
        <w:rPr>
          <w:rFonts w:cs="Arial"/>
        </w:rPr>
        <w:t>Protected natural areas of national interest in Tulcea County</w:t>
      </w:r>
    </w:p>
    <w:tbl>
      <w:tblPr>
        <w:tblW w:w="0" w:type="auto"/>
        <w:jc w:val="center"/>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720"/>
        <w:gridCol w:w="3717"/>
        <w:gridCol w:w="2790"/>
        <w:gridCol w:w="1440"/>
      </w:tblGrid>
      <w:tr w:rsidR="00511045" w:rsidTr="002E01ED">
        <w:trPr>
          <w:trHeight w:val="236"/>
          <w:jc w:val="center"/>
        </w:trPr>
        <w:tc>
          <w:tcPr>
            <w:tcW w:w="720" w:type="dxa"/>
            <w:tcBorders>
              <w:top w:val="single" w:sz="4" w:space="0" w:color="auto"/>
              <w:left w:val="single" w:sz="6" w:space="0" w:color="000000"/>
              <w:bottom w:val="single" w:sz="4" w:space="0" w:color="auto"/>
              <w:right w:val="single" w:sz="6" w:space="0" w:color="000000"/>
            </w:tcBorders>
            <w:shd w:val="pct10" w:color="FFFFFF" w:fill="D9D9D9"/>
            <w:vAlign w:val="center"/>
          </w:tcPr>
          <w:p w:rsidR="00511045" w:rsidRDefault="00511045" w:rsidP="002E01ED">
            <w:pPr>
              <w:jc w:val="both"/>
              <w:rPr>
                <w:rFonts w:eastAsia="SimSun" w:cs="Arial"/>
                <w:b/>
              </w:rPr>
            </w:pPr>
            <w:r>
              <w:rPr>
                <w:rFonts w:eastAsia="SimSun" w:cs="Arial"/>
                <w:b/>
              </w:rPr>
              <w:t>Nr</w:t>
            </w:r>
          </w:p>
          <w:p w:rsidR="00511045" w:rsidRDefault="00511045" w:rsidP="002E01ED">
            <w:pPr>
              <w:jc w:val="both"/>
              <w:rPr>
                <w:rFonts w:eastAsia="SimSun" w:cs="Arial"/>
                <w:b/>
              </w:rPr>
            </w:pPr>
            <w:r>
              <w:rPr>
                <w:rFonts w:eastAsia="SimSun" w:cs="Arial"/>
                <w:b/>
              </w:rPr>
              <w:t>crt</w:t>
            </w:r>
          </w:p>
        </w:tc>
        <w:tc>
          <w:tcPr>
            <w:tcW w:w="3717" w:type="dxa"/>
            <w:tcBorders>
              <w:top w:val="single" w:sz="4" w:space="0" w:color="auto"/>
              <w:left w:val="single" w:sz="6" w:space="0" w:color="000000"/>
              <w:bottom w:val="single" w:sz="4" w:space="0" w:color="auto"/>
              <w:right w:val="single" w:sz="6" w:space="0" w:color="000000"/>
            </w:tcBorders>
            <w:shd w:val="pct10" w:color="FFFFFF" w:fill="D9D9D9"/>
            <w:vAlign w:val="center"/>
          </w:tcPr>
          <w:p w:rsidR="00511045" w:rsidRDefault="00511045" w:rsidP="002E01ED">
            <w:pPr>
              <w:jc w:val="both"/>
              <w:rPr>
                <w:rFonts w:eastAsia="SimSun" w:cs="Arial"/>
                <w:b/>
              </w:rPr>
            </w:pPr>
            <w:r>
              <w:rPr>
                <w:rFonts w:eastAsia="SimSun" w:cs="Arial"/>
                <w:b/>
              </w:rPr>
              <w:t>Name</w:t>
            </w:r>
          </w:p>
        </w:tc>
        <w:tc>
          <w:tcPr>
            <w:tcW w:w="2790" w:type="dxa"/>
            <w:tcBorders>
              <w:top w:val="single" w:sz="4" w:space="0" w:color="auto"/>
              <w:left w:val="single" w:sz="6" w:space="0" w:color="000000"/>
              <w:bottom w:val="single" w:sz="4" w:space="0" w:color="auto"/>
              <w:right w:val="single" w:sz="6" w:space="0" w:color="000000"/>
            </w:tcBorders>
            <w:shd w:val="pct10" w:color="FFFFFF" w:fill="D9D9D9"/>
            <w:vAlign w:val="center"/>
          </w:tcPr>
          <w:p w:rsidR="00511045" w:rsidRDefault="00511045" w:rsidP="002E01ED">
            <w:pPr>
              <w:jc w:val="center"/>
              <w:rPr>
                <w:rFonts w:eastAsia="SimSun" w:cs="Arial"/>
              </w:rPr>
            </w:pPr>
            <w:r>
              <w:rPr>
                <w:rFonts w:eastAsia="SimSun" w:cs="Arial"/>
              </w:rPr>
              <w:t>Category</w:t>
            </w:r>
          </w:p>
        </w:tc>
        <w:tc>
          <w:tcPr>
            <w:tcW w:w="1440" w:type="dxa"/>
            <w:tcBorders>
              <w:top w:val="single" w:sz="4" w:space="0" w:color="auto"/>
              <w:left w:val="single" w:sz="6" w:space="0" w:color="000000"/>
              <w:bottom w:val="single" w:sz="4" w:space="0" w:color="auto"/>
              <w:right w:val="single" w:sz="4" w:space="0" w:color="auto"/>
            </w:tcBorders>
            <w:shd w:val="pct10" w:color="FFFFFF" w:fill="D9D9D9"/>
            <w:vAlign w:val="center"/>
          </w:tcPr>
          <w:p w:rsidR="00511045" w:rsidRDefault="00511045" w:rsidP="002E01ED">
            <w:pPr>
              <w:jc w:val="center"/>
              <w:rPr>
                <w:rFonts w:eastAsia="SimSun" w:cs="Arial"/>
              </w:rPr>
            </w:pPr>
            <w:r>
              <w:rPr>
                <w:rFonts w:eastAsia="SimSun" w:cs="Arial"/>
              </w:rPr>
              <w:t>Surface</w:t>
            </w:r>
          </w:p>
          <w:p w:rsidR="00511045" w:rsidRDefault="00511045" w:rsidP="002E01ED">
            <w:pPr>
              <w:jc w:val="center"/>
              <w:rPr>
                <w:rFonts w:eastAsia="SimSun" w:cs="Arial"/>
              </w:rPr>
            </w:pPr>
            <w:r>
              <w:rPr>
                <w:rFonts w:eastAsia="SimSun" w:cs="Arial"/>
              </w:rPr>
              <w:t>ha</w:t>
            </w:r>
          </w:p>
        </w:tc>
      </w:tr>
      <w:tr w:rsidR="00511045" w:rsidTr="002E01ED">
        <w:trPr>
          <w:trHeight w:val="117"/>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1</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Macin Mountains National Park</w:t>
            </w:r>
          </w:p>
        </w:tc>
        <w:tc>
          <w:tcPr>
            <w:tcW w:w="279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center"/>
              <w:rPr>
                <w:rFonts w:eastAsia="SimSun" w:cs="Arial"/>
              </w:rPr>
            </w:pPr>
            <w:r>
              <w:rPr>
                <w:rFonts w:eastAsia="SimSun" w:cs="Arial"/>
              </w:rPr>
              <w:t>II National Park</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511045" w:rsidRDefault="00511045" w:rsidP="002E01ED">
            <w:pPr>
              <w:jc w:val="right"/>
              <w:rPr>
                <w:rFonts w:eastAsia="SimSun" w:cs="Arial"/>
              </w:rPr>
            </w:pPr>
            <w:r>
              <w:rPr>
                <w:rFonts w:eastAsia="SimSun" w:cs="Arial"/>
              </w:rPr>
              <w:t>11 321</w:t>
            </w:r>
          </w:p>
        </w:tc>
      </w:tr>
      <w:tr w:rsidR="00511045" w:rsidTr="002E01ED">
        <w:trPr>
          <w:trHeight w:val="117"/>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2</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Forest " Beech Valley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Forest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511045" w:rsidRDefault="00511045" w:rsidP="002E01ED">
            <w:pPr>
              <w:jc w:val="right"/>
              <w:rPr>
                <w:rFonts w:eastAsia="SimSun" w:cs="Arial"/>
              </w:rPr>
            </w:pPr>
            <w:r>
              <w:rPr>
                <w:rFonts w:eastAsia="SimSun" w:cs="Arial"/>
              </w:rPr>
              <w:t>154</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3</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Botanical Reserve " Korum Tarla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Botanical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511045" w:rsidRDefault="00511045" w:rsidP="002E01ED">
            <w:pPr>
              <w:jc w:val="right"/>
              <w:rPr>
                <w:rFonts w:eastAsia="SimSun" w:cs="Arial"/>
              </w:rPr>
            </w:pPr>
            <w:r>
              <w:rPr>
                <w:rFonts w:eastAsia="SimSun" w:cs="Arial"/>
              </w:rPr>
              <w:t>2</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4</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Place fossil</w:t>
            </w:r>
          </w:p>
          <w:p w:rsidR="00511045" w:rsidRDefault="00511045" w:rsidP="002E01ED">
            <w:pPr>
              <w:jc w:val="center"/>
              <w:rPr>
                <w:rFonts w:eastAsia="SimSun" w:cs="Arial"/>
              </w:rPr>
            </w:pPr>
            <w:r>
              <w:rPr>
                <w:rFonts w:eastAsia="SimSun" w:cs="Arial"/>
              </w:rPr>
              <w:t>Hill Bujoarele</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Geological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511045" w:rsidRDefault="00511045" w:rsidP="002E01ED">
            <w:pPr>
              <w:jc w:val="right"/>
              <w:rPr>
                <w:rFonts w:eastAsia="SimSun" w:cs="Arial"/>
              </w:rPr>
            </w:pPr>
            <w:r>
              <w:rPr>
                <w:rFonts w:eastAsia="SimSun" w:cs="Arial"/>
              </w:rPr>
              <w:t>8</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5</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Geological Reserve " Agighiol "</w:t>
            </w:r>
          </w:p>
        </w:tc>
        <w:tc>
          <w:tcPr>
            <w:tcW w:w="279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center"/>
              <w:rPr>
                <w:rFonts w:eastAsia="SimSun" w:cs="Arial"/>
              </w:rPr>
            </w:pPr>
            <w:r>
              <w:rPr>
                <w:rFonts w:eastAsia="SimSun" w:cs="Arial"/>
              </w:rPr>
              <w:t>IV Geological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511045" w:rsidRDefault="00511045" w:rsidP="002E01ED">
            <w:pPr>
              <w:jc w:val="right"/>
              <w:rPr>
                <w:rFonts w:eastAsia="SimSun" w:cs="Arial"/>
              </w:rPr>
            </w:pPr>
            <w:r>
              <w:rPr>
                <w:rFonts w:eastAsia="SimSun" w:cs="Arial"/>
              </w:rPr>
              <w:t>9,7</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6</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Peak Secaru</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511045" w:rsidRDefault="00511045" w:rsidP="002E01ED">
            <w:pPr>
              <w:jc w:val="right"/>
              <w:rPr>
                <w:rFonts w:eastAsia="SimSun" w:cs="Arial"/>
              </w:rPr>
            </w:pPr>
            <w:r>
              <w:rPr>
                <w:rFonts w:eastAsia="SimSun" w:cs="Arial"/>
              </w:rPr>
              <w:t>34,5</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7</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Reserve bat " Great Fountain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511045" w:rsidRDefault="00511045" w:rsidP="002E01ED">
            <w:pPr>
              <w:jc w:val="right"/>
              <w:rPr>
                <w:rFonts w:eastAsia="SimSun" w:cs="Arial"/>
              </w:rPr>
            </w:pPr>
            <w:r>
              <w:rPr>
                <w:rFonts w:eastAsia="SimSun" w:cs="Arial"/>
              </w:rPr>
              <w:t>0,3</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8</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Reserve bat "Valley sheep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511045" w:rsidRDefault="00511045" w:rsidP="002E01ED">
            <w:pPr>
              <w:jc w:val="right"/>
              <w:rPr>
                <w:rFonts w:eastAsia="SimSun" w:cs="Arial"/>
              </w:rPr>
            </w:pPr>
            <w:r>
              <w:rPr>
                <w:rFonts w:eastAsia="SimSun" w:cs="Arial"/>
              </w:rPr>
              <w:t>0,35</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9</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Natural Reserve " Hill Peony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50,8</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10</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Forest Niculiţel</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511045" w:rsidRDefault="00511045" w:rsidP="002E01ED">
            <w:pPr>
              <w:jc w:val="right"/>
              <w:rPr>
                <w:rFonts w:eastAsia="SimSun" w:cs="Arial"/>
              </w:rPr>
            </w:pPr>
            <w:r>
              <w:rPr>
                <w:rFonts w:eastAsia="SimSun" w:cs="Arial"/>
              </w:rPr>
              <w:t>11</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lastRenderedPageBreak/>
              <w:t>11</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Babadag forest - Codru</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511045" w:rsidRDefault="00511045" w:rsidP="002E01ED">
            <w:pPr>
              <w:jc w:val="right"/>
              <w:rPr>
                <w:rFonts w:eastAsia="SimSun" w:cs="Arial"/>
              </w:rPr>
            </w:pPr>
            <w:r>
              <w:rPr>
                <w:rFonts w:eastAsia="SimSun" w:cs="Arial"/>
              </w:rPr>
              <w:t>524,6</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12</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Traian Lake</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326</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13</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The edges Cerna - Iaila</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1891</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14</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Beidaud</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1121</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15</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Valley Mahomencea</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1029</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16</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Hill Ghiunghiurmez</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1421</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17</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Cherval - Priopcea</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568</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18</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Călugăru- Iancina</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130</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19</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Mount Consul</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328</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20</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Hill Sarica</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100,1</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21</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Hills Bestepe</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415</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22</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Enisala</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57</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23</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Carasan - Teke</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244</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24</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Ostrov Valley</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61,8</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25</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Uspenia</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22</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26</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Edirlen</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25,5</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27</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Casimcea</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137</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28</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Large Colţanii</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53</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29</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Peceneaga</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132</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30</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Măgurele</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292</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31</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Războieni</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41</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32</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Hill Deniztepe</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305</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33</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Hill Mândreşti</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5</w:t>
            </w:r>
          </w:p>
        </w:tc>
      </w:tr>
      <w:tr w:rsidR="00511045" w:rsidTr="002E01ED">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34</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sz w:val="22"/>
                <w:szCs w:val="22"/>
                <w:lang w:eastAsia="en-US"/>
              </w:rPr>
              <w:t>Mânăstirea Cocoş</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jc w:val="center"/>
              <w:rPr>
                <w:rFonts w:eastAsia="SimSun" w:cs="Arial"/>
              </w:rPr>
            </w:pPr>
            <w:r>
              <w:rPr>
                <w:rFonts w:eastAsia="SimSun" w:cs="Arial"/>
              </w:rPr>
              <w:t>IV Nature Reserve</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511045" w:rsidRDefault="00511045" w:rsidP="002E01ED">
            <w:pPr>
              <w:jc w:val="right"/>
              <w:rPr>
                <w:rFonts w:eastAsia="SimSun" w:cs="Arial"/>
              </w:rPr>
            </w:pPr>
            <w:r>
              <w:rPr>
                <w:rFonts w:eastAsia="SimSun" w:cs="Arial"/>
              </w:rPr>
              <w:t>4,6</w:t>
            </w:r>
          </w:p>
        </w:tc>
      </w:tr>
    </w:tbl>
    <w:p w:rsidR="00511045" w:rsidRDefault="00511045" w:rsidP="00511045">
      <w:pPr>
        <w:spacing w:before="60" w:after="60" w:line="288" w:lineRule="auto"/>
        <w:ind w:firstLine="709"/>
        <w:jc w:val="both"/>
        <w:rPr>
          <w:rFonts w:cs="Arial"/>
        </w:rPr>
      </w:pPr>
    </w:p>
    <w:p w:rsidR="00511045" w:rsidRDefault="00511045" w:rsidP="00511045">
      <w:pPr>
        <w:spacing w:before="60" w:after="60" w:line="288" w:lineRule="auto"/>
        <w:ind w:firstLine="709"/>
        <w:jc w:val="both"/>
        <w:rPr>
          <w:rFonts w:cs="Arial"/>
        </w:rPr>
      </w:pPr>
      <w:r>
        <w:rPr>
          <w:rFonts w:cs="Arial"/>
        </w:rPr>
        <w:t>Areas of international interest</w:t>
      </w:r>
    </w:p>
    <w:tbl>
      <w:tblPr>
        <w:tblW w:w="9954" w:type="dxa"/>
        <w:jc w:val="center"/>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680"/>
        <w:gridCol w:w="2006"/>
        <w:gridCol w:w="1762"/>
        <w:gridCol w:w="1489"/>
        <w:gridCol w:w="1972"/>
        <w:gridCol w:w="2045"/>
      </w:tblGrid>
      <w:tr w:rsidR="00511045" w:rsidTr="002E01ED">
        <w:trPr>
          <w:trHeight w:val="460"/>
          <w:jc w:val="center"/>
        </w:trPr>
        <w:tc>
          <w:tcPr>
            <w:tcW w:w="680" w:type="dxa"/>
            <w:tcBorders>
              <w:top w:val="single" w:sz="4" w:space="0" w:color="auto"/>
              <w:left w:val="single" w:sz="6" w:space="0" w:color="000000"/>
              <w:bottom w:val="single" w:sz="4" w:space="0" w:color="auto"/>
              <w:right w:val="single" w:sz="6" w:space="0" w:color="000000"/>
            </w:tcBorders>
            <w:shd w:val="pct10" w:color="FFFFFF" w:fill="E0E0E0"/>
            <w:vAlign w:val="center"/>
          </w:tcPr>
          <w:p w:rsidR="00511045" w:rsidRDefault="00511045" w:rsidP="002E01ED">
            <w:pPr>
              <w:jc w:val="both"/>
              <w:rPr>
                <w:rFonts w:eastAsia="SimSun" w:cs="Arial"/>
                <w:b/>
              </w:rPr>
            </w:pPr>
            <w:r>
              <w:rPr>
                <w:rFonts w:eastAsia="SimSun" w:cs="Arial"/>
                <w:b/>
              </w:rPr>
              <w:t>Nr. Crt.</w:t>
            </w:r>
          </w:p>
        </w:tc>
        <w:tc>
          <w:tcPr>
            <w:tcW w:w="2006" w:type="dxa"/>
            <w:tcBorders>
              <w:top w:val="single" w:sz="4" w:space="0" w:color="auto"/>
              <w:left w:val="single" w:sz="6" w:space="0" w:color="000000"/>
              <w:bottom w:val="single" w:sz="4" w:space="0" w:color="auto"/>
              <w:right w:val="single" w:sz="6" w:space="0" w:color="000000"/>
            </w:tcBorders>
            <w:shd w:val="pct10" w:color="FFFFFF" w:fill="E0E0E0"/>
            <w:vAlign w:val="center"/>
          </w:tcPr>
          <w:p w:rsidR="00511045" w:rsidRDefault="00511045" w:rsidP="002E01ED">
            <w:pPr>
              <w:jc w:val="both"/>
              <w:rPr>
                <w:rFonts w:eastAsia="SimSun" w:cs="Arial"/>
                <w:b/>
              </w:rPr>
            </w:pPr>
            <w:r>
              <w:rPr>
                <w:rFonts w:eastAsia="SimSun" w:cs="Arial"/>
                <w:b/>
              </w:rPr>
              <w:t>Name</w:t>
            </w:r>
          </w:p>
        </w:tc>
        <w:tc>
          <w:tcPr>
            <w:tcW w:w="1762" w:type="dxa"/>
            <w:tcBorders>
              <w:top w:val="single" w:sz="4" w:space="0" w:color="auto"/>
              <w:left w:val="single" w:sz="6" w:space="0" w:color="000000"/>
              <w:bottom w:val="single" w:sz="4" w:space="0" w:color="auto"/>
              <w:right w:val="single" w:sz="6" w:space="0" w:color="000000"/>
            </w:tcBorders>
            <w:shd w:val="pct10" w:color="FFFFFF" w:fill="E0E0E0"/>
            <w:vAlign w:val="center"/>
          </w:tcPr>
          <w:p w:rsidR="00511045" w:rsidRDefault="00511045" w:rsidP="002E01ED">
            <w:pPr>
              <w:jc w:val="center"/>
              <w:rPr>
                <w:rFonts w:eastAsia="SimSun" w:cs="Arial"/>
                <w:b/>
              </w:rPr>
            </w:pPr>
            <w:r>
              <w:rPr>
                <w:rFonts w:eastAsia="SimSun" w:cs="Arial"/>
                <w:b/>
              </w:rPr>
              <w:t>Legal Act</w:t>
            </w:r>
          </w:p>
        </w:tc>
        <w:tc>
          <w:tcPr>
            <w:tcW w:w="1489" w:type="dxa"/>
            <w:tcBorders>
              <w:top w:val="single" w:sz="4" w:space="0" w:color="auto"/>
              <w:left w:val="single" w:sz="6" w:space="0" w:color="000000"/>
              <w:bottom w:val="single" w:sz="4" w:space="0" w:color="auto"/>
              <w:right w:val="single" w:sz="6" w:space="0" w:color="000000"/>
            </w:tcBorders>
            <w:shd w:val="pct10" w:color="FFFFFF" w:fill="E0E0E0"/>
            <w:vAlign w:val="center"/>
          </w:tcPr>
          <w:p w:rsidR="00511045" w:rsidRDefault="00511045" w:rsidP="002E01ED">
            <w:pPr>
              <w:jc w:val="center"/>
              <w:rPr>
                <w:rFonts w:eastAsia="SimSun" w:cs="Arial"/>
                <w:b/>
              </w:rPr>
            </w:pPr>
            <w:r>
              <w:rPr>
                <w:rFonts w:eastAsia="SimSun" w:cs="Arial"/>
                <w:b/>
              </w:rPr>
              <w:t>Protected Area</w:t>
            </w:r>
          </w:p>
        </w:tc>
        <w:tc>
          <w:tcPr>
            <w:tcW w:w="1972" w:type="dxa"/>
            <w:tcBorders>
              <w:top w:val="single" w:sz="4" w:space="0" w:color="auto"/>
              <w:left w:val="single" w:sz="6" w:space="0" w:color="000000"/>
              <w:bottom w:val="single" w:sz="4" w:space="0" w:color="auto"/>
              <w:right w:val="single" w:sz="4" w:space="0" w:color="auto"/>
            </w:tcBorders>
            <w:shd w:val="pct10" w:color="FFFFFF" w:fill="E0E0E0"/>
            <w:vAlign w:val="center"/>
          </w:tcPr>
          <w:p w:rsidR="00511045" w:rsidRDefault="00511045" w:rsidP="002E01ED">
            <w:pPr>
              <w:jc w:val="center"/>
              <w:rPr>
                <w:rFonts w:eastAsia="SimSun" w:cs="Arial"/>
                <w:b/>
              </w:rPr>
            </w:pPr>
            <w:r>
              <w:rPr>
                <w:rFonts w:eastAsia="SimSun" w:cs="Arial"/>
                <w:b/>
              </w:rPr>
              <w:t>Surface</w:t>
            </w:r>
          </w:p>
          <w:p w:rsidR="00511045" w:rsidRDefault="00511045" w:rsidP="002E01ED">
            <w:pPr>
              <w:jc w:val="center"/>
              <w:rPr>
                <w:rFonts w:eastAsia="SimSun" w:cs="Arial"/>
                <w:b/>
              </w:rPr>
            </w:pPr>
            <w:r>
              <w:rPr>
                <w:rFonts w:eastAsia="SimSun" w:cs="Arial"/>
                <w:b/>
              </w:rPr>
              <w:t>ha</w:t>
            </w:r>
          </w:p>
        </w:tc>
        <w:tc>
          <w:tcPr>
            <w:tcW w:w="2045" w:type="dxa"/>
            <w:tcBorders>
              <w:top w:val="single" w:sz="4" w:space="0" w:color="auto"/>
              <w:left w:val="single" w:sz="6" w:space="0" w:color="000000"/>
              <w:bottom w:val="single" w:sz="4" w:space="0" w:color="auto"/>
              <w:right w:val="single" w:sz="6" w:space="0" w:color="000000"/>
            </w:tcBorders>
            <w:shd w:val="pct10" w:color="FFFFFF" w:fill="E0E0E0"/>
            <w:vAlign w:val="center"/>
          </w:tcPr>
          <w:p w:rsidR="00511045" w:rsidRDefault="00511045" w:rsidP="002E01ED">
            <w:pPr>
              <w:jc w:val="center"/>
              <w:rPr>
                <w:rFonts w:eastAsia="SimSun" w:cs="Arial"/>
                <w:b/>
              </w:rPr>
            </w:pPr>
            <w:r>
              <w:rPr>
                <w:rFonts w:eastAsia="SimSun" w:cs="Arial"/>
                <w:b/>
              </w:rPr>
              <w:t>Surface (ha), at  Tulcea County level</w:t>
            </w:r>
          </w:p>
        </w:tc>
      </w:tr>
      <w:tr w:rsidR="00511045" w:rsidTr="002E01ED">
        <w:trPr>
          <w:trHeight w:val="460"/>
          <w:jc w:val="center"/>
        </w:trPr>
        <w:tc>
          <w:tcPr>
            <w:tcW w:w="680"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1</w:t>
            </w:r>
          </w:p>
        </w:tc>
        <w:tc>
          <w:tcPr>
            <w:tcW w:w="2006"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both"/>
              <w:rPr>
                <w:rFonts w:eastAsia="SimSun" w:cs="Arial"/>
              </w:rPr>
            </w:pPr>
            <w:r>
              <w:rPr>
                <w:rFonts w:eastAsia="SimSun" w:cs="Arial"/>
              </w:rPr>
              <w:t>Danube Delta Biosphere Reserve</w:t>
            </w:r>
          </w:p>
        </w:tc>
        <w:tc>
          <w:tcPr>
            <w:tcW w:w="1762" w:type="dxa"/>
            <w:tcBorders>
              <w:top w:val="single" w:sz="4" w:space="0" w:color="auto"/>
              <w:left w:val="single" w:sz="6" w:space="0" w:color="000000"/>
              <w:bottom w:val="single" w:sz="4" w:space="0" w:color="auto"/>
              <w:right w:val="single" w:sz="6" w:space="0" w:color="000000"/>
            </w:tcBorders>
            <w:shd w:val="pct10" w:color="FFFFFF" w:fill="auto"/>
          </w:tcPr>
          <w:p w:rsidR="00511045" w:rsidRDefault="00511045" w:rsidP="002E01ED">
            <w:pPr>
              <w:rPr>
                <w:rFonts w:eastAsia="SimSun" w:cs="Arial"/>
              </w:rPr>
            </w:pPr>
            <w:r>
              <w:rPr>
                <w:rFonts w:eastAsia="SimSun" w:cs="Arial"/>
              </w:rPr>
              <w:t>Law 82/1993</w:t>
            </w:r>
          </w:p>
        </w:tc>
        <w:tc>
          <w:tcPr>
            <w:tcW w:w="1489"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center"/>
              <w:rPr>
                <w:rFonts w:eastAsia="SimSun" w:cs="Arial"/>
              </w:rPr>
            </w:pPr>
            <w:r>
              <w:rPr>
                <w:rFonts w:eastAsia="SimSun" w:cs="Arial"/>
              </w:rPr>
              <w:t>Biosphere Reserve</w:t>
            </w:r>
          </w:p>
          <w:p w:rsidR="00511045" w:rsidRDefault="00511045" w:rsidP="002E01ED">
            <w:pPr>
              <w:jc w:val="center"/>
              <w:rPr>
                <w:rFonts w:eastAsia="SimSun" w:cs="Arial"/>
              </w:rPr>
            </w:pPr>
          </w:p>
        </w:tc>
        <w:tc>
          <w:tcPr>
            <w:tcW w:w="1972" w:type="dxa"/>
            <w:tcBorders>
              <w:top w:val="single" w:sz="4" w:space="0" w:color="auto"/>
              <w:left w:val="single" w:sz="6" w:space="0" w:color="000000"/>
              <w:bottom w:val="single" w:sz="4" w:space="0" w:color="auto"/>
              <w:right w:val="single" w:sz="4" w:space="0" w:color="auto"/>
            </w:tcBorders>
            <w:shd w:val="pct10" w:color="FFFFFF" w:fill="auto"/>
            <w:vAlign w:val="center"/>
          </w:tcPr>
          <w:p w:rsidR="00511045" w:rsidRDefault="00511045" w:rsidP="002E01ED">
            <w:pPr>
              <w:jc w:val="center"/>
              <w:rPr>
                <w:rFonts w:eastAsia="SimSun" w:cs="Arial"/>
              </w:rPr>
            </w:pPr>
            <w:r>
              <w:rPr>
                <w:rFonts w:eastAsia="SimSun" w:cs="Arial"/>
              </w:rPr>
              <w:t>580.000</w:t>
            </w:r>
          </w:p>
        </w:tc>
        <w:tc>
          <w:tcPr>
            <w:tcW w:w="2045" w:type="dxa"/>
            <w:tcBorders>
              <w:top w:val="single" w:sz="4" w:space="0" w:color="auto"/>
              <w:left w:val="single" w:sz="6" w:space="0" w:color="000000"/>
              <w:bottom w:val="single" w:sz="4" w:space="0" w:color="auto"/>
              <w:right w:val="single" w:sz="6" w:space="0" w:color="000000"/>
            </w:tcBorders>
            <w:shd w:val="pct10" w:color="FFFFFF" w:fill="auto"/>
            <w:vAlign w:val="center"/>
          </w:tcPr>
          <w:p w:rsidR="00511045" w:rsidRDefault="00511045" w:rsidP="002E01ED">
            <w:pPr>
              <w:jc w:val="center"/>
              <w:rPr>
                <w:rFonts w:eastAsia="SimSun" w:cs="Arial"/>
              </w:rPr>
            </w:pPr>
            <w:r>
              <w:rPr>
                <w:rFonts w:eastAsia="SimSun" w:cs="Arial"/>
              </w:rPr>
              <w:t>508.851 ha</w:t>
            </w:r>
          </w:p>
        </w:tc>
      </w:tr>
    </w:tbl>
    <w:p w:rsidR="00511045" w:rsidRDefault="00511045" w:rsidP="00511045">
      <w:pPr>
        <w:spacing w:before="60" w:after="60" w:line="288" w:lineRule="auto"/>
        <w:ind w:firstLine="709"/>
        <w:jc w:val="both"/>
        <w:rPr>
          <w:rFonts w:cs="Arial"/>
        </w:rPr>
      </w:pPr>
    </w:p>
    <w:p w:rsidR="00511045" w:rsidRDefault="00511045" w:rsidP="00511045">
      <w:pPr>
        <w:spacing w:before="60" w:after="60" w:line="288" w:lineRule="auto"/>
        <w:ind w:firstLine="709"/>
        <w:jc w:val="both"/>
        <w:rPr>
          <w:rFonts w:cs="Arial"/>
        </w:rPr>
      </w:pPr>
      <w:r>
        <w:rPr>
          <w:rFonts w:cs="Arial"/>
        </w:rPr>
        <w:t>The Danube Delta is one of the largest deltas of the European continent and the most well preserved wetland in Europe. Delta ecosystems , diverse and with a discontinuous distribution , type " mosaic " , a framework apart from other biomes of our country . The Danube Delta is home to a variety of species of plants and animals, some strictly adapted to the Danube Delta and plant associations and communities particularly interesting .</w:t>
      </w:r>
    </w:p>
    <w:p w:rsidR="00511045" w:rsidRDefault="00511045" w:rsidP="00511045">
      <w:pPr>
        <w:spacing w:before="60" w:after="60" w:line="288" w:lineRule="auto"/>
        <w:ind w:firstLine="709"/>
        <w:jc w:val="both"/>
        <w:rPr>
          <w:rFonts w:cs="Arial"/>
        </w:rPr>
      </w:pPr>
      <w:r>
        <w:rPr>
          <w:rFonts w:cs="Arial"/>
        </w:rPr>
        <w:t>Of the more than 300 species of birds that are found within the reserve all year round or only during certain periods thereof, over half are strictly protected species or protected by international conventions.</w:t>
      </w:r>
    </w:p>
    <w:p w:rsidR="00511045" w:rsidRDefault="00511045" w:rsidP="00511045">
      <w:pPr>
        <w:spacing w:before="60" w:after="60" w:line="288" w:lineRule="auto"/>
        <w:ind w:firstLine="709"/>
        <w:jc w:val="both"/>
        <w:rPr>
          <w:rFonts w:cs="Arial"/>
        </w:rPr>
      </w:pPr>
      <w:r>
        <w:rPr>
          <w:rFonts w:cs="Arial"/>
        </w:rPr>
        <w:t>These are just a few features that Delta was declared a Biosphere Reserve in 1990 and included in the international network of Biosphere Reserves under the " Man and Biosphere " program launched by UNESCO in 1970 .</w:t>
      </w:r>
    </w:p>
    <w:p w:rsidR="00511045" w:rsidRDefault="00511045" w:rsidP="00511045">
      <w:pPr>
        <w:spacing w:before="60" w:after="60" w:line="288" w:lineRule="auto"/>
        <w:ind w:firstLine="709"/>
        <w:jc w:val="both"/>
        <w:rPr>
          <w:rFonts w:cs="Arial"/>
        </w:rPr>
      </w:pPr>
      <w:r>
        <w:rPr>
          <w:rFonts w:cs="Arial"/>
        </w:rPr>
        <w:t>Danube Delta Biosphere Reserve has a total area of about 580,000 ha . Reserve territory includes several physical and geographical units outstanding both morphologically and genetically :</w:t>
      </w:r>
    </w:p>
    <w:p w:rsidR="00511045" w:rsidRDefault="00511045" w:rsidP="00511045">
      <w:pPr>
        <w:widowControl w:val="0"/>
        <w:spacing w:before="60" w:after="60" w:line="288" w:lineRule="auto"/>
        <w:ind w:left="547"/>
        <w:jc w:val="both"/>
        <w:rPr>
          <w:rFonts w:cs="Arial"/>
        </w:rPr>
      </w:pPr>
      <w:r>
        <w:rPr>
          <w:rFonts w:cs="Arial"/>
        </w:rPr>
        <w:lastRenderedPageBreak/>
        <w:t>- Danube Delta itself ;</w:t>
      </w:r>
    </w:p>
    <w:p w:rsidR="00511045" w:rsidRDefault="00511045" w:rsidP="00511045">
      <w:pPr>
        <w:widowControl w:val="0"/>
        <w:spacing w:before="60" w:after="60" w:line="288" w:lineRule="auto"/>
        <w:ind w:left="547"/>
        <w:jc w:val="both"/>
        <w:rPr>
          <w:rFonts w:cs="Arial"/>
        </w:rPr>
      </w:pPr>
      <w:r>
        <w:rPr>
          <w:rFonts w:cs="Arial"/>
        </w:rPr>
        <w:t>- Razelm - Sinoe ;</w:t>
      </w:r>
    </w:p>
    <w:p w:rsidR="00511045" w:rsidRDefault="00511045" w:rsidP="00511045">
      <w:pPr>
        <w:widowControl w:val="0"/>
        <w:spacing w:before="60" w:after="60" w:line="288" w:lineRule="auto"/>
        <w:ind w:left="547"/>
        <w:jc w:val="both"/>
        <w:rPr>
          <w:rFonts w:cs="Arial"/>
        </w:rPr>
      </w:pPr>
      <w:r>
        <w:rPr>
          <w:rFonts w:cs="Arial"/>
        </w:rPr>
        <w:t>- Black Sea , up to 20 m isobath ;</w:t>
      </w:r>
    </w:p>
    <w:p w:rsidR="00511045" w:rsidRDefault="00511045" w:rsidP="00511045">
      <w:pPr>
        <w:widowControl w:val="0"/>
        <w:spacing w:before="60" w:after="60" w:line="288" w:lineRule="auto"/>
        <w:ind w:left="547"/>
        <w:jc w:val="both"/>
        <w:rPr>
          <w:rFonts w:cs="Arial"/>
        </w:rPr>
      </w:pPr>
      <w:r>
        <w:rPr>
          <w:rFonts w:cs="Arial"/>
        </w:rPr>
        <w:t>- Cat Bend Danube estuary to the floodplain Isaccea- Tulcea ;</w:t>
      </w:r>
    </w:p>
    <w:p w:rsidR="00511045" w:rsidRDefault="00511045" w:rsidP="00511045">
      <w:pPr>
        <w:widowControl w:val="0"/>
        <w:spacing w:before="60" w:after="60" w:line="288" w:lineRule="auto"/>
        <w:ind w:left="547"/>
        <w:jc w:val="both"/>
        <w:rPr>
          <w:rFonts w:cs="Arial"/>
        </w:rPr>
      </w:pPr>
      <w:r>
        <w:rPr>
          <w:rFonts w:cs="Arial"/>
        </w:rPr>
        <w:t>- Sărăturile Murighiol - Plopu .</w:t>
      </w:r>
    </w:p>
    <w:p w:rsidR="00511045" w:rsidRDefault="00511045" w:rsidP="00511045">
      <w:pPr>
        <w:widowControl w:val="0"/>
        <w:spacing w:after="200" w:line="720" w:lineRule="auto"/>
        <w:ind w:left="540"/>
        <w:jc w:val="center"/>
        <w:rPr>
          <w:rFonts w:ascii="Calibri" w:eastAsia="Calibri" w:hAnsi="Calibri" w:cs="Arial"/>
          <w:sz w:val="22"/>
          <w:szCs w:val="22"/>
          <w:lang w:val="en-GB" w:eastAsia="en-US"/>
        </w:rPr>
      </w:pPr>
    </w:p>
    <w:p w:rsidR="00511045" w:rsidRDefault="00511045" w:rsidP="00511045">
      <w:pPr>
        <w:spacing w:before="60" w:after="60" w:line="288" w:lineRule="auto"/>
        <w:jc w:val="both"/>
        <w:rPr>
          <w:snapToGrid w:val="0"/>
          <w:position w:val="-6"/>
          <w:lang w:val="en-GB"/>
        </w:rPr>
        <w:sectPr w:rsidR="00511045">
          <w:headerReference w:type="default" r:id="rId53"/>
          <w:footerReference w:type="default" r:id="rId54"/>
          <w:pgSz w:w="11909" w:h="16834" w:code="9"/>
          <w:pgMar w:top="562" w:right="475" w:bottom="562" w:left="1138" w:header="288" w:footer="0" w:gutter="0"/>
          <w:cols w:space="708"/>
          <w:docGrid w:linePitch="360"/>
        </w:sectPr>
      </w:pPr>
    </w:p>
    <w:p w:rsidR="00511045" w:rsidRDefault="00511045" w:rsidP="00511045">
      <w:pPr>
        <w:spacing w:before="60" w:after="60" w:line="288" w:lineRule="auto"/>
        <w:jc w:val="center"/>
        <w:rPr>
          <w:rFonts w:cs="Arial"/>
          <w:lang w:val="en-GB"/>
        </w:rPr>
      </w:pPr>
      <w:r w:rsidRPr="002E01ED">
        <w:rPr>
          <w:noProof/>
          <w:position w:val="-6"/>
          <w:lang w:val="en-US" w:eastAsia="en-US"/>
        </w:rPr>
        <w:lastRenderedPageBreak/>
        <w:drawing>
          <wp:inline distT="0" distB="0" distL="0" distR="0" wp14:anchorId="22A8E6E2" wp14:editId="44AE219A">
            <wp:extent cx="7517130" cy="5320030"/>
            <wp:effectExtent l="0" t="0" r="7620" b="0"/>
            <wp:docPr id="33" name="Imagine 33" descr="SEA_Tulce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A_Tulcea_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517130" cy="5320030"/>
                    </a:xfrm>
                    <a:prstGeom prst="rect">
                      <a:avLst/>
                    </a:prstGeom>
                    <a:noFill/>
                    <a:ln>
                      <a:noFill/>
                    </a:ln>
                  </pic:spPr>
                </pic:pic>
              </a:graphicData>
            </a:graphic>
          </wp:inline>
        </w:drawing>
      </w:r>
    </w:p>
    <w:p w:rsidR="00511045" w:rsidRDefault="00511045" w:rsidP="00511045">
      <w:pPr>
        <w:spacing w:before="60" w:after="60" w:line="288" w:lineRule="auto"/>
        <w:jc w:val="both"/>
        <w:rPr>
          <w:rFonts w:cs="Arial"/>
          <w:lang w:val="en-GB"/>
        </w:rPr>
      </w:pPr>
    </w:p>
    <w:p w:rsidR="00511045" w:rsidRDefault="00511045" w:rsidP="00511045">
      <w:pPr>
        <w:spacing w:before="60" w:after="60" w:line="288" w:lineRule="auto"/>
        <w:jc w:val="both"/>
        <w:rPr>
          <w:snapToGrid w:val="0"/>
          <w:position w:val="-6"/>
          <w:lang w:val="en-GB"/>
        </w:rPr>
        <w:sectPr w:rsidR="00511045">
          <w:headerReference w:type="default" r:id="rId56"/>
          <w:footerReference w:type="default" r:id="rId57"/>
          <w:pgSz w:w="16834" w:h="11909" w:orient="landscape" w:code="9"/>
          <w:pgMar w:top="1138" w:right="562" w:bottom="475" w:left="562" w:header="288" w:footer="0" w:gutter="0"/>
          <w:cols w:space="708"/>
          <w:docGrid w:linePitch="360"/>
        </w:sectPr>
      </w:pPr>
    </w:p>
    <w:p w:rsidR="00511045" w:rsidRDefault="00511045" w:rsidP="00511045">
      <w:pPr>
        <w:numPr>
          <w:ilvl w:val="0"/>
          <w:numId w:val="72"/>
        </w:numPr>
        <w:autoSpaceDE w:val="0"/>
        <w:autoSpaceDN w:val="0"/>
        <w:adjustRightInd w:val="0"/>
        <w:spacing w:before="60" w:after="60" w:line="288" w:lineRule="auto"/>
        <w:jc w:val="both"/>
        <w:rPr>
          <w:rFonts w:eastAsia="Calibri" w:cs="Arial"/>
          <w:color w:val="000000"/>
          <w:lang w:val="en-GB" w:eastAsia="en-US"/>
        </w:rPr>
      </w:pPr>
      <w:r>
        <w:rPr>
          <w:rFonts w:eastAsia="Calibri" w:cs="Arial"/>
          <w:b/>
          <w:bCs/>
          <w:color w:val="000000"/>
          <w:lang w:val="en-GB"/>
        </w:rPr>
        <w:lastRenderedPageBreak/>
        <w:t>SPECIAL PROTECTION AREAS –SPA</w:t>
      </w:r>
    </w:p>
    <w:p w:rsidR="00511045" w:rsidRDefault="00511045" w:rsidP="00511045">
      <w:pPr>
        <w:widowControl w:val="0"/>
        <w:spacing w:before="60" w:after="60" w:line="288" w:lineRule="auto"/>
        <w:jc w:val="both"/>
        <w:rPr>
          <w:rFonts w:eastAsia="Calibri" w:cs="Arial"/>
          <w:color w:val="000000"/>
          <w:sz w:val="22"/>
          <w:szCs w:val="22"/>
          <w:lang w:val="en-GB"/>
        </w:rPr>
      </w:pPr>
      <w:r>
        <w:rPr>
          <w:rFonts w:eastAsia="Calibri" w:cs="Arial"/>
          <w:color w:val="000000"/>
          <w:sz w:val="22"/>
          <w:szCs w:val="22"/>
          <w:lang w:val="en-GB" w:eastAsia="en-US"/>
        </w:rPr>
        <w:t xml:space="preserve">In Tulcea County </w:t>
      </w:r>
      <w:r>
        <w:rPr>
          <w:rFonts w:eastAsia="Calibri" w:cs="Arial"/>
          <w:color w:val="000000"/>
          <w:sz w:val="22"/>
          <w:szCs w:val="22"/>
          <w:lang w:val="en-GB"/>
        </w:rPr>
        <w:t>9 SPA are declared.</w:t>
      </w:r>
    </w:p>
    <w:p w:rsidR="00511045" w:rsidRDefault="00511045" w:rsidP="00511045">
      <w:pPr>
        <w:widowControl w:val="0"/>
        <w:spacing w:before="60" w:after="60" w:line="288" w:lineRule="auto"/>
        <w:ind w:firstLine="720"/>
        <w:jc w:val="both"/>
        <w:rPr>
          <w:rFonts w:eastAsia="Calibri" w:cs="Arial"/>
          <w:b/>
          <w:color w:val="000000"/>
          <w:sz w:val="22"/>
          <w:szCs w:val="22"/>
        </w:rPr>
      </w:pPr>
      <w:r>
        <w:rPr>
          <w:rFonts w:eastAsia="Calibri" w:cs="Arial"/>
          <w:b/>
          <w:color w:val="000000"/>
          <w:sz w:val="22"/>
          <w:szCs w:val="22"/>
        </w:rPr>
        <w:t xml:space="preserve">Table 4.1.3 </w:t>
      </w:r>
      <w:r w:rsidRPr="00B37971">
        <w:rPr>
          <w:rFonts w:eastAsia="Calibri"/>
          <w:b/>
          <w:color w:val="000000"/>
          <w:sz w:val="22"/>
          <w:szCs w:val="22"/>
        </w:rPr>
        <w:t>Special Protection Areas (SPA) in Tulcea</w:t>
      </w:r>
    </w:p>
    <w:p w:rsidR="00511045" w:rsidRDefault="00511045" w:rsidP="00511045">
      <w:pPr>
        <w:widowControl w:val="0"/>
        <w:spacing w:before="60" w:after="60" w:line="288" w:lineRule="auto"/>
        <w:jc w:val="both"/>
        <w:rPr>
          <w:rFonts w:eastAsia="Calibri" w:cs="Arial"/>
          <w:color w:val="000000"/>
          <w:sz w:val="22"/>
          <w:szCs w:val="22"/>
          <w:lang w:val="en-GB" w:eastAsia="en-US"/>
        </w:rPr>
      </w:pPr>
    </w:p>
    <w:tbl>
      <w:tblPr>
        <w:tblW w:w="9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20"/>
        <w:gridCol w:w="2637"/>
        <w:gridCol w:w="1580"/>
        <w:gridCol w:w="2662"/>
      </w:tblGrid>
      <w:tr w:rsidR="00511045" w:rsidTr="002E01ED">
        <w:trPr>
          <w:trHeight w:val="514"/>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spacing w:before="60" w:after="60" w:line="288" w:lineRule="auto"/>
              <w:jc w:val="both"/>
              <w:rPr>
                <w:rFonts w:eastAsia="Calibri" w:cs="Arial"/>
                <w:b/>
                <w:sz w:val="22"/>
                <w:szCs w:val="22"/>
                <w:lang w:val="en-GB" w:eastAsia="en-US"/>
              </w:rPr>
            </w:pPr>
            <w:r>
              <w:rPr>
                <w:rFonts w:eastAsia="Calibri" w:cs="Arial"/>
                <w:b/>
                <w:sz w:val="22"/>
                <w:szCs w:val="22"/>
                <w:lang w:val="en-GB" w:eastAsia="en-US"/>
              </w:rPr>
              <w:t>No</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spacing w:before="60" w:after="60" w:line="288" w:lineRule="auto"/>
              <w:jc w:val="both"/>
              <w:rPr>
                <w:rFonts w:eastAsia="Calibri" w:cs="Arial"/>
                <w:b/>
                <w:bCs/>
                <w:sz w:val="22"/>
                <w:szCs w:val="22"/>
                <w:lang w:val="en-GB" w:eastAsia="en-US"/>
              </w:rPr>
            </w:pPr>
            <w:r>
              <w:rPr>
                <w:rFonts w:eastAsia="Calibri" w:cs="Arial"/>
                <w:b/>
                <w:bCs/>
                <w:sz w:val="22"/>
                <w:szCs w:val="22"/>
                <w:lang w:val="en-GB" w:eastAsia="en-US"/>
              </w:rPr>
              <w:t>SIT COD</w:t>
            </w:r>
          </w:p>
        </w:tc>
        <w:tc>
          <w:tcPr>
            <w:tcW w:w="2637" w:type="dxa"/>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spacing w:before="60" w:after="60" w:line="288" w:lineRule="auto"/>
              <w:jc w:val="both"/>
              <w:rPr>
                <w:rFonts w:eastAsia="Calibri" w:cs="Arial"/>
                <w:b/>
                <w:bCs/>
                <w:sz w:val="22"/>
                <w:szCs w:val="22"/>
                <w:lang w:val="en-GB" w:eastAsia="en-US"/>
              </w:rPr>
            </w:pPr>
            <w:r>
              <w:rPr>
                <w:rFonts w:eastAsia="Calibri" w:cs="Arial"/>
                <w:b/>
                <w:bCs/>
                <w:sz w:val="22"/>
                <w:szCs w:val="22"/>
                <w:lang w:val="en-GB" w:eastAsia="en-US"/>
              </w:rPr>
              <w:t>SIT NAME</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spacing w:before="60" w:after="60" w:line="288" w:lineRule="auto"/>
              <w:jc w:val="both"/>
              <w:rPr>
                <w:rFonts w:eastAsia="Calibri" w:cs="Arial"/>
                <w:b/>
                <w:bCs/>
                <w:sz w:val="22"/>
                <w:szCs w:val="22"/>
                <w:lang w:val="en-GB" w:eastAsia="en-US"/>
              </w:rPr>
            </w:pPr>
            <w:r>
              <w:rPr>
                <w:rFonts w:eastAsia="Calibri" w:cs="Arial"/>
                <w:b/>
                <w:bCs/>
                <w:sz w:val="22"/>
                <w:szCs w:val="22"/>
                <w:lang w:val="en-GB" w:eastAsia="en-US"/>
              </w:rPr>
              <w:t xml:space="preserve">Surface </w:t>
            </w:r>
          </w:p>
          <w:p w:rsidR="00511045" w:rsidRDefault="00511045" w:rsidP="002E01ED">
            <w:pPr>
              <w:spacing w:before="60" w:after="60" w:line="288" w:lineRule="auto"/>
              <w:jc w:val="both"/>
              <w:rPr>
                <w:rFonts w:eastAsia="Calibri" w:cs="Arial"/>
                <w:b/>
                <w:bCs/>
                <w:sz w:val="22"/>
                <w:szCs w:val="22"/>
                <w:lang w:val="en-GB" w:eastAsia="en-US"/>
              </w:rPr>
            </w:pPr>
            <w:r>
              <w:rPr>
                <w:rFonts w:eastAsia="Calibri" w:cs="Arial"/>
                <w:b/>
                <w:bCs/>
                <w:sz w:val="22"/>
                <w:szCs w:val="22"/>
                <w:lang w:val="en-GB" w:eastAsia="en-US"/>
              </w:rPr>
              <w:t xml:space="preserve">ha </w:t>
            </w:r>
          </w:p>
        </w:tc>
        <w:tc>
          <w:tcPr>
            <w:tcW w:w="2662" w:type="dxa"/>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spacing w:before="60" w:after="60" w:line="288" w:lineRule="auto"/>
              <w:jc w:val="both"/>
              <w:rPr>
                <w:rFonts w:eastAsia="Calibri" w:cs="Arial"/>
                <w:b/>
                <w:bCs/>
                <w:sz w:val="22"/>
                <w:szCs w:val="22"/>
                <w:lang w:val="en-GB" w:eastAsia="en-US"/>
              </w:rPr>
            </w:pPr>
            <w:r>
              <w:rPr>
                <w:rFonts w:eastAsia="Calibri" w:cs="Arial"/>
                <w:b/>
                <w:bCs/>
                <w:sz w:val="22"/>
                <w:szCs w:val="22"/>
                <w:lang w:val="en-GB" w:eastAsia="en-US"/>
              </w:rPr>
              <w:t>Surface at the level of County</w:t>
            </w:r>
          </w:p>
        </w:tc>
      </w:tr>
      <w:tr w:rsidR="00511045" w:rsidTr="002E01ED">
        <w:trPr>
          <w:trHeight w:val="305"/>
          <w:jc w:val="center"/>
        </w:trPr>
        <w:tc>
          <w:tcPr>
            <w:tcW w:w="7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1</w:t>
            </w:r>
          </w:p>
        </w:tc>
        <w:tc>
          <w:tcPr>
            <w:tcW w:w="20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ROSPA0009</w:t>
            </w:r>
          </w:p>
        </w:tc>
        <w:tc>
          <w:tcPr>
            <w:tcW w:w="2637"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 xml:space="preserve">Beştepe – Mahmudia </w:t>
            </w:r>
          </w:p>
        </w:tc>
        <w:tc>
          <w:tcPr>
            <w:tcW w:w="15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3.663</w:t>
            </w:r>
          </w:p>
        </w:tc>
        <w:tc>
          <w:tcPr>
            <w:tcW w:w="266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jc w:val="both"/>
              <w:rPr>
                <w:rFonts w:eastAsia="Calibri" w:cs="Arial"/>
                <w:bCs/>
                <w:sz w:val="22"/>
                <w:szCs w:val="22"/>
                <w:lang w:val="en-GB" w:eastAsia="en-US"/>
              </w:rPr>
            </w:pPr>
            <w:r>
              <w:rPr>
                <w:rFonts w:eastAsia="Calibri" w:cs="Arial"/>
                <w:sz w:val="22"/>
                <w:szCs w:val="22"/>
                <w:lang w:val="en-GB" w:eastAsia="en-US"/>
              </w:rPr>
              <w:t>3.663</w:t>
            </w:r>
          </w:p>
        </w:tc>
      </w:tr>
      <w:tr w:rsidR="00511045" w:rsidTr="002E01ED">
        <w:trPr>
          <w:trHeight w:val="514"/>
          <w:jc w:val="center"/>
        </w:trPr>
        <w:tc>
          <w:tcPr>
            <w:tcW w:w="7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2</w:t>
            </w:r>
          </w:p>
        </w:tc>
        <w:tc>
          <w:tcPr>
            <w:tcW w:w="20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ROSPA0031</w:t>
            </w:r>
          </w:p>
        </w:tc>
        <w:tc>
          <w:tcPr>
            <w:tcW w:w="2637"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 xml:space="preserve">Delta </w:t>
            </w:r>
          </w:p>
        </w:tc>
        <w:tc>
          <w:tcPr>
            <w:tcW w:w="15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512820</w:t>
            </w:r>
          </w:p>
        </w:tc>
        <w:tc>
          <w:tcPr>
            <w:tcW w:w="266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jc w:val="both"/>
              <w:rPr>
                <w:rFonts w:eastAsia="Calibri" w:cs="Arial"/>
                <w:bCs/>
                <w:sz w:val="22"/>
                <w:szCs w:val="22"/>
                <w:lang w:val="en-GB" w:eastAsia="en-US"/>
              </w:rPr>
            </w:pPr>
            <w:r>
              <w:rPr>
                <w:rFonts w:eastAsia="Calibri" w:cs="Arial"/>
                <w:bCs/>
                <w:sz w:val="22"/>
                <w:szCs w:val="22"/>
                <w:lang w:val="en-GB" w:eastAsia="en-US"/>
              </w:rPr>
              <w:t>456.410</w:t>
            </w:r>
          </w:p>
        </w:tc>
      </w:tr>
      <w:tr w:rsidR="00511045" w:rsidTr="002E01ED">
        <w:trPr>
          <w:trHeight w:val="224"/>
          <w:jc w:val="center"/>
        </w:trPr>
        <w:tc>
          <w:tcPr>
            <w:tcW w:w="7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3</w:t>
            </w:r>
          </w:p>
        </w:tc>
        <w:tc>
          <w:tcPr>
            <w:tcW w:w="20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ROSPA 0032</w:t>
            </w:r>
          </w:p>
        </w:tc>
        <w:tc>
          <w:tcPr>
            <w:tcW w:w="2637"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 xml:space="preserve">Denis Tepe </w:t>
            </w:r>
          </w:p>
        </w:tc>
        <w:tc>
          <w:tcPr>
            <w:tcW w:w="15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1.900</w:t>
            </w:r>
          </w:p>
        </w:tc>
        <w:tc>
          <w:tcPr>
            <w:tcW w:w="266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jc w:val="both"/>
              <w:rPr>
                <w:rFonts w:eastAsia="Calibri" w:cs="Arial"/>
                <w:bCs/>
                <w:sz w:val="22"/>
                <w:szCs w:val="22"/>
                <w:lang w:val="en-GB" w:eastAsia="en-US"/>
              </w:rPr>
            </w:pPr>
            <w:r>
              <w:rPr>
                <w:rFonts w:eastAsia="Calibri" w:cs="Arial"/>
                <w:sz w:val="22"/>
                <w:szCs w:val="22"/>
                <w:lang w:val="en-GB" w:eastAsia="en-US"/>
              </w:rPr>
              <w:t>1.900</w:t>
            </w:r>
          </w:p>
        </w:tc>
      </w:tr>
      <w:tr w:rsidR="00511045" w:rsidTr="002E01ED">
        <w:trPr>
          <w:trHeight w:val="514"/>
          <w:jc w:val="center"/>
        </w:trPr>
        <w:tc>
          <w:tcPr>
            <w:tcW w:w="7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4</w:t>
            </w:r>
          </w:p>
        </w:tc>
        <w:tc>
          <w:tcPr>
            <w:tcW w:w="20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ROSPA0040</w:t>
            </w:r>
          </w:p>
        </w:tc>
        <w:tc>
          <w:tcPr>
            <w:tcW w:w="2637"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Old Danube –Măcin Arm</w:t>
            </w:r>
          </w:p>
        </w:tc>
        <w:tc>
          <w:tcPr>
            <w:tcW w:w="15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18.759</w:t>
            </w:r>
          </w:p>
        </w:tc>
        <w:tc>
          <w:tcPr>
            <w:tcW w:w="266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jc w:val="both"/>
              <w:rPr>
                <w:rFonts w:eastAsia="Calibri" w:cs="Arial"/>
                <w:bCs/>
                <w:sz w:val="22"/>
                <w:szCs w:val="22"/>
                <w:lang w:val="en-GB" w:eastAsia="en-US"/>
              </w:rPr>
            </w:pPr>
            <w:r>
              <w:rPr>
                <w:rFonts w:eastAsia="Calibri" w:cs="Arial"/>
                <w:bCs/>
                <w:sz w:val="22"/>
                <w:szCs w:val="22"/>
                <w:lang w:val="en-GB" w:eastAsia="en-US"/>
              </w:rPr>
              <w:t>8442</w:t>
            </w:r>
          </w:p>
        </w:tc>
      </w:tr>
      <w:tr w:rsidR="00511045" w:rsidTr="002E01ED">
        <w:trPr>
          <w:trHeight w:val="287"/>
          <w:jc w:val="center"/>
        </w:trPr>
        <w:tc>
          <w:tcPr>
            <w:tcW w:w="7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5</w:t>
            </w:r>
          </w:p>
        </w:tc>
        <w:tc>
          <w:tcPr>
            <w:tcW w:w="20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ROSPA0052</w:t>
            </w:r>
          </w:p>
        </w:tc>
        <w:tc>
          <w:tcPr>
            <w:tcW w:w="2637"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Beibugeac Lake</w:t>
            </w:r>
          </w:p>
        </w:tc>
        <w:tc>
          <w:tcPr>
            <w:tcW w:w="15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470</w:t>
            </w:r>
          </w:p>
        </w:tc>
        <w:tc>
          <w:tcPr>
            <w:tcW w:w="266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jc w:val="both"/>
              <w:rPr>
                <w:rFonts w:eastAsia="Calibri" w:cs="Arial"/>
                <w:bCs/>
                <w:sz w:val="22"/>
                <w:szCs w:val="22"/>
                <w:lang w:val="en-GB" w:eastAsia="en-US"/>
              </w:rPr>
            </w:pPr>
            <w:r>
              <w:rPr>
                <w:rFonts w:eastAsia="Calibri" w:cs="Arial"/>
                <w:bCs/>
                <w:sz w:val="22"/>
                <w:szCs w:val="22"/>
                <w:lang w:val="en-GB" w:eastAsia="en-US"/>
              </w:rPr>
              <w:t>470</w:t>
            </w:r>
          </w:p>
        </w:tc>
      </w:tr>
      <w:tr w:rsidR="00511045" w:rsidTr="002E01ED">
        <w:trPr>
          <w:trHeight w:val="350"/>
          <w:jc w:val="center"/>
        </w:trPr>
        <w:tc>
          <w:tcPr>
            <w:tcW w:w="7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6</w:t>
            </w:r>
          </w:p>
        </w:tc>
        <w:tc>
          <w:tcPr>
            <w:tcW w:w="20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ROSPA0076</w:t>
            </w:r>
          </w:p>
        </w:tc>
        <w:tc>
          <w:tcPr>
            <w:tcW w:w="2637"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 xml:space="preserve">Black See </w:t>
            </w:r>
          </w:p>
        </w:tc>
        <w:tc>
          <w:tcPr>
            <w:tcW w:w="15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140.143</w:t>
            </w:r>
          </w:p>
        </w:tc>
        <w:tc>
          <w:tcPr>
            <w:tcW w:w="266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jc w:val="both"/>
              <w:rPr>
                <w:rFonts w:eastAsia="Calibri" w:cs="Arial"/>
                <w:bCs/>
                <w:sz w:val="22"/>
                <w:szCs w:val="22"/>
                <w:lang w:val="en-GB" w:eastAsia="en-US"/>
              </w:rPr>
            </w:pPr>
            <w:r>
              <w:rPr>
                <w:rFonts w:eastAsia="Calibri" w:cs="Arial"/>
                <w:bCs/>
                <w:sz w:val="22"/>
                <w:szCs w:val="22"/>
                <w:lang w:val="en-GB" w:eastAsia="en-US"/>
              </w:rPr>
              <w:t>Black Sea</w:t>
            </w:r>
          </w:p>
        </w:tc>
      </w:tr>
      <w:tr w:rsidR="00511045" w:rsidTr="002E01ED">
        <w:trPr>
          <w:trHeight w:val="260"/>
          <w:jc w:val="center"/>
        </w:trPr>
        <w:tc>
          <w:tcPr>
            <w:tcW w:w="7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7</w:t>
            </w:r>
          </w:p>
        </w:tc>
        <w:tc>
          <w:tcPr>
            <w:tcW w:w="20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ROSPA0073</w:t>
            </w:r>
          </w:p>
        </w:tc>
        <w:tc>
          <w:tcPr>
            <w:tcW w:w="2637"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 xml:space="preserve">Măcin – Niculiţel </w:t>
            </w:r>
          </w:p>
        </w:tc>
        <w:tc>
          <w:tcPr>
            <w:tcW w:w="15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67.361</w:t>
            </w:r>
          </w:p>
        </w:tc>
        <w:tc>
          <w:tcPr>
            <w:tcW w:w="266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jc w:val="both"/>
              <w:rPr>
                <w:rFonts w:eastAsia="Calibri" w:cs="Arial"/>
                <w:bCs/>
                <w:sz w:val="22"/>
                <w:szCs w:val="22"/>
                <w:lang w:val="en-GB" w:eastAsia="en-US"/>
              </w:rPr>
            </w:pPr>
            <w:r>
              <w:rPr>
                <w:rFonts w:eastAsia="Calibri" w:cs="Arial"/>
                <w:sz w:val="22"/>
                <w:szCs w:val="22"/>
                <w:lang w:val="en-GB" w:eastAsia="en-US"/>
              </w:rPr>
              <w:t>67.361</w:t>
            </w:r>
          </w:p>
        </w:tc>
      </w:tr>
      <w:tr w:rsidR="00511045" w:rsidTr="002E01ED">
        <w:trPr>
          <w:trHeight w:val="332"/>
          <w:jc w:val="center"/>
        </w:trPr>
        <w:tc>
          <w:tcPr>
            <w:tcW w:w="7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8</w:t>
            </w:r>
          </w:p>
        </w:tc>
        <w:tc>
          <w:tcPr>
            <w:tcW w:w="20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ROSPA0091</w:t>
            </w:r>
          </w:p>
        </w:tc>
        <w:tc>
          <w:tcPr>
            <w:tcW w:w="2637"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Babadag Forest</w:t>
            </w:r>
          </w:p>
        </w:tc>
        <w:tc>
          <w:tcPr>
            <w:tcW w:w="15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58.473</w:t>
            </w:r>
          </w:p>
        </w:tc>
        <w:tc>
          <w:tcPr>
            <w:tcW w:w="266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jc w:val="both"/>
              <w:rPr>
                <w:rFonts w:eastAsia="Calibri" w:cs="Arial"/>
                <w:bCs/>
                <w:sz w:val="22"/>
                <w:szCs w:val="22"/>
                <w:lang w:val="en-GB" w:eastAsia="en-US"/>
              </w:rPr>
            </w:pPr>
            <w:r>
              <w:rPr>
                <w:rFonts w:eastAsia="Calibri" w:cs="Arial"/>
                <w:sz w:val="22"/>
                <w:szCs w:val="22"/>
                <w:lang w:val="en-GB" w:eastAsia="en-US"/>
              </w:rPr>
              <w:t>58.473</w:t>
            </w:r>
          </w:p>
        </w:tc>
      </w:tr>
      <w:tr w:rsidR="00511045" w:rsidTr="002E01ED">
        <w:trPr>
          <w:trHeight w:val="260"/>
          <w:jc w:val="center"/>
        </w:trPr>
        <w:tc>
          <w:tcPr>
            <w:tcW w:w="7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9</w:t>
            </w:r>
          </w:p>
        </w:tc>
        <w:tc>
          <w:tcPr>
            <w:tcW w:w="2020"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ROSPA0100</w:t>
            </w:r>
          </w:p>
        </w:tc>
        <w:tc>
          <w:tcPr>
            <w:tcW w:w="2637"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Casimcea Steppe</w:t>
            </w:r>
          </w:p>
        </w:tc>
        <w:tc>
          <w:tcPr>
            <w:tcW w:w="1580"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ind w:left="-3" w:right="44" w:firstLine="3"/>
              <w:jc w:val="both"/>
              <w:rPr>
                <w:rFonts w:eastAsia="Calibri" w:cs="Arial"/>
                <w:sz w:val="22"/>
                <w:szCs w:val="22"/>
                <w:lang w:val="en-GB" w:eastAsia="en-US"/>
              </w:rPr>
            </w:pPr>
            <w:r>
              <w:rPr>
                <w:rFonts w:eastAsia="Calibri" w:cs="Arial"/>
                <w:sz w:val="22"/>
                <w:szCs w:val="22"/>
                <w:lang w:val="en-GB" w:eastAsia="en-US"/>
              </w:rPr>
              <w:t>22.226</w:t>
            </w:r>
          </w:p>
        </w:tc>
        <w:tc>
          <w:tcPr>
            <w:tcW w:w="2662" w:type="dxa"/>
            <w:tcBorders>
              <w:top w:val="single" w:sz="4" w:space="0" w:color="auto"/>
              <w:left w:val="single" w:sz="4" w:space="0" w:color="auto"/>
              <w:bottom w:val="single" w:sz="4" w:space="0" w:color="auto"/>
              <w:right w:val="single" w:sz="4" w:space="0" w:color="auto"/>
            </w:tcBorders>
            <w:vAlign w:val="center"/>
          </w:tcPr>
          <w:p w:rsidR="00511045" w:rsidRDefault="00511045" w:rsidP="002E01ED">
            <w:pPr>
              <w:spacing w:before="60" w:after="60" w:line="288" w:lineRule="auto"/>
              <w:jc w:val="both"/>
              <w:rPr>
                <w:rFonts w:eastAsia="Calibri" w:cs="Arial"/>
                <w:bCs/>
                <w:sz w:val="22"/>
                <w:szCs w:val="22"/>
                <w:lang w:val="en-GB" w:eastAsia="en-US"/>
              </w:rPr>
            </w:pPr>
            <w:r>
              <w:rPr>
                <w:rFonts w:eastAsia="Calibri" w:cs="Arial"/>
                <w:sz w:val="22"/>
                <w:szCs w:val="22"/>
                <w:lang w:val="en-GB" w:eastAsia="en-US"/>
              </w:rPr>
              <w:t>22.226</w:t>
            </w:r>
          </w:p>
        </w:tc>
      </w:tr>
    </w:tbl>
    <w:p w:rsidR="00511045" w:rsidRDefault="00511045" w:rsidP="00511045">
      <w:pPr>
        <w:autoSpaceDE w:val="0"/>
        <w:autoSpaceDN w:val="0"/>
        <w:adjustRightInd w:val="0"/>
        <w:spacing w:before="60" w:after="60" w:line="288" w:lineRule="auto"/>
        <w:jc w:val="both"/>
        <w:rPr>
          <w:rFonts w:eastAsia="Calibri" w:cs="Arial"/>
          <w:b/>
          <w:bCs/>
          <w:color w:val="000000"/>
          <w:lang w:val="en-GB"/>
        </w:rPr>
      </w:pPr>
    </w:p>
    <w:p w:rsidR="00511045" w:rsidRDefault="00511045" w:rsidP="00511045">
      <w:pPr>
        <w:tabs>
          <w:tab w:val="right" w:pos="8640"/>
        </w:tabs>
        <w:spacing w:before="60" w:after="60" w:line="288" w:lineRule="auto"/>
        <w:jc w:val="both"/>
        <w:rPr>
          <w:rFonts w:cs="Arial"/>
          <w:bCs/>
        </w:rPr>
      </w:pPr>
    </w:p>
    <w:p w:rsidR="00511045" w:rsidRDefault="00511045" w:rsidP="00511045">
      <w:pPr>
        <w:numPr>
          <w:ilvl w:val="0"/>
          <w:numId w:val="21"/>
        </w:numPr>
        <w:spacing w:before="60" w:after="60" w:line="288" w:lineRule="auto"/>
        <w:ind w:left="1080"/>
        <w:jc w:val="both"/>
        <w:rPr>
          <w:rFonts w:cs="Arial"/>
          <w:b/>
          <w:bCs/>
        </w:rPr>
      </w:pPr>
      <w:r>
        <w:rPr>
          <w:rFonts w:cs="Arial"/>
          <w:b/>
          <w:bCs/>
        </w:rPr>
        <w:t xml:space="preserve">ROSPA 0009 Beştepe – Mahmudia </w:t>
      </w:r>
    </w:p>
    <w:p w:rsidR="00511045" w:rsidRDefault="00511045" w:rsidP="00511045">
      <w:pPr>
        <w:spacing w:before="60" w:after="60" w:line="288" w:lineRule="auto"/>
        <w:ind w:firstLine="720"/>
        <w:jc w:val="both"/>
        <w:rPr>
          <w:rFonts w:cs="Arial"/>
          <w:b/>
          <w:bCs/>
        </w:rPr>
      </w:pPr>
      <w:r w:rsidRPr="002E01ED">
        <w:rPr>
          <w:rFonts w:cs="Arial"/>
          <w:noProof/>
          <w:lang w:val="en-US" w:eastAsia="en-US"/>
        </w:rPr>
        <w:drawing>
          <wp:anchor distT="0" distB="0" distL="114300" distR="114300" simplePos="0" relativeHeight="251662336" behindDoc="1" locked="0" layoutInCell="1" allowOverlap="1" wp14:anchorId="674BDEF2" wp14:editId="64B4C71F">
            <wp:simplePos x="0" y="0"/>
            <wp:positionH relativeFrom="column">
              <wp:posOffset>-76200</wp:posOffset>
            </wp:positionH>
            <wp:positionV relativeFrom="paragraph">
              <wp:posOffset>255905</wp:posOffset>
            </wp:positionV>
            <wp:extent cx="3990975" cy="2647950"/>
            <wp:effectExtent l="0" t="0" r="9525" b="0"/>
            <wp:wrapTight wrapText="bothSides">
              <wp:wrapPolygon edited="0">
                <wp:start x="0" y="0"/>
                <wp:lineTo x="0" y="21445"/>
                <wp:lineTo x="21548" y="21445"/>
                <wp:lineTo x="21548" y="0"/>
                <wp:lineTo x="0" y="0"/>
              </wp:wrapPolygon>
            </wp:wrapTight>
            <wp:docPr id="35" name="Imagine 35" descr="spa bestepe mahmu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a bestepe mahmudi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90975" cy="26479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Pr>
          <w:rFonts w:cs="Arial"/>
          <w:noProof/>
        </w:rPr>
        <w:t xml:space="preserve">It is an important place for nesting raptors feeding and those who are in migration. Examples of rare species of raptors in the area : </w:t>
      </w:r>
      <w:r w:rsidRPr="008A2AD8">
        <w:rPr>
          <w:rFonts w:cs="Arial"/>
          <w:i/>
          <w:noProof/>
        </w:rPr>
        <w:t>Accipiter brevipes</w:t>
      </w:r>
      <w:r>
        <w:rPr>
          <w:rFonts w:cs="Arial"/>
          <w:noProof/>
        </w:rPr>
        <w:t xml:space="preserve"> ( Levant Sparrowhawk ) </w:t>
      </w:r>
      <w:r w:rsidRPr="008A2AD8">
        <w:rPr>
          <w:rFonts w:cs="Arial"/>
          <w:i/>
          <w:noProof/>
        </w:rPr>
        <w:t>Aquila heliaca</w:t>
      </w:r>
      <w:r>
        <w:rPr>
          <w:rFonts w:cs="Arial"/>
          <w:noProof/>
        </w:rPr>
        <w:t xml:space="preserve"> ( Imperial Eagle ) , </w:t>
      </w:r>
      <w:r w:rsidRPr="008A2AD8">
        <w:rPr>
          <w:rFonts w:cs="Arial"/>
          <w:i/>
          <w:noProof/>
        </w:rPr>
        <w:t>Aquila nipalensis</w:t>
      </w:r>
      <w:r>
        <w:rPr>
          <w:rFonts w:cs="Arial"/>
          <w:noProof/>
        </w:rPr>
        <w:t xml:space="preserve"> ( steppe eagle ) </w:t>
      </w:r>
      <w:r w:rsidRPr="008A2AD8">
        <w:rPr>
          <w:rFonts w:cs="Arial"/>
          <w:i/>
          <w:noProof/>
        </w:rPr>
        <w:t>Aquila clanga</w:t>
      </w:r>
      <w:r>
        <w:rPr>
          <w:rFonts w:cs="Arial"/>
          <w:noProof/>
        </w:rPr>
        <w:t xml:space="preserve"> ( greater spotted eagle ) </w:t>
      </w:r>
      <w:r w:rsidRPr="008A2AD8">
        <w:rPr>
          <w:rFonts w:cs="Arial"/>
          <w:i/>
          <w:noProof/>
        </w:rPr>
        <w:t>Circus macrourus</w:t>
      </w:r>
      <w:r>
        <w:rPr>
          <w:rFonts w:cs="Arial"/>
          <w:noProof/>
        </w:rPr>
        <w:t xml:space="preserve"> ( pallid harrier ) , </w:t>
      </w:r>
      <w:r w:rsidRPr="008A2AD8">
        <w:rPr>
          <w:rFonts w:cs="Arial"/>
          <w:i/>
          <w:noProof/>
        </w:rPr>
        <w:t>Falco cherrug</w:t>
      </w:r>
      <w:r>
        <w:rPr>
          <w:rFonts w:cs="Arial"/>
          <w:noProof/>
        </w:rPr>
        <w:t xml:space="preserve"> ( Saker )</w:t>
      </w:r>
    </w:p>
    <w:p w:rsidR="00511045" w:rsidRDefault="00511045" w:rsidP="00511045">
      <w:pPr>
        <w:autoSpaceDE w:val="0"/>
        <w:autoSpaceDN w:val="0"/>
        <w:adjustRightInd w:val="0"/>
        <w:spacing w:before="60" w:after="60" w:line="288" w:lineRule="auto"/>
        <w:ind w:firstLine="720"/>
        <w:jc w:val="both"/>
        <w:rPr>
          <w:rFonts w:cs="Arial"/>
        </w:rPr>
      </w:pPr>
      <w:r>
        <w:rPr>
          <w:rFonts w:cs="Arial"/>
        </w:rPr>
        <w:t>This site houses important protected bird species as follows: 29 species in Annex 1 of the Birds Directive, 30 other migratory species listed in the Annexes to the Convention on Migratory Species (Bonn), 7 globally endangered species.</w:t>
      </w:r>
    </w:p>
    <w:p w:rsidR="00511045" w:rsidRDefault="00511045" w:rsidP="00511045">
      <w:pPr>
        <w:spacing w:before="60" w:after="60" w:line="288" w:lineRule="auto"/>
        <w:jc w:val="both"/>
        <w:rPr>
          <w:rFonts w:cs="Arial"/>
        </w:rPr>
      </w:pPr>
      <w:r>
        <w:rPr>
          <w:rFonts w:cs="Arial"/>
        </w:rPr>
        <w:t xml:space="preserve">The site is important for nesting populations of the following species: </w:t>
      </w:r>
      <w:r w:rsidRPr="008A2AD8">
        <w:rPr>
          <w:rFonts w:cs="Arial"/>
          <w:i/>
        </w:rPr>
        <w:t>Burhinus</w:t>
      </w:r>
      <w:r w:rsidRPr="005503CD">
        <w:rPr>
          <w:rFonts w:cs="Arial"/>
          <w:i/>
        </w:rPr>
        <w:t xml:space="preserve"> oedicnemus</w:t>
      </w:r>
      <w:r w:rsidRPr="008A2AD8">
        <w:rPr>
          <w:rFonts w:cs="Arial"/>
          <w:i/>
        </w:rPr>
        <w:t>, Caprimulgus europaeus, Calandrella brachydactyla, Oenanţe pleschanka</w:t>
      </w:r>
      <w:r>
        <w:rPr>
          <w:rFonts w:cs="Arial"/>
        </w:rPr>
        <w:t xml:space="preserve"> . The site is also used for wintering of the following species: </w:t>
      </w:r>
      <w:r>
        <w:rPr>
          <w:rFonts w:cs="Arial"/>
          <w:i/>
        </w:rPr>
        <w:t>Branta ruficollis</w:t>
      </w:r>
      <w:r>
        <w:rPr>
          <w:rFonts w:cs="Arial"/>
        </w:rPr>
        <w:t xml:space="preserve"> (red-breasted goose) and </w:t>
      </w:r>
      <w:r w:rsidRPr="008A2AD8">
        <w:rPr>
          <w:rFonts w:cs="Arial"/>
          <w:i/>
        </w:rPr>
        <w:t>Circus cyaneus</w:t>
      </w:r>
      <w:r>
        <w:rPr>
          <w:rFonts w:cs="Arial"/>
        </w:rPr>
        <w:t>.</w:t>
      </w:r>
    </w:p>
    <w:p w:rsidR="00511045" w:rsidRDefault="00511045" w:rsidP="00511045">
      <w:pPr>
        <w:spacing w:before="60" w:after="60" w:line="288" w:lineRule="auto"/>
        <w:jc w:val="both"/>
        <w:rPr>
          <w:rFonts w:cs="Arial"/>
        </w:rPr>
      </w:pPr>
    </w:p>
    <w:p w:rsidR="00511045" w:rsidRDefault="00511045" w:rsidP="00511045">
      <w:pPr>
        <w:numPr>
          <w:ilvl w:val="0"/>
          <w:numId w:val="21"/>
        </w:numPr>
        <w:spacing w:before="60" w:after="60" w:line="288" w:lineRule="auto"/>
        <w:ind w:left="1080"/>
        <w:jc w:val="both"/>
        <w:rPr>
          <w:rFonts w:cs="Arial"/>
          <w:b/>
          <w:bCs/>
        </w:rPr>
      </w:pPr>
      <w:r>
        <w:rPr>
          <w:rFonts w:cs="Arial"/>
          <w:b/>
          <w:bCs/>
        </w:rPr>
        <w:lastRenderedPageBreak/>
        <w:t xml:space="preserve">ROSPA 0076 Măcin Niculiţel  </w:t>
      </w:r>
    </w:p>
    <w:p w:rsidR="00511045" w:rsidRDefault="00511045" w:rsidP="00511045">
      <w:pPr>
        <w:spacing w:before="60" w:after="60" w:line="288" w:lineRule="auto"/>
        <w:ind w:left="1080"/>
        <w:jc w:val="both"/>
        <w:rPr>
          <w:rFonts w:cs="Arial"/>
          <w:b/>
          <w:bCs/>
        </w:rPr>
      </w:pP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It is one of the most important places in the country in terms of the abundance of prey nesting : Imperial Eagle </w:t>
      </w:r>
      <w:r w:rsidRPr="008A2AD8">
        <w:rPr>
          <w:rFonts w:cs="Arial"/>
          <w:i/>
        </w:rPr>
        <w:t>(Aquila heliaca</w:t>
      </w:r>
      <w:r>
        <w:rPr>
          <w:rFonts w:cs="Arial"/>
        </w:rPr>
        <w:t>) , lesser spotted eagle (</w:t>
      </w:r>
      <w:r w:rsidRPr="008A2AD8">
        <w:rPr>
          <w:rFonts w:cs="Arial"/>
          <w:i/>
        </w:rPr>
        <w:t>Aquila pomarina</w:t>
      </w:r>
      <w:r>
        <w:rPr>
          <w:rFonts w:cs="Arial"/>
        </w:rPr>
        <w:t xml:space="preserve">) , little eagle ( </w:t>
      </w:r>
      <w:r w:rsidRPr="008A2AD8">
        <w:rPr>
          <w:rFonts w:cs="Arial"/>
          <w:i/>
        </w:rPr>
        <w:t>Hieraaetus pennatus</w:t>
      </w:r>
      <w:r>
        <w:rPr>
          <w:rFonts w:cs="Arial"/>
        </w:rPr>
        <w:t xml:space="preserve"> ) , short-toed eagle ( </w:t>
      </w:r>
      <w:r w:rsidRPr="008A2AD8">
        <w:rPr>
          <w:rFonts w:cs="Arial"/>
          <w:i/>
        </w:rPr>
        <w:t>Circaetus gallicus</w:t>
      </w:r>
      <w:r>
        <w:rPr>
          <w:rFonts w:cs="Arial"/>
        </w:rPr>
        <w:t xml:space="preserve"> ) , </w:t>
      </w:r>
      <w:r w:rsidRPr="008A2AD8">
        <w:rPr>
          <w:rFonts w:cs="Arial"/>
          <w:i/>
        </w:rPr>
        <w:t>Pernis apivorus</w:t>
      </w:r>
      <w:r>
        <w:rPr>
          <w:rFonts w:cs="Arial"/>
        </w:rPr>
        <w:t xml:space="preserve"> ( nest ) , large buzzard ( </w:t>
      </w:r>
      <w:r w:rsidRPr="008A2AD8">
        <w:rPr>
          <w:rFonts w:cs="Arial"/>
          <w:i/>
        </w:rPr>
        <w:t>Buteo rufinus</w:t>
      </w:r>
      <w:r>
        <w:rPr>
          <w:rFonts w:cs="Arial"/>
        </w:rPr>
        <w:t xml:space="preserve"> ) , Levant Sparrowhawk ( </w:t>
      </w:r>
      <w:r w:rsidRPr="008A2AD8">
        <w:rPr>
          <w:rFonts w:cs="Arial"/>
          <w:i/>
        </w:rPr>
        <w:t>Accipiter brevipes</w:t>
      </w:r>
      <w:r>
        <w:rPr>
          <w:rFonts w:cs="Arial"/>
        </w:rPr>
        <w:t xml:space="preserve"> ) , Saker Falcon (</w:t>
      </w:r>
      <w:r w:rsidRPr="008A2AD8">
        <w:rPr>
          <w:rFonts w:cs="Arial"/>
          <w:i/>
        </w:rPr>
        <w:t>Falco cherrug</w:t>
      </w:r>
      <w:r>
        <w:rPr>
          <w:rFonts w:cs="Arial"/>
        </w:rPr>
        <w:t xml:space="preserve"> ) and ravishing night owl ( </w:t>
      </w:r>
      <w:r w:rsidRPr="008A2AD8">
        <w:rPr>
          <w:rFonts w:cs="Arial"/>
          <w:i/>
        </w:rPr>
        <w:t>Bubo Bubo</w:t>
      </w:r>
      <w:r>
        <w:rPr>
          <w:rFonts w:cs="Arial"/>
        </w:rPr>
        <w:t xml:space="preserve"> ) , long-eared owl ( </w:t>
      </w:r>
      <w:r w:rsidRPr="008A2AD8">
        <w:rPr>
          <w:rFonts w:cs="Arial"/>
          <w:i/>
        </w:rPr>
        <w:t>Asio Otus</w:t>
      </w:r>
      <w:r>
        <w:rPr>
          <w:rFonts w:cs="Arial"/>
        </w:rPr>
        <w:t xml:space="preserve"> )</w:t>
      </w:r>
    </w:p>
    <w:p w:rsidR="00511045" w:rsidRDefault="00511045" w:rsidP="00511045">
      <w:pPr>
        <w:autoSpaceDE w:val="0"/>
        <w:autoSpaceDN w:val="0"/>
        <w:adjustRightInd w:val="0"/>
        <w:spacing w:before="60" w:after="60" w:line="288" w:lineRule="auto"/>
        <w:ind w:firstLine="709"/>
        <w:jc w:val="both"/>
        <w:rPr>
          <w:rFonts w:cs="Arial"/>
        </w:rPr>
      </w:pPr>
      <w:r w:rsidRPr="002E01ED">
        <w:rPr>
          <w:rFonts w:cs="Arial"/>
          <w:noProof/>
          <w:lang w:val="en-US" w:eastAsia="en-US"/>
        </w:rPr>
        <w:drawing>
          <wp:anchor distT="0" distB="0" distL="114300" distR="114300" simplePos="0" relativeHeight="251661312" behindDoc="1" locked="0" layoutInCell="1" allowOverlap="1" wp14:anchorId="0647EEF8" wp14:editId="10A7597E">
            <wp:simplePos x="0" y="0"/>
            <wp:positionH relativeFrom="column">
              <wp:posOffset>-76200</wp:posOffset>
            </wp:positionH>
            <wp:positionV relativeFrom="paragraph">
              <wp:posOffset>10160</wp:posOffset>
            </wp:positionV>
            <wp:extent cx="3779520" cy="2834640"/>
            <wp:effectExtent l="0" t="0" r="0" b="3810"/>
            <wp:wrapThrough wrapText="bothSides">
              <wp:wrapPolygon edited="0">
                <wp:start x="0" y="0"/>
                <wp:lineTo x="0" y="21484"/>
                <wp:lineTo x="21448" y="21484"/>
                <wp:lineTo x="21448" y="0"/>
                <wp:lineTo x="0" y="0"/>
              </wp:wrapPolygon>
            </wp:wrapThrough>
            <wp:docPr id="34" name="Imagine 34" descr="Maci Niculitel 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 Niculitel SP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79520" cy="283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rPr>
        <w:t>This site houses important protected bird species as follows: 56 species in Annex 1 of the Birds Directive, 123 other migratory species listed in the Annexes to the Convention on Migratory Species (Bonn), 10 globally endangered species</w:t>
      </w:r>
      <w:r>
        <w:rPr>
          <w:rFonts w:cs="Arial"/>
        </w:rPr>
        <w:t xml:space="preserve">.  </w:t>
      </w:r>
    </w:p>
    <w:p w:rsidR="00511045" w:rsidRDefault="00511045" w:rsidP="00511045">
      <w:pPr>
        <w:autoSpaceDE w:val="0"/>
        <w:autoSpaceDN w:val="0"/>
        <w:adjustRightInd w:val="0"/>
        <w:spacing w:before="60" w:after="60" w:line="288" w:lineRule="auto"/>
        <w:jc w:val="both"/>
        <w:rPr>
          <w:rFonts w:cs="Arial"/>
          <w:i/>
        </w:rPr>
      </w:pPr>
      <w:r>
        <w:rPr>
          <w:rFonts w:cs="Arial"/>
        </w:rPr>
        <w:t xml:space="preserve"> </w:t>
      </w:r>
      <w:r>
        <w:rPr>
          <w:rFonts w:cs="Arial"/>
        </w:rPr>
        <w:tab/>
        <w:t xml:space="preserve">The site is important for nesting populations of the following species : </w:t>
      </w:r>
    </w:p>
    <w:p w:rsidR="00511045" w:rsidRDefault="00511045" w:rsidP="00511045">
      <w:pPr>
        <w:autoSpaceDE w:val="0"/>
        <w:autoSpaceDN w:val="0"/>
        <w:adjustRightInd w:val="0"/>
        <w:spacing w:before="60" w:after="60" w:line="288" w:lineRule="auto"/>
        <w:jc w:val="both"/>
        <w:rPr>
          <w:rFonts w:cs="Arial"/>
          <w:i/>
        </w:rPr>
      </w:pPr>
      <w:r>
        <w:rPr>
          <w:rFonts w:cs="Arial"/>
          <w:i/>
        </w:rPr>
        <w:t xml:space="preserve">Falco cherrug, Coracias garrulus, Ciconia ciconia, Accipiter brevipes, Burhinus oedicnemus, Oenante pleschanka, Circaetus gallicus, Buteo rufinus, Emberiza hortulana, Caprimulgus europaeus, Hieraaetus pennatus, Lullula arborea. </w:t>
      </w:r>
    </w:p>
    <w:p w:rsidR="00511045" w:rsidRPr="008A2AD8" w:rsidRDefault="00511045" w:rsidP="00511045">
      <w:pPr>
        <w:autoSpaceDE w:val="0"/>
        <w:autoSpaceDN w:val="0"/>
        <w:adjustRightInd w:val="0"/>
        <w:spacing w:before="60" w:after="60" w:line="288" w:lineRule="auto"/>
        <w:jc w:val="both"/>
        <w:rPr>
          <w:rFonts w:cs="Arial"/>
          <w:i/>
        </w:rPr>
      </w:pPr>
      <w:r>
        <w:rPr>
          <w:rFonts w:cs="Arial"/>
        </w:rPr>
        <w:t xml:space="preserve">The site is important for species during migration : </w:t>
      </w:r>
      <w:r w:rsidRPr="00F32AB3">
        <w:rPr>
          <w:rFonts w:cs="Arial"/>
          <w:i/>
        </w:rPr>
        <w:t>Ciconia ciconia</w:t>
      </w:r>
      <w:r w:rsidRPr="008A2AD8">
        <w:rPr>
          <w:rFonts w:cs="Arial"/>
          <w:i/>
        </w:rPr>
        <w:t xml:space="preserve"> White stork, White Accipiter brevipes , Circaetus gallicus , Buteo rufinus , Hieraaetus pennatus , Lanius collurio , Gyps fulvus , Ficedula parva , Galerida crystal, Lullula arborea , Falco vespertinus , Neophron percnopterus Pandion haliaetus , Nycticorax nycticorax , Ciconia nigra , himantopus himantopus , Haliaeetus albicilla , Recurvirostra avosetta , Tringa Glareola , Pelecanus onocrotalus , Pelecanus crispus , Ardea purpurea , Plegadis falcinellus , Platalea leucorodia , Chlidonias hybridus , Pernis apivorus , Antus campestris , pomarina Aquila , Aquila heliaca , Aquila chrysaetos , Aquila clanga , Circus macrourus , Circus aeruginosus , Falco peregrinus , Milvus migrans , Phalacrocorax pygmaeus , Egretta white .</w:t>
      </w:r>
    </w:p>
    <w:p w:rsidR="00511045" w:rsidRDefault="00511045" w:rsidP="00511045">
      <w:pPr>
        <w:autoSpaceDE w:val="0"/>
        <w:autoSpaceDN w:val="0"/>
        <w:adjustRightInd w:val="0"/>
        <w:spacing w:before="60" w:after="60" w:line="288" w:lineRule="auto"/>
        <w:jc w:val="both"/>
        <w:rPr>
          <w:rFonts w:cs="Arial"/>
          <w:b/>
          <w:i/>
        </w:rPr>
      </w:pPr>
    </w:p>
    <w:p w:rsidR="00511045" w:rsidRDefault="002E01ED" w:rsidP="00511045">
      <w:pPr>
        <w:numPr>
          <w:ilvl w:val="0"/>
          <w:numId w:val="21"/>
        </w:numPr>
        <w:spacing w:before="60" w:after="60" w:line="288" w:lineRule="auto"/>
        <w:jc w:val="both"/>
        <w:rPr>
          <w:rFonts w:cs="Arial"/>
          <w:b/>
          <w:bCs/>
        </w:rPr>
      </w:pPr>
      <w:r>
        <w:rPr>
          <w:rFonts w:cs="Arial"/>
          <w:b/>
          <w:noProof/>
        </w:rPr>
        <w:pict w14:anchorId="7A3CAA1F">
          <v:shape id="_x0000_s1043" type="#_x0000_t75" style="position:absolute;left:0;text-align:left;margin-left:-6pt;margin-top:.75pt;width:245.65pt;height:165.4pt;z-index:-251657216" wrapcoords="-62 0 -62 21511 21600 21511 21600 0 -62 0" o:allowoverlap="f">
            <v:imagedata r:id="rId60" o:title=""/>
            <w10:wrap type="through"/>
          </v:shape>
          <o:OLEObject Type="Embed" ProgID="PowerPoint.Show.8" ShapeID="_x0000_s1043" DrawAspect="Content" ObjectID="_1493446795" r:id="rId61"/>
        </w:pict>
      </w:r>
      <w:r w:rsidR="00511045">
        <w:rPr>
          <w:rFonts w:cs="Arial"/>
          <w:b/>
          <w:bCs/>
        </w:rPr>
        <w:t>ROSPA 0091 Babadag Forest</w:t>
      </w:r>
    </w:p>
    <w:p w:rsidR="00511045" w:rsidRDefault="00511045" w:rsidP="00511045">
      <w:pPr>
        <w:autoSpaceDE w:val="0"/>
        <w:autoSpaceDN w:val="0"/>
        <w:adjustRightInd w:val="0"/>
        <w:spacing w:before="60" w:after="60" w:line="288" w:lineRule="auto"/>
        <w:ind w:firstLine="709"/>
        <w:jc w:val="both"/>
        <w:rPr>
          <w:rFonts w:cs="Arial"/>
        </w:rPr>
      </w:pPr>
      <w:r>
        <w:rPr>
          <w:rFonts w:cs="Arial"/>
        </w:rPr>
        <w:t>It is the largest forest in Dobrogea role during migration and wintering particularly for thousands of raptors and other species stop here for feeding.</w:t>
      </w: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Species of this area : </w:t>
      </w:r>
      <w:r w:rsidRPr="0088539B">
        <w:rPr>
          <w:rFonts w:cs="Arial"/>
          <w:i/>
        </w:rPr>
        <w:t>Caprimulgus europaeus</w:t>
      </w:r>
      <w:r>
        <w:rPr>
          <w:rFonts w:cs="Arial"/>
        </w:rPr>
        <w:t xml:space="preserve"> ( nightjar ) </w:t>
      </w:r>
      <w:r w:rsidRPr="0088539B">
        <w:rPr>
          <w:rFonts w:cs="Arial"/>
          <w:i/>
        </w:rPr>
        <w:t>Coracias garrulous</w:t>
      </w:r>
      <w:r>
        <w:rPr>
          <w:rFonts w:cs="Arial"/>
        </w:rPr>
        <w:t xml:space="preserve">  (Roller </w:t>
      </w:r>
      <w:r w:rsidRPr="0088539B">
        <w:rPr>
          <w:rFonts w:cs="Arial"/>
          <w:i/>
        </w:rPr>
        <w:t>) hortulana Emberiza</w:t>
      </w:r>
      <w:r>
        <w:rPr>
          <w:rFonts w:cs="Arial"/>
        </w:rPr>
        <w:t xml:space="preserve"> ( bunting garden) , woodpecker ( </w:t>
      </w:r>
      <w:r w:rsidRPr="0088539B">
        <w:rPr>
          <w:rFonts w:cs="Arial"/>
          <w:i/>
        </w:rPr>
        <w:t>Dendrocopos medius</w:t>
      </w:r>
      <w:r>
        <w:rPr>
          <w:rFonts w:cs="Arial"/>
        </w:rPr>
        <w:t xml:space="preserve">) , black </w:t>
      </w:r>
      <w:r>
        <w:rPr>
          <w:rFonts w:cs="Arial"/>
        </w:rPr>
        <w:lastRenderedPageBreak/>
        <w:t xml:space="preserve">woodpecker ( </w:t>
      </w:r>
      <w:r w:rsidRPr="0088539B">
        <w:rPr>
          <w:rFonts w:cs="Arial"/>
          <w:i/>
        </w:rPr>
        <w:t>Dryocopus martius</w:t>
      </w:r>
      <w:r>
        <w:rPr>
          <w:rFonts w:cs="Arial"/>
        </w:rPr>
        <w:t xml:space="preserve"> )</w:t>
      </w:r>
    </w:p>
    <w:p w:rsidR="00511045" w:rsidRDefault="00511045" w:rsidP="00511045">
      <w:pPr>
        <w:autoSpaceDE w:val="0"/>
        <w:autoSpaceDN w:val="0"/>
        <w:adjustRightInd w:val="0"/>
        <w:spacing w:before="60" w:after="60" w:line="288" w:lineRule="auto"/>
        <w:ind w:firstLine="709"/>
        <w:jc w:val="both"/>
        <w:rPr>
          <w:rFonts w:cs="Arial"/>
        </w:rPr>
      </w:pPr>
      <w:r>
        <w:rPr>
          <w:rFonts w:cs="Arial"/>
        </w:rPr>
        <w:t>This site houses important protected bird species as follows: 38 species in Annex 1 of the Birds Directive, 61 other migratory species listed in the Annexes to the Convention on Migratory Species (Bonn) and 6 endangered species globally.</w:t>
      </w:r>
    </w:p>
    <w:p w:rsidR="00511045" w:rsidRDefault="00511045" w:rsidP="00511045">
      <w:pPr>
        <w:autoSpaceDE w:val="0"/>
        <w:autoSpaceDN w:val="0"/>
        <w:adjustRightInd w:val="0"/>
        <w:spacing w:before="60" w:after="60" w:line="288" w:lineRule="auto"/>
        <w:jc w:val="both"/>
        <w:rPr>
          <w:rFonts w:cs="Arial"/>
        </w:rPr>
      </w:pPr>
      <w:r>
        <w:rPr>
          <w:rFonts w:cs="Arial"/>
        </w:rPr>
        <w:t xml:space="preserve">The site is important for nesting populations of the following species : </w:t>
      </w:r>
      <w:r w:rsidRPr="0088539B">
        <w:rPr>
          <w:rFonts w:cs="Arial"/>
          <w:i/>
        </w:rPr>
        <w:t>Falco vespertinus, Falco cherrug, Coracias garrulus, Hieraaetus pennatus, Accipiter brevipes, Circaetus gallicus, Circus pygargus, Oenanţe pleschanka, Picus canus, Milvus migrans, Dendrocopos medius.</w:t>
      </w:r>
    </w:p>
    <w:p w:rsidR="00511045" w:rsidRDefault="00511045" w:rsidP="00511045">
      <w:pPr>
        <w:autoSpaceDE w:val="0"/>
        <w:autoSpaceDN w:val="0"/>
        <w:adjustRightInd w:val="0"/>
        <w:spacing w:before="60" w:after="60" w:line="288" w:lineRule="auto"/>
        <w:jc w:val="both"/>
        <w:rPr>
          <w:rFonts w:cs="Arial"/>
        </w:rPr>
      </w:pPr>
      <w:r>
        <w:rPr>
          <w:rFonts w:cs="Arial"/>
        </w:rPr>
        <w:t>The site is important during migration period for the following species:</w:t>
      </w:r>
      <w:r>
        <w:rPr>
          <w:rFonts w:cs="Arial"/>
          <w:i/>
        </w:rPr>
        <w:t xml:space="preserve"> Haliaeetus albicilla, Ficedula parva, Ciconia ciconia.</w:t>
      </w:r>
    </w:p>
    <w:p w:rsidR="00511045" w:rsidRPr="0088539B" w:rsidRDefault="00511045" w:rsidP="00511045">
      <w:pPr>
        <w:spacing w:before="60" w:after="60" w:line="288" w:lineRule="auto"/>
        <w:ind w:firstLine="360"/>
        <w:jc w:val="both"/>
        <w:rPr>
          <w:rFonts w:cs="Arial"/>
          <w:i/>
        </w:rPr>
      </w:pPr>
      <w:r>
        <w:rPr>
          <w:rFonts w:cs="Arial"/>
        </w:rPr>
        <w:t xml:space="preserve">The site is important for wintering for the following species: </w:t>
      </w:r>
      <w:r w:rsidRPr="0088539B">
        <w:rPr>
          <w:rFonts w:cs="Arial"/>
          <w:i/>
        </w:rPr>
        <w:t>Circus macrourus and Circus cyaneus.</w:t>
      </w:r>
    </w:p>
    <w:p w:rsidR="00511045" w:rsidRDefault="00511045" w:rsidP="00511045">
      <w:pPr>
        <w:spacing w:before="60" w:after="60" w:line="288" w:lineRule="auto"/>
        <w:ind w:firstLine="360"/>
        <w:jc w:val="both"/>
        <w:rPr>
          <w:rFonts w:cs="Arial"/>
          <w:b/>
          <w:bCs/>
        </w:rPr>
      </w:pPr>
    </w:p>
    <w:p w:rsidR="00511045" w:rsidRDefault="00511045" w:rsidP="00511045">
      <w:pPr>
        <w:numPr>
          <w:ilvl w:val="0"/>
          <w:numId w:val="21"/>
        </w:numPr>
        <w:spacing w:before="60" w:after="60" w:line="288" w:lineRule="auto"/>
        <w:ind w:left="1080"/>
        <w:jc w:val="both"/>
        <w:rPr>
          <w:rFonts w:cs="Arial"/>
          <w:b/>
          <w:bCs/>
        </w:rPr>
      </w:pPr>
      <w:r>
        <w:rPr>
          <w:rFonts w:cs="Arial"/>
          <w:b/>
          <w:bCs/>
        </w:rPr>
        <w:t>ROSPA 0100 Stepa Casimcea</w:t>
      </w:r>
    </w:p>
    <w:p w:rsidR="00511045" w:rsidRDefault="00511045" w:rsidP="00511045">
      <w:pPr>
        <w:autoSpaceDE w:val="0"/>
        <w:autoSpaceDN w:val="0"/>
        <w:adjustRightInd w:val="0"/>
        <w:spacing w:before="60" w:after="60" w:line="288" w:lineRule="auto"/>
        <w:ind w:firstLine="709"/>
        <w:jc w:val="both"/>
        <w:rPr>
          <w:rFonts w:cs="Arial"/>
          <w:bCs/>
        </w:rPr>
      </w:pPr>
      <w:r>
        <w:rPr>
          <w:rFonts w:cs="Arial"/>
          <w:bCs/>
        </w:rPr>
        <w:t xml:space="preserve">It is a site which appears a significant number of globally threatened species of birds and a feeding, migration and wintering ground for a large number ( thousands) of geese (goose neck red) </w:t>
      </w:r>
      <w:r>
        <w:rPr>
          <w:rFonts w:cs="Arial"/>
          <w:bCs/>
          <w:i/>
          <w:iCs/>
        </w:rPr>
        <w:t>Branta ruficollis</w:t>
      </w:r>
      <w:r>
        <w:rPr>
          <w:rFonts w:cs="Arial"/>
          <w:bCs/>
        </w:rPr>
        <w:t xml:space="preserve"> (red-breasted goose) and raptors ( eagles, short-toed eagle, hawk, Saker ).</w:t>
      </w:r>
    </w:p>
    <w:p w:rsidR="00511045" w:rsidRDefault="00511045" w:rsidP="00511045">
      <w:pPr>
        <w:autoSpaceDE w:val="0"/>
        <w:autoSpaceDN w:val="0"/>
        <w:adjustRightInd w:val="0"/>
        <w:spacing w:before="60" w:after="60" w:line="288" w:lineRule="auto"/>
        <w:ind w:firstLine="709"/>
        <w:jc w:val="both"/>
        <w:rPr>
          <w:rFonts w:cs="Arial"/>
          <w:bCs/>
        </w:rPr>
      </w:pPr>
      <w:r>
        <w:rPr>
          <w:rFonts w:cs="Arial"/>
          <w:bCs/>
        </w:rPr>
        <w:t>This site houses important protected bird species as follows: 28 species in Annex 1 of the Birds Directive, 37 other migratory species listed in the Annexes to the Convention on Migratory Species (Bonn ) and 5 globally endangered species .</w:t>
      </w:r>
    </w:p>
    <w:p w:rsidR="00511045" w:rsidRDefault="00511045" w:rsidP="00511045">
      <w:pPr>
        <w:autoSpaceDE w:val="0"/>
        <w:autoSpaceDN w:val="0"/>
        <w:adjustRightInd w:val="0"/>
        <w:spacing w:before="60" w:after="60" w:line="288" w:lineRule="auto"/>
        <w:ind w:firstLine="720"/>
        <w:jc w:val="both"/>
        <w:rPr>
          <w:rFonts w:cs="Arial"/>
        </w:rPr>
      </w:pPr>
      <w:r>
        <w:rPr>
          <w:rFonts w:cs="Arial"/>
        </w:rPr>
        <w:t xml:space="preserve">The site is important for nesting populations of the following species : </w:t>
      </w:r>
      <w:r>
        <w:rPr>
          <w:rFonts w:cs="Arial"/>
          <w:i/>
        </w:rPr>
        <w:t>Coracias garrulus , Falco cherrug , Falco vespertinus , Aquila heliaca , Antus campestris , Accipiter brevipes , Calandrella brachydactyla , Buteo rufinus , Milvus migrans , Pernis apivorus , Lanius collurio , Lullula arborea , Oenanţe pleschanka , Lanius minor, Melanocorypha calender , Burhinus</w:t>
      </w:r>
      <w:r w:rsidRPr="00C06891">
        <w:rPr>
          <w:rFonts w:cs="Arial"/>
          <w:i/>
        </w:rPr>
        <w:t xml:space="preserve"> </w:t>
      </w:r>
      <w:r>
        <w:rPr>
          <w:rFonts w:cs="Arial"/>
          <w:i/>
        </w:rPr>
        <w:t>oedicnemus, Circaetus gallicus , Galerida Christ, pomarina Aquila , Dendrocopos syriacus , Emberiza hortulana .</w:t>
      </w:r>
    </w:p>
    <w:p w:rsidR="00511045" w:rsidRDefault="00511045" w:rsidP="00511045">
      <w:pPr>
        <w:spacing w:before="60" w:after="60" w:line="288" w:lineRule="auto"/>
        <w:ind w:firstLine="720"/>
        <w:jc w:val="both"/>
        <w:rPr>
          <w:rFonts w:cs="Arial"/>
          <w:i/>
        </w:rPr>
      </w:pPr>
      <w:r>
        <w:rPr>
          <w:rFonts w:cs="Arial"/>
        </w:rPr>
        <w:t xml:space="preserve">The site is important for species during migration : </w:t>
      </w:r>
      <w:r>
        <w:rPr>
          <w:rFonts w:cs="Arial"/>
          <w:i/>
        </w:rPr>
        <w:t>Falco vespertinus , Accipiter brevipes , Hieraaetus pennatus , Falco peregrinus , Circus cyaneus , Aquila pomarina , Ficedula albicollis , Circus macrourus , Circus pygargus .</w:t>
      </w:r>
    </w:p>
    <w:p w:rsidR="00511045" w:rsidRDefault="00511045" w:rsidP="00511045">
      <w:pPr>
        <w:spacing w:before="60" w:after="60" w:line="288" w:lineRule="auto"/>
        <w:ind w:firstLine="720"/>
        <w:jc w:val="both"/>
        <w:rPr>
          <w:rFonts w:cs="Arial"/>
          <w:b/>
          <w:bCs/>
        </w:rPr>
      </w:pPr>
    </w:p>
    <w:p w:rsidR="00511045" w:rsidRDefault="00511045" w:rsidP="00511045">
      <w:pPr>
        <w:numPr>
          <w:ilvl w:val="0"/>
          <w:numId w:val="21"/>
        </w:numPr>
        <w:spacing w:before="60" w:after="60" w:line="288" w:lineRule="auto"/>
        <w:ind w:left="1080"/>
        <w:jc w:val="both"/>
        <w:rPr>
          <w:rFonts w:cs="Arial"/>
          <w:b/>
          <w:bCs/>
        </w:rPr>
      </w:pPr>
      <w:r>
        <w:rPr>
          <w:rFonts w:cs="Arial"/>
          <w:b/>
          <w:bCs/>
        </w:rPr>
        <w:t>ROSPA 0032 Denis Tepe</w:t>
      </w:r>
    </w:p>
    <w:p w:rsidR="00511045" w:rsidRDefault="00511045" w:rsidP="00511045">
      <w:pPr>
        <w:spacing w:before="60" w:after="60" w:line="288" w:lineRule="auto"/>
        <w:ind w:firstLine="709"/>
        <w:jc w:val="both"/>
        <w:rPr>
          <w:rFonts w:cs="Arial"/>
          <w:i/>
        </w:rPr>
      </w:pPr>
      <w:r>
        <w:rPr>
          <w:rFonts w:cs="Arial"/>
        </w:rPr>
        <w:t xml:space="preserve">The area nesting or migration can be found in several species of raptors : </w:t>
      </w:r>
      <w:r>
        <w:rPr>
          <w:rFonts w:cs="Arial"/>
          <w:i/>
        </w:rPr>
        <w:t>Levant Sparrowhawk ( Accipiter brevipes ) , Imperial Eagle (Aquila heliaca ) , eagle owl ( Bubo Bubo ) , lesser spotted eagle (Aquila pomarina) , short-toed eagle ( Circaetus gallicus ) , saker falcon (Falco cherrug ) sur hawk , harrier , white ( Circus pygargus , cyaneus , macrourus ).</w:t>
      </w:r>
    </w:p>
    <w:p w:rsidR="00511045" w:rsidRDefault="00511045" w:rsidP="00511045">
      <w:pPr>
        <w:autoSpaceDE w:val="0"/>
        <w:autoSpaceDN w:val="0"/>
        <w:adjustRightInd w:val="0"/>
        <w:spacing w:before="60" w:after="60" w:line="288" w:lineRule="auto"/>
        <w:ind w:firstLine="709"/>
        <w:jc w:val="both"/>
        <w:rPr>
          <w:rFonts w:cs="Arial"/>
        </w:rPr>
      </w:pPr>
      <w:r>
        <w:rPr>
          <w:rFonts w:cs="Arial"/>
        </w:rPr>
        <w:t>This site houses important protected bird species as follows: 25 species in Annex 1 of the Birds Directive, 33 other migratory species listed in the Annexes to the Convention on Migratory Species (Bonn ) and 6 endangered species globally.</w:t>
      </w:r>
    </w:p>
    <w:p w:rsidR="00511045" w:rsidRDefault="00511045" w:rsidP="002E01ED">
      <w:pPr>
        <w:autoSpaceDE w:val="0"/>
        <w:autoSpaceDN w:val="0"/>
        <w:adjustRightInd w:val="0"/>
        <w:spacing w:before="60" w:after="60" w:line="288" w:lineRule="auto"/>
        <w:ind w:firstLine="709"/>
        <w:jc w:val="both"/>
        <w:rPr>
          <w:rFonts w:cs="Arial"/>
          <w:i/>
        </w:rPr>
      </w:pPr>
      <w:r>
        <w:rPr>
          <w:rFonts w:cs="Arial"/>
        </w:rPr>
        <w:t xml:space="preserve">The site is important for nesting populations of the following species: </w:t>
      </w:r>
      <w:r>
        <w:rPr>
          <w:rFonts w:cs="Arial"/>
          <w:i/>
        </w:rPr>
        <w:t>Falco cherrug , Buteo ruffinus , Calandrella brachydactyla , Melanocorypha calender , Lullula arborea , curlew Burhinus</w:t>
      </w:r>
      <w:r w:rsidRPr="00E70C26">
        <w:rPr>
          <w:rFonts w:cs="Arial"/>
          <w:i/>
        </w:rPr>
        <w:t xml:space="preserve"> </w:t>
      </w:r>
      <w:r>
        <w:rPr>
          <w:rFonts w:cs="Arial"/>
          <w:i/>
        </w:rPr>
        <w:t>oedicnemus .</w:t>
      </w:r>
    </w:p>
    <w:p w:rsidR="00511045" w:rsidRDefault="00511045" w:rsidP="00511045">
      <w:pPr>
        <w:autoSpaceDE w:val="0"/>
        <w:autoSpaceDN w:val="0"/>
        <w:adjustRightInd w:val="0"/>
        <w:spacing w:before="60" w:after="60" w:line="288" w:lineRule="auto"/>
        <w:ind w:firstLine="709"/>
        <w:jc w:val="both"/>
        <w:rPr>
          <w:rFonts w:cs="Arial"/>
          <w:i/>
        </w:rPr>
      </w:pPr>
    </w:p>
    <w:p w:rsidR="00511045" w:rsidRDefault="00511045" w:rsidP="00511045">
      <w:pPr>
        <w:numPr>
          <w:ilvl w:val="0"/>
          <w:numId w:val="21"/>
        </w:numPr>
        <w:spacing w:before="60" w:after="60" w:line="288" w:lineRule="auto"/>
        <w:ind w:left="990" w:hanging="270"/>
        <w:jc w:val="both"/>
        <w:rPr>
          <w:rFonts w:cs="Arial"/>
          <w:b/>
          <w:bCs/>
        </w:rPr>
      </w:pPr>
      <w:r>
        <w:rPr>
          <w:rFonts w:cs="Arial"/>
          <w:b/>
          <w:bCs/>
        </w:rPr>
        <w:lastRenderedPageBreak/>
        <w:t xml:space="preserve">ROSPA 0052 Lacul Beibugeac </w:t>
      </w:r>
      <w:r>
        <w:rPr>
          <w:rFonts w:cs="Arial"/>
          <w:b/>
          <w:bCs/>
        </w:rPr>
        <w:tab/>
      </w:r>
    </w:p>
    <w:p w:rsidR="00511045" w:rsidRDefault="002E01ED" w:rsidP="00511045">
      <w:pPr>
        <w:spacing w:before="60" w:after="60" w:line="288" w:lineRule="auto"/>
        <w:jc w:val="both"/>
        <w:rPr>
          <w:rFonts w:cs="Arial"/>
        </w:rPr>
      </w:pPr>
      <w:r>
        <w:rPr>
          <w:rFonts w:cs="Arial"/>
          <w:noProof/>
        </w:rPr>
        <w:pict w14:anchorId="045757BC">
          <v:shape id="_x0000_s1044" type="#_x0000_t75" style="position:absolute;left:0;text-align:left;margin-left:0;margin-top:13.6pt;width:259.05pt;height:177pt;z-index:251660288" wrapcoords="-67 0 -67 21511 21600 21511 21600 0 -67 0">
            <v:imagedata r:id="rId62" o:title=""/>
            <w10:wrap type="tight"/>
          </v:shape>
          <o:OLEObject Type="Embed" ProgID="PowerPoint.Show.8" ShapeID="_x0000_s1044" DrawAspect="Content" ObjectID="_1493446796" r:id="rId63"/>
        </w:pict>
      </w:r>
      <w:r w:rsidR="00511045">
        <w:rPr>
          <w:rFonts w:cs="Arial"/>
        </w:rPr>
        <w:t xml:space="preserve"> Declared a nature reserve areas through HCL No.3 / 2004 , the lake has a seismic origin and appeared in the 1940 earthquake is sitting on sandy loess layers arranged above layers dating from the Triassic limestone . The lake is fed mainly by rainwater that drain the surrounding hills, from infiltration at higher elevations of the Danube waters of Lake Razim, in the immediate vicinity and it's not ruled out the possibility of supply from springs.</w:t>
      </w: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As for Bird Lake is an important resting and feeding place for thousands of geese winter : red breasted goose ( </w:t>
      </w:r>
      <w:r w:rsidRPr="0088539B">
        <w:rPr>
          <w:rFonts w:cs="Arial"/>
          <w:i/>
        </w:rPr>
        <w:t>Branta ruficollis</w:t>
      </w:r>
      <w:r>
        <w:rPr>
          <w:rFonts w:cs="Arial"/>
        </w:rPr>
        <w:t xml:space="preserve"> ) , white-fronted goose (</w:t>
      </w:r>
      <w:r w:rsidRPr="0088539B">
        <w:rPr>
          <w:rFonts w:cs="Arial"/>
          <w:i/>
        </w:rPr>
        <w:t>Anser albifrons</w:t>
      </w:r>
      <w:r>
        <w:rPr>
          <w:rFonts w:cs="Arial"/>
        </w:rPr>
        <w:t xml:space="preserve"> ) . The lake attracts thousands every season feeding of ducks among which the White-headed Duck (</w:t>
      </w:r>
      <w:r w:rsidRPr="0088539B">
        <w:rPr>
          <w:rFonts w:cs="Arial"/>
          <w:i/>
        </w:rPr>
        <w:t>Oxyura leucocephala</w:t>
      </w:r>
      <w:r>
        <w:rPr>
          <w:rFonts w:cs="Arial"/>
        </w:rPr>
        <w:t>) , red duck Ferruginous duck</w:t>
      </w:r>
      <w:r w:rsidRPr="00E70C26">
        <w:rPr>
          <w:rFonts w:cs="Arial"/>
          <w:i/>
          <w:iCs/>
        </w:rPr>
        <w:t xml:space="preserve"> </w:t>
      </w:r>
      <w:r>
        <w:rPr>
          <w:rFonts w:cs="Arial"/>
          <w:i/>
          <w:iCs/>
        </w:rPr>
        <w:t>Aythya nyroca</w:t>
      </w:r>
      <w:r>
        <w:rPr>
          <w:rFonts w:cs="Arial"/>
        </w:rPr>
        <w:t xml:space="preserve"> . Islands in the middle of the lake are a resting place for thousands of gulls, pelicans and hundreds of dozens of Dalmatian Pelican.</w:t>
      </w:r>
    </w:p>
    <w:p w:rsidR="00511045" w:rsidRDefault="00511045" w:rsidP="00511045">
      <w:pPr>
        <w:autoSpaceDE w:val="0"/>
        <w:autoSpaceDN w:val="0"/>
        <w:adjustRightInd w:val="0"/>
        <w:spacing w:before="60" w:after="60" w:line="288" w:lineRule="auto"/>
        <w:ind w:firstLine="709"/>
        <w:jc w:val="both"/>
        <w:rPr>
          <w:rFonts w:cs="Arial"/>
        </w:rPr>
      </w:pPr>
      <w:r>
        <w:rPr>
          <w:rFonts w:cs="Arial"/>
        </w:rPr>
        <w:t>This site houses important protected bird species as follows: 39 species in Annex 1 of the Birds Directive, 56 other migratory species listed in the Annexes to the Convention on Migratory Species (Bonn) and 7 globally endangered species.</w:t>
      </w:r>
    </w:p>
    <w:p w:rsidR="00511045" w:rsidRDefault="00511045" w:rsidP="00511045">
      <w:pPr>
        <w:autoSpaceDE w:val="0"/>
        <w:autoSpaceDN w:val="0"/>
        <w:adjustRightInd w:val="0"/>
        <w:spacing w:before="60" w:after="60" w:line="288" w:lineRule="auto"/>
        <w:ind w:firstLine="709"/>
        <w:jc w:val="both"/>
        <w:rPr>
          <w:rFonts w:cs="Arial"/>
        </w:rPr>
      </w:pPr>
      <w:r>
        <w:rPr>
          <w:rFonts w:cs="Arial"/>
        </w:rPr>
        <w:t>The site is important for nesting populations of the following species</w:t>
      </w:r>
      <w:r w:rsidRPr="0088539B">
        <w:rPr>
          <w:rFonts w:cs="Arial"/>
          <w:i/>
        </w:rPr>
        <w:t>: Glareola pratincola, Falco vespertinus, Recurvirostra avosetta, Himantopus himantopus</w:t>
      </w:r>
      <w:r>
        <w:rPr>
          <w:rFonts w:cs="Arial"/>
        </w:rPr>
        <w:t xml:space="preserve"> .</w:t>
      </w:r>
    </w:p>
    <w:p w:rsidR="00511045" w:rsidRDefault="00511045" w:rsidP="00511045">
      <w:pPr>
        <w:autoSpaceDE w:val="0"/>
        <w:autoSpaceDN w:val="0"/>
        <w:adjustRightInd w:val="0"/>
        <w:spacing w:before="60" w:after="60" w:line="288" w:lineRule="auto"/>
        <w:ind w:firstLine="720"/>
        <w:jc w:val="both"/>
        <w:rPr>
          <w:rFonts w:cs="Arial"/>
        </w:rPr>
      </w:pPr>
      <w:r>
        <w:rPr>
          <w:rFonts w:cs="Arial"/>
        </w:rPr>
        <w:t xml:space="preserve">The site is important for species during migration : </w:t>
      </w:r>
      <w:r>
        <w:rPr>
          <w:rFonts w:cs="Arial"/>
          <w:i/>
        </w:rPr>
        <w:t>red-breasted goose , duck Ayţya , Pelecanus crispus , Pelecanus onocrotalus , Platalea leucorodia , Pelecanus onocrotalus , Plegadis falcinellus , Glareola pratincola , Ardeola ralloides , Larus melanocephalus , Recurvirostra avosetta , Nycticorax nycticorax , Himantopus himantopus , Sylvia nisoria , Tringa Glareola , Sterna hirundo , Sterna albifrons</w:t>
      </w:r>
      <w:r>
        <w:rPr>
          <w:rFonts w:cs="Arial"/>
        </w:rPr>
        <w:t xml:space="preserve"> .</w:t>
      </w:r>
    </w:p>
    <w:p w:rsidR="00511045" w:rsidRDefault="00511045" w:rsidP="00511045">
      <w:pPr>
        <w:autoSpaceDE w:val="0"/>
        <w:autoSpaceDN w:val="0"/>
        <w:adjustRightInd w:val="0"/>
        <w:spacing w:before="60" w:after="60" w:line="288" w:lineRule="auto"/>
        <w:ind w:firstLine="709"/>
        <w:jc w:val="both"/>
        <w:rPr>
          <w:rFonts w:cs="Arial"/>
        </w:rPr>
      </w:pPr>
      <w:r>
        <w:rPr>
          <w:rFonts w:cs="Arial"/>
        </w:rPr>
        <w:t>The site is important for wintering for the following species: Phalacrocorax pygmaeus, red-breasted goose, Anser albifrons , Cygnus Cygnus .</w:t>
      </w:r>
    </w:p>
    <w:p w:rsidR="00511045" w:rsidRDefault="00511045" w:rsidP="00511045">
      <w:pPr>
        <w:spacing w:before="60" w:after="60" w:line="288" w:lineRule="auto"/>
        <w:ind w:firstLine="709"/>
        <w:jc w:val="both"/>
        <w:rPr>
          <w:rFonts w:cs="Arial"/>
        </w:rPr>
      </w:pPr>
      <w:r>
        <w:rPr>
          <w:rFonts w:cs="Arial"/>
        </w:rPr>
        <w:t>During migration the site hosts more than 20,000 copies of waders, possibly as a Ramsar canditat .</w:t>
      </w:r>
    </w:p>
    <w:p w:rsidR="00511045" w:rsidRDefault="00511045" w:rsidP="00511045">
      <w:pPr>
        <w:spacing w:before="60" w:after="60" w:line="288" w:lineRule="auto"/>
        <w:ind w:firstLine="709"/>
        <w:jc w:val="both"/>
        <w:rPr>
          <w:rFonts w:cs="Arial"/>
          <w:b/>
        </w:rPr>
      </w:pPr>
    </w:p>
    <w:p w:rsidR="00511045" w:rsidRDefault="00511045" w:rsidP="00511045">
      <w:pPr>
        <w:numPr>
          <w:ilvl w:val="0"/>
          <w:numId w:val="21"/>
        </w:numPr>
        <w:spacing w:before="60" w:after="60" w:line="288" w:lineRule="auto"/>
        <w:ind w:left="990" w:hanging="270"/>
        <w:jc w:val="both"/>
        <w:rPr>
          <w:rFonts w:cs="Arial"/>
          <w:b/>
        </w:rPr>
      </w:pPr>
      <w:r>
        <w:rPr>
          <w:rFonts w:cs="Arial"/>
          <w:b/>
        </w:rPr>
        <w:t>ROSPA 0040 Dunărea Veche Braţul Măcin</w:t>
      </w:r>
    </w:p>
    <w:p w:rsidR="00511045" w:rsidRDefault="00511045" w:rsidP="00511045">
      <w:pPr>
        <w:spacing w:before="60" w:after="60" w:line="288" w:lineRule="auto"/>
        <w:ind w:firstLine="709"/>
        <w:jc w:val="both"/>
        <w:rPr>
          <w:rFonts w:cs="Arial"/>
        </w:rPr>
      </w:pPr>
      <w:r>
        <w:rPr>
          <w:rFonts w:cs="Arial"/>
        </w:rPr>
        <w:t>This site houses important protected bird species as follows: 63 species in Annex 1 of the Birds Directive, 55 other migratory species listed in the Annexes to the Convention on Migratory Species (Bonn) and 7 globally endangered species .</w:t>
      </w:r>
    </w:p>
    <w:p w:rsidR="00511045" w:rsidRDefault="00511045" w:rsidP="00511045">
      <w:pPr>
        <w:spacing w:before="60" w:after="60" w:line="288" w:lineRule="auto"/>
        <w:ind w:firstLine="709"/>
        <w:jc w:val="both"/>
        <w:rPr>
          <w:rFonts w:cs="Arial"/>
          <w:i/>
        </w:rPr>
      </w:pPr>
      <w:r>
        <w:rPr>
          <w:rFonts w:cs="Arial"/>
        </w:rPr>
        <w:t xml:space="preserve"> The site is important for nesting populations of the following species : </w:t>
      </w:r>
      <w:r>
        <w:rPr>
          <w:rFonts w:cs="Arial"/>
          <w:i/>
        </w:rPr>
        <w:t>Coracias garrulus Falco vespertinus Ferruginous duck Accipiter brevipes Anthus campestris Lanius collurio Lanius minor Calandrella brachydactyla .</w:t>
      </w:r>
    </w:p>
    <w:p w:rsidR="00511045" w:rsidRDefault="00511045" w:rsidP="00511045">
      <w:pPr>
        <w:spacing w:before="60" w:after="60" w:line="288" w:lineRule="auto"/>
        <w:ind w:firstLine="709"/>
        <w:jc w:val="both"/>
        <w:rPr>
          <w:rFonts w:cs="Arial"/>
          <w:i/>
        </w:rPr>
      </w:pPr>
      <w:r>
        <w:rPr>
          <w:rFonts w:cs="Arial"/>
        </w:rPr>
        <w:lastRenderedPageBreak/>
        <w:t xml:space="preserve">The site is important for species during migration : </w:t>
      </w:r>
      <w:r>
        <w:rPr>
          <w:rFonts w:cs="Arial"/>
          <w:i/>
        </w:rPr>
        <w:t>Pelecanus crispus Pelecanus onocrotalus Accipiter brevipes Phalacrocorax pygmaeus red-breasted goose . The site is important for wintering for the following species: Phalacrocorax pygmaeus Anser albifrons.</w:t>
      </w:r>
    </w:p>
    <w:p w:rsidR="00511045" w:rsidRDefault="00511045" w:rsidP="00511045">
      <w:pPr>
        <w:autoSpaceDE w:val="0"/>
        <w:autoSpaceDN w:val="0"/>
        <w:adjustRightInd w:val="0"/>
        <w:spacing w:before="60" w:after="60" w:line="288" w:lineRule="auto"/>
        <w:jc w:val="both"/>
        <w:rPr>
          <w:rFonts w:eastAsia="Calibri" w:cs="Arial"/>
          <w:b/>
          <w:bCs/>
          <w:color w:val="000000"/>
          <w:lang w:val="en-GB"/>
        </w:rPr>
      </w:pPr>
    </w:p>
    <w:p w:rsidR="00511045" w:rsidRDefault="00511045" w:rsidP="00511045">
      <w:pPr>
        <w:autoSpaceDE w:val="0"/>
        <w:autoSpaceDN w:val="0"/>
        <w:adjustRightInd w:val="0"/>
        <w:spacing w:before="60" w:after="60" w:line="288" w:lineRule="auto"/>
        <w:jc w:val="both"/>
        <w:rPr>
          <w:rFonts w:eastAsia="Calibri" w:cs="Arial"/>
          <w:b/>
          <w:color w:val="000000"/>
          <w:lang w:val="en-GB"/>
        </w:rPr>
      </w:pPr>
      <w:r>
        <w:rPr>
          <w:rFonts w:eastAsia="Calibri" w:cs="Arial"/>
          <w:b/>
          <w:bCs/>
          <w:color w:val="000000"/>
          <w:lang w:val="en-GB"/>
        </w:rPr>
        <w:t xml:space="preserve">II.SIT OF COMUNITY IMPORTANCE-SCI </w:t>
      </w:r>
    </w:p>
    <w:p w:rsidR="00511045" w:rsidRDefault="00511045" w:rsidP="00511045">
      <w:pPr>
        <w:autoSpaceDE w:val="0"/>
        <w:autoSpaceDN w:val="0"/>
        <w:adjustRightInd w:val="0"/>
        <w:spacing w:before="60" w:after="60" w:line="288" w:lineRule="auto"/>
        <w:ind w:left="1080"/>
        <w:jc w:val="both"/>
        <w:rPr>
          <w:rFonts w:eastAsia="Calibri" w:cs="Arial"/>
          <w:color w:val="000000"/>
          <w:lang w:val="en-GB" w:eastAsia="en-US"/>
        </w:rPr>
      </w:pPr>
    </w:p>
    <w:p w:rsidR="00511045" w:rsidRDefault="00511045" w:rsidP="00511045">
      <w:pPr>
        <w:autoSpaceDE w:val="0"/>
        <w:autoSpaceDN w:val="0"/>
        <w:adjustRightInd w:val="0"/>
        <w:spacing w:before="60" w:after="60" w:line="288" w:lineRule="auto"/>
        <w:jc w:val="both"/>
        <w:rPr>
          <w:rFonts w:cs="Arial"/>
          <w:color w:val="000000"/>
        </w:rPr>
      </w:pPr>
      <w:r>
        <w:rPr>
          <w:rFonts w:cs="Arial"/>
          <w:color w:val="000000"/>
        </w:rPr>
        <w:t xml:space="preserve">In Tulcea County are </w:t>
      </w:r>
      <w:r>
        <w:rPr>
          <w:rFonts w:cs="Arial"/>
          <w:b/>
          <w:color w:val="000000"/>
        </w:rPr>
        <w:t xml:space="preserve">8 </w:t>
      </w:r>
      <w:r>
        <w:rPr>
          <w:rFonts w:cs="Arial"/>
          <w:color w:val="000000"/>
        </w:rPr>
        <w:t xml:space="preserve">Sits of community importance presented in table 5.1.4. </w:t>
      </w:r>
    </w:p>
    <w:p w:rsidR="00511045" w:rsidRPr="0088539B" w:rsidRDefault="00511045" w:rsidP="00511045">
      <w:pPr>
        <w:autoSpaceDE w:val="0"/>
        <w:autoSpaceDN w:val="0"/>
        <w:adjustRightInd w:val="0"/>
        <w:spacing w:before="60" w:after="60" w:line="288" w:lineRule="auto"/>
        <w:jc w:val="both"/>
        <w:rPr>
          <w:rFonts w:cs="Arial"/>
          <w:b/>
          <w:color w:val="000000"/>
        </w:rPr>
      </w:pPr>
      <w:r w:rsidRPr="0088539B">
        <w:rPr>
          <w:rFonts w:cs="Arial"/>
          <w:b/>
          <w:color w:val="000000"/>
        </w:rPr>
        <w:t>Table no. 5.1.4 Sites of Community Importance ( SCI ) in Tulcea</w:t>
      </w:r>
    </w:p>
    <w:tbl>
      <w:tblPr>
        <w:tblW w:w="99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636"/>
        <w:gridCol w:w="3591"/>
        <w:gridCol w:w="1395"/>
        <w:gridCol w:w="2659"/>
      </w:tblGrid>
      <w:tr w:rsidR="00511045" w:rsidTr="002E01ED">
        <w:trPr>
          <w:trHeight w:val="541"/>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rsidR="00511045" w:rsidRDefault="00511045" w:rsidP="002E01ED">
            <w:pPr>
              <w:spacing w:before="60" w:after="60" w:line="288" w:lineRule="auto"/>
              <w:jc w:val="both"/>
              <w:rPr>
                <w:rFonts w:cs="Arial"/>
                <w:b/>
              </w:rPr>
            </w:pPr>
            <w:r>
              <w:rPr>
                <w:rFonts w:cs="Arial"/>
                <w:b/>
              </w:rPr>
              <w:t>No</w:t>
            </w:r>
          </w:p>
        </w:tc>
        <w:tc>
          <w:tcPr>
            <w:tcW w:w="1636" w:type="dxa"/>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spacing w:before="60" w:after="60" w:line="288" w:lineRule="auto"/>
              <w:jc w:val="both"/>
              <w:rPr>
                <w:rFonts w:cs="Arial"/>
                <w:b/>
                <w:bCs/>
              </w:rPr>
            </w:pPr>
            <w:r>
              <w:rPr>
                <w:rFonts w:cs="Arial"/>
                <w:b/>
                <w:bCs/>
              </w:rPr>
              <w:t>SIT COD</w:t>
            </w:r>
          </w:p>
        </w:tc>
        <w:tc>
          <w:tcPr>
            <w:tcW w:w="3591" w:type="dxa"/>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spacing w:before="60" w:after="60" w:line="288" w:lineRule="auto"/>
              <w:jc w:val="both"/>
              <w:rPr>
                <w:rFonts w:cs="Arial"/>
                <w:b/>
                <w:bCs/>
              </w:rPr>
            </w:pPr>
            <w:r>
              <w:rPr>
                <w:rFonts w:cs="Arial"/>
                <w:b/>
                <w:bCs/>
              </w:rPr>
              <w:t>SIT NAME</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spacing w:before="60" w:after="60" w:line="288" w:lineRule="auto"/>
              <w:jc w:val="both"/>
              <w:rPr>
                <w:rFonts w:cs="Arial"/>
                <w:b/>
                <w:bCs/>
              </w:rPr>
            </w:pPr>
            <w:r>
              <w:rPr>
                <w:rFonts w:cs="Arial"/>
                <w:b/>
                <w:bCs/>
              </w:rPr>
              <w:t xml:space="preserve">Surface </w:t>
            </w:r>
          </w:p>
          <w:p w:rsidR="00511045" w:rsidRDefault="00511045" w:rsidP="002E01ED">
            <w:pPr>
              <w:spacing w:before="60" w:after="60" w:line="288" w:lineRule="auto"/>
              <w:jc w:val="both"/>
              <w:rPr>
                <w:rFonts w:cs="Arial"/>
                <w:b/>
                <w:bCs/>
              </w:rPr>
            </w:pPr>
            <w:r>
              <w:rPr>
                <w:rFonts w:cs="Arial"/>
                <w:b/>
                <w:bCs/>
              </w:rPr>
              <w:t xml:space="preserve">ha </w:t>
            </w:r>
          </w:p>
        </w:tc>
        <w:tc>
          <w:tcPr>
            <w:tcW w:w="2659" w:type="dxa"/>
            <w:tcBorders>
              <w:top w:val="single" w:sz="4" w:space="0" w:color="auto"/>
              <w:left w:val="single" w:sz="4" w:space="0" w:color="auto"/>
              <w:bottom w:val="single" w:sz="4" w:space="0" w:color="auto"/>
              <w:right w:val="single" w:sz="4" w:space="0" w:color="auto"/>
            </w:tcBorders>
            <w:shd w:val="clear" w:color="auto" w:fill="auto"/>
            <w:vAlign w:val="center"/>
          </w:tcPr>
          <w:p w:rsidR="00511045" w:rsidRDefault="00511045" w:rsidP="002E01ED">
            <w:pPr>
              <w:spacing w:before="60" w:after="60" w:line="288" w:lineRule="auto"/>
              <w:jc w:val="both"/>
              <w:rPr>
                <w:rFonts w:cs="Arial"/>
                <w:b/>
                <w:bCs/>
              </w:rPr>
            </w:pPr>
            <w:r>
              <w:rPr>
                <w:rFonts w:cs="Arial"/>
                <w:b/>
                <w:bCs/>
              </w:rPr>
              <w:t>Surface at the level of County</w:t>
            </w:r>
          </w:p>
        </w:tc>
      </w:tr>
      <w:tr w:rsidR="00511045" w:rsidTr="002E01ED">
        <w:trPr>
          <w:trHeight w:val="305"/>
          <w:jc w:val="center"/>
        </w:trPr>
        <w:tc>
          <w:tcPr>
            <w:tcW w:w="692"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1</w:t>
            </w:r>
          </w:p>
        </w:tc>
        <w:tc>
          <w:tcPr>
            <w:tcW w:w="1636"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ROSCI0012</w:t>
            </w:r>
          </w:p>
        </w:tc>
        <w:tc>
          <w:tcPr>
            <w:tcW w:w="3591"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Macin Channel,</w:t>
            </w:r>
          </w:p>
        </w:tc>
        <w:tc>
          <w:tcPr>
            <w:tcW w:w="1395"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10.235</w:t>
            </w:r>
          </w:p>
        </w:tc>
        <w:tc>
          <w:tcPr>
            <w:tcW w:w="2659"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jc w:val="both"/>
              <w:rPr>
                <w:rFonts w:cs="Arial"/>
                <w:bCs/>
              </w:rPr>
            </w:pPr>
            <w:r>
              <w:rPr>
                <w:rFonts w:cs="Arial"/>
                <w:bCs/>
              </w:rPr>
              <w:t>4503</w:t>
            </w:r>
          </w:p>
        </w:tc>
      </w:tr>
      <w:tr w:rsidR="00511045" w:rsidTr="002E01ED">
        <w:trPr>
          <w:trHeight w:val="421"/>
          <w:jc w:val="center"/>
        </w:trPr>
        <w:tc>
          <w:tcPr>
            <w:tcW w:w="692"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2</w:t>
            </w:r>
          </w:p>
        </w:tc>
        <w:tc>
          <w:tcPr>
            <w:tcW w:w="1636"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ROSCI0060</w:t>
            </w:r>
          </w:p>
        </w:tc>
        <w:tc>
          <w:tcPr>
            <w:tcW w:w="3591"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Hills Agighiol</w:t>
            </w:r>
          </w:p>
        </w:tc>
        <w:tc>
          <w:tcPr>
            <w:tcW w:w="1395"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1.433</w:t>
            </w:r>
          </w:p>
        </w:tc>
        <w:tc>
          <w:tcPr>
            <w:tcW w:w="2659"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jc w:val="both"/>
              <w:rPr>
                <w:rFonts w:cs="Arial"/>
                <w:bCs/>
              </w:rPr>
            </w:pPr>
            <w:r>
              <w:rPr>
                <w:rFonts w:cs="Arial"/>
              </w:rPr>
              <w:t>1.433</w:t>
            </w:r>
          </w:p>
        </w:tc>
      </w:tr>
      <w:tr w:rsidR="00511045" w:rsidTr="002E01ED">
        <w:trPr>
          <w:trHeight w:val="260"/>
          <w:jc w:val="center"/>
        </w:trPr>
        <w:tc>
          <w:tcPr>
            <w:tcW w:w="692"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3</w:t>
            </w:r>
          </w:p>
        </w:tc>
        <w:tc>
          <w:tcPr>
            <w:tcW w:w="1636"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ROSCI0065</w:t>
            </w:r>
          </w:p>
        </w:tc>
        <w:tc>
          <w:tcPr>
            <w:tcW w:w="3591"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Delta</w:t>
            </w:r>
          </w:p>
        </w:tc>
        <w:tc>
          <w:tcPr>
            <w:tcW w:w="1395"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454.037</w:t>
            </w:r>
          </w:p>
        </w:tc>
        <w:tc>
          <w:tcPr>
            <w:tcW w:w="2659"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jc w:val="both"/>
              <w:rPr>
                <w:rFonts w:cs="Arial"/>
                <w:bCs/>
              </w:rPr>
            </w:pPr>
            <w:r>
              <w:rPr>
                <w:rFonts w:cs="Arial"/>
                <w:bCs/>
              </w:rPr>
              <w:t>422.254</w:t>
            </w:r>
          </w:p>
        </w:tc>
      </w:tr>
      <w:tr w:rsidR="00511045" w:rsidTr="002E01ED">
        <w:trPr>
          <w:trHeight w:val="242"/>
          <w:jc w:val="center"/>
        </w:trPr>
        <w:tc>
          <w:tcPr>
            <w:tcW w:w="692"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4</w:t>
            </w:r>
          </w:p>
        </w:tc>
        <w:tc>
          <w:tcPr>
            <w:tcW w:w="1636"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ROSCI0066</w:t>
            </w:r>
          </w:p>
        </w:tc>
        <w:tc>
          <w:tcPr>
            <w:tcW w:w="3591"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Delta-Marine zone</w:t>
            </w:r>
          </w:p>
        </w:tc>
        <w:tc>
          <w:tcPr>
            <w:tcW w:w="1395"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123.374</w:t>
            </w:r>
          </w:p>
        </w:tc>
        <w:tc>
          <w:tcPr>
            <w:tcW w:w="2659"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jc w:val="both"/>
              <w:rPr>
                <w:rFonts w:cs="Arial"/>
                <w:bCs/>
              </w:rPr>
            </w:pPr>
            <w:r>
              <w:rPr>
                <w:rFonts w:cs="Arial"/>
                <w:bCs/>
              </w:rPr>
              <w:t>2468</w:t>
            </w:r>
          </w:p>
        </w:tc>
      </w:tr>
      <w:tr w:rsidR="00511045" w:rsidTr="002E01ED">
        <w:trPr>
          <w:trHeight w:val="260"/>
          <w:jc w:val="center"/>
        </w:trPr>
        <w:tc>
          <w:tcPr>
            <w:tcW w:w="692"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5</w:t>
            </w:r>
          </w:p>
        </w:tc>
        <w:tc>
          <w:tcPr>
            <w:tcW w:w="1636"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ROSCI0067</w:t>
            </w:r>
          </w:p>
        </w:tc>
        <w:tc>
          <w:tcPr>
            <w:tcW w:w="3591"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DENIZ TEPE</w:t>
            </w:r>
          </w:p>
        </w:tc>
        <w:tc>
          <w:tcPr>
            <w:tcW w:w="1395"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414</w:t>
            </w:r>
          </w:p>
        </w:tc>
        <w:tc>
          <w:tcPr>
            <w:tcW w:w="2659"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jc w:val="both"/>
              <w:rPr>
                <w:rFonts w:cs="Arial"/>
                <w:bCs/>
              </w:rPr>
            </w:pPr>
            <w:r>
              <w:rPr>
                <w:rFonts w:cs="Arial"/>
                <w:bCs/>
              </w:rPr>
              <w:t>414</w:t>
            </w:r>
          </w:p>
        </w:tc>
      </w:tr>
      <w:tr w:rsidR="00511045" w:rsidTr="002E01ED">
        <w:trPr>
          <w:trHeight w:val="260"/>
          <w:jc w:val="center"/>
        </w:trPr>
        <w:tc>
          <w:tcPr>
            <w:tcW w:w="692"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6</w:t>
            </w:r>
          </w:p>
        </w:tc>
        <w:tc>
          <w:tcPr>
            <w:tcW w:w="1636"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ROSCI0123</w:t>
            </w:r>
          </w:p>
        </w:tc>
        <w:tc>
          <w:tcPr>
            <w:tcW w:w="3591"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Măcinului Mountain</w:t>
            </w:r>
          </w:p>
        </w:tc>
        <w:tc>
          <w:tcPr>
            <w:tcW w:w="1395"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16.894</w:t>
            </w:r>
          </w:p>
        </w:tc>
        <w:tc>
          <w:tcPr>
            <w:tcW w:w="2659"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jc w:val="both"/>
              <w:rPr>
                <w:rFonts w:cs="Arial"/>
                <w:bCs/>
              </w:rPr>
            </w:pPr>
            <w:r>
              <w:rPr>
                <w:rFonts w:cs="Arial"/>
              </w:rPr>
              <w:t>16.894</w:t>
            </w:r>
          </w:p>
        </w:tc>
      </w:tr>
      <w:tr w:rsidR="00511045" w:rsidTr="002E01ED">
        <w:trPr>
          <w:trHeight w:val="332"/>
          <w:jc w:val="center"/>
        </w:trPr>
        <w:tc>
          <w:tcPr>
            <w:tcW w:w="692"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7</w:t>
            </w:r>
          </w:p>
        </w:tc>
        <w:tc>
          <w:tcPr>
            <w:tcW w:w="1636"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ROSCI0201</w:t>
            </w:r>
          </w:p>
        </w:tc>
        <w:tc>
          <w:tcPr>
            <w:tcW w:w="3591" w:type="dxa"/>
            <w:tcBorders>
              <w:top w:val="single" w:sz="4" w:space="0" w:color="auto"/>
              <w:left w:val="single" w:sz="4" w:space="0" w:color="auto"/>
              <w:bottom w:val="single" w:sz="4" w:space="0" w:color="auto"/>
              <w:right w:val="single" w:sz="4" w:space="0" w:color="auto"/>
            </w:tcBorders>
          </w:tcPr>
          <w:p w:rsidR="00511045" w:rsidRDefault="00511045"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rPr>
            </w:pPr>
            <w:r>
              <w:rPr>
                <w:rFonts w:cs="Arial"/>
              </w:rPr>
              <w:t>Northern Dobrogea Plateau</w:t>
            </w:r>
          </w:p>
          <w:p w:rsidR="00511045" w:rsidRDefault="00511045" w:rsidP="002E01ED">
            <w:pPr>
              <w:spacing w:before="60" w:after="60" w:line="288" w:lineRule="auto"/>
              <w:ind w:left="-3" w:right="44" w:firstLine="3"/>
              <w:jc w:val="both"/>
              <w:rPr>
                <w:rFonts w:cs="Arial"/>
              </w:rPr>
            </w:pPr>
          </w:p>
        </w:tc>
        <w:tc>
          <w:tcPr>
            <w:tcW w:w="1395"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84.812</w:t>
            </w:r>
          </w:p>
        </w:tc>
        <w:tc>
          <w:tcPr>
            <w:tcW w:w="2659"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jc w:val="both"/>
              <w:rPr>
                <w:rFonts w:cs="Arial"/>
                <w:bCs/>
              </w:rPr>
            </w:pPr>
            <w:r>
              <w:rPr>
                <w:rFonts w:cs="Arial"/>
              </w:rPr>
              <w:t>84.812</w:t>
            </w:r>
          </w:p>
        </w:tc>
      </w:tr>
      <w:tr w:rsidR="00511045" w:rsidTr="002E01ED">
        <w:trPr>
          <w:trHeight w:val="647"/>
          <w:jc w:val="center"/>
        </w:trPr>
        <w:tc>
          <w:tcPr>
            <w:tcW w:w="692"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8</w:t>
            </w:r>
          </w:p>
        </w:tc>
        <w:tc>
          <w:tcPr>
            <w:tcW w:w="1636"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ROSCI0237</w:t>
            </w:r>
          </w:p>
        </w:tc>
        <w:tc>
          <w:tcPr>
            <w:tcW w:w="3591" w:type="dxa"/>
            <w:tcBorders>
              <w:top w:val="single" w:sz="4" w:space="0" w:color="auto"/>
              <w:left w:val="single" w:sz="4" w:space="0" w:color="auto"/>
              <w:bottom w:val="single" w:sz="4" w:space="0" w:color="auto"/>
              <w:right w:val="single" w:sz="4" w:space="0" w:color="auto"/>
            </w:tcBorders>
          </w:tcPr>
          <w:p w:rsidR="00511045" w:rsidRDefault="00511045" w:rsidP="002E01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rPr>
            </w:pPr>
            <w:r>
              <w:rPr>
                <w:rFonts w:cs="Arial"/>
              </w:rPr>
              <w:t>Structures submarine methane - St. Gheorghe</w:t>
            </w:r>
          </w:p>
          <w:p w:rsidR="00511045" w:rsidRDefault="00511045" w:rsidP="002E01ED">
            <w:pPr>
              <w:spacing w:before="60" w:after="60" w:line="288" w:lineRule="auto"/>
              <w:ind w:left="-3" w:right="44" w:firstLine="3"/>
              <w:jc w:val="both"/>
              <w:rPr>
                <w:rFonts w:cs="Arial"/>
              </w:rPr>
            </w:pPr>
          </w:p>
        </w:tc>
        <w:tc>
          <w:tcPr>
            <w:tcW w:w="1395"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ind w:left="-3" w:right="44" w:firstLine="3"/>
              <w:jc w:val="both"/>
              <w:rPr>
                <w:rFonts w:cs="Arial"/>
              </w:rPr>
            </w:pPr>
            <w:r>
              <w:rPr>
                <w:rFonts w:cs="Arial"/>
              </w:rPr>
              <w:t>6.122</w:t>
            </w:r>
          </w:p>
        </w:tc>
        <w:tc>
          <w:tcPr>
            <w:tcW w:w="2659" w:type="dxa"/>
            <w:tcBorders>
              <w:top w:val="single" w:sz="4" w:space="0" w:color="auto"/>
              <w:left w:val="single" w:sz="4" w:space="0" w:color="auto"/>
              <w:bottom w:val="single" w:sz="4" w:space="0" w:color="auto"/>
              <w:right w:val="single" w:sz="4" w:space="0" w:color="auto"/>
            </w:tcBorders>
          </w:tcPr>
          <w:p w:rsidR="00511045" w:rsidRDefault="00511045" w:rsidP="002E01ED">
            <w:pPr>
              <w:spacing w:before="60" w:after="60" w:line="288" w:lineRule="auto"/>
              <w:jc w:val="both"/>
              <w:rPr>
                <w:rFonts w:cs="Arial"/>
                <w:bCs/>
              </w:rPr>
            </w:pPr>
            <w:r>
              <w:rPr>
                <w:rFonts w:cs="Arial"/>
                <w:bCs/>
              </w:rPr>
              <w:t>Black See</w:t>
            </w:r>
          </w:p>
        </w:tc>
      </w:tr>
    </w:tbl>
    <w:p w:rsidR="00511045" w:rsidRDefault="00511045" w:rsidP="00511045">
      <w:pPr>
        <w:numPr>
          <w:ilvl w:val="0"/>
          <w:numId w:val="21"/>
        </w:numPr>
        <w:spacing w:before="60" w:after="60" w:line="288" w:lineRule="auto"/>
        <w:ind w:left="1080"/>
        <w:jc w:val="both"/>
        <w:rPr>
          <w:rFonts w:cs="Arial"/>
          <w:b/>
        </w:rPr>
      </w:pPr>
      <w:r>
        <w:rPr>
          <w:rFonts w:cs="Arial"/>
          <w:b/>
        </w:rPr>
        <w:t>ROSCI 0012 Braţul Măcin</w:t>
      </w:r>
    </w:p>
    <w:p w:rsidR="00511045" w:rsidRDefault="00511045" w:rsidP="00511045">
      <w:pPr>
        <w:autoSpaceDE w:val="0"/>
        <w:autoSpaceDN w:val="0"/>
        <w:adjustRightInd w:val="0"/>
        <w:spacing w:before="60" w:after="60" w:line="288" w:lineRule="auto"/>
        <w:ind w:firstLine="709"/>
        <w:jc w:val="both"/>
        <w:rPr>
          <w:rFonts w:cs="Arial"/>
        </w:rPr>
      </w:pPr>
      <w:r w:rsidRPr="002E01ED">
        <w:rPr>
          <w:rFonts w:cs="Arial"/>
          <w:noProof/>
          <w:lang w:val="en-US" w:eastAsia="en-US"/>
        </w:rPr>
        <w:drawing>
          <wp:anchor distT="0" distB="0" distL="114300" distR="114300" simplePos="0" relativeHeight="251664384" behindDoc="1" locked="0" layoutInCell="1" allowOverlap="1" wp14:anchorId="7F20EF7E" wp14:editId="2D90A1DF">
            <wp:simplePos x="0" y="0"/>
            <wp:positionH relativeFrom="column">
              <wp:posOffset>45720</wp:posOffset>
            </wp:positionH>
            <wp:positionV relativeFrom="paragraph">
              <wp:posOffset>868045</wp:posOffset>
            </wp:positionV>
            <wp:extent cx="2980690" cy="1920240"/>
            <wp:effectExtent l="0" t="0" r="0" b="3810"/>
            <wp:wrapThrough wrapText="bothSides">
              <wp:wrapPolygon edited="0">
                <wp:start x="0" y="0"/>
                <wp:lineTo x="0" y="21429"/>
                <wp:lineTo x="21398" y="21429"/>
                <wp:lineTo x="21398" y="0"/>
                <wp:lineTo x="0" y="0"/>
              </wp:wrapPolygon>
            </wp:wrapThrough>
            <wp:docPr id="40" name="Imagine 40" descr="IMG_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49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80690" cy="19202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rPr>
        <w:t xml:space="preserve">The site of importance primarily for habitat 92A0 </w:t>
      </w:r>
      <w:r w:rsidRPr="0088539B">
        <w:rPr>
          <w:rFonts w:cs="Arial"/>
          <w:i/>
          <w:noProof/>
        </w:rPr>
        <w:t>Salix alba</w:t>
      </w:r>
      <w:r>
        <w:rPr>
          <w:rFonts w:cs="Arial"/>
          <w:noProof/>
        </w:rPr>
        <w:t xml:space="preserve"> and </w:t>
      </w:r>
      <w:r w:rsidRPr="0088539B">
        <w:rPr>
          <w:rFonts w:cs="Arial"/>
          <w:i/>
          <w:noProof/>
        </w:rPr>
        <w:t>Populus alba galleries</w:t>
      </w:r>
      <w:r>
        <w:rPr>
          <w:rFonts w:cs="Arial"/>
          <w:noProof/>
        </w:rPr>
        <w:t xml:space="preserve"> , occupying approximately 19.41 % of the site and 4 % of the national habitat . The habitat is the surface more or less reduced and stands on which no interventions were made forest , from the training areas which can be considered virgin forests ( current or potential) . There were however identified so far in this secular stands habitat</w:t>
      </w:r>
      <w:r>
        <w:rPr>
          <w:rFonts w:cs="Arial"/>
        </w:rPr>
        <w:t>.</w:t>
      </w: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The second place in importance lies priority habitat 62C0 * Ponto- Sarmatic steppes , occupying an area of </w:t>
      </w:r>
      <w:r>
        <w:rPr>
          <w:rFonts w:ascii="Cambria Math" w:hAnsi="Cambria Math" w:cs="Cambria Math"/>
        </w:rPr>
        <w:t>​​</w:t>
      </w:r>
      <w:r>
        <w:rPr>
          <w:rFonts w:cs="Arial"/>
        </w:rPr>
        <w:t xml:space="preserve">approximately 4% of the national area of habitat , represented by steppes with grasses on White soils ( association </w:t>
      </w:r>
      <w:r w:rsidRPr="0088539B">
        <w:rPr>
          <w:rFonts w:cs="Arial"/>
          <w:i/>
        </w:rPr>
        <w:t>Agropyretum pectiniformae</w:t>
      </w:r>
      <w:r>
        <w:rPr>
          <w:rFonts w:cs="Arial"/>
        </w:rPr>
        <w:t xml:space="preserve"> ) encountered in the country predominantly in Dobrogea Petrof the Paleozoic schists and steppes ( association </w:t>
      </w:r>
      <w:r w:rsidRPr="0088539B">
        <w:rPr>
          <w:rFonts w:cs="Arial"/>
          <w:i/>
        </w:rPr>
        <w:t>Sedo hillebrandtii- Polytrichetum piliferous</w:t>
      </w:r>
      <w:r>
        <w:rPr>
          <w:rFonts w:cs="Arial"/>
        </w:rPr>
        <w:t xml:space="preserve"> ) falling in Dobrogea endemic alliance </w:t>
      </w:r>
      <w:r w:rsidRPr="0088539B">
        <w:rPr>
          <w:rFonts w:cs="Arial"/>
          <w:i/>
        </w:rPr>
        <w:t>Pimpinello - Thymion zygioidi</w:t>
      </w:r>
      <w:r>
        <w:rPr>
          <w:rFonts w:cs="Arial"/>
        </w:rPr>
        <w:t xml:space="preserve"> ( Sanda , Arcus , 1999).</w:t>
      </w:r>
    </w:p>
    <w:p w:rsidR="00511045" w:rsidRDefault="00511045" w:rsidP="00511045">
      <w:pPr>
        <w:autoSpaceDE w:val="0"/>
        <w:autoSpaceDN w:val="0"/>
        <w:adjustRightInd w:val="0"/>
        <w:spacing w:before="60" w:after="60" w:line="288" w:lineRule="auto"/>
        <w:ind w:firstLine="709"/>
        <w:jc w:val="both"/>
        <w:rPr>
          <w:rFonts w:cs="Arial"/>
        </w:rPr>
      </w:pPr>
      <w:r>
        <w:rPr>
          <w:rFonts w:cs="Arial"/>
        </w:rPr>
        <w:lastRenderedPageBreak/>
        <w:t xml:space="preserve">The site has been cited (Savulescu, 1976) </w:t>
      </w:r>
      <w:r w:rsidRPr="0088539B">
        <w:rPr>
          <w:rFonts w:cs="Arial"/>
          <w:i/>
        </w:rPr>
        <w:t>quadrifolia Marsilea</w:t>
      </w:r>
      <w:r>
        <w:rPr>
          <w:rFonts w:cs="Arial"/>
        </w:rPr>
        <w:t xml:space="preserve"> species of Community interest in the Lake lacer that there are now (but as piscicultural) , for which it can be assumed that the species has disappeared.</w:t>
      </w:r>
    </w:p>
    <w:p w:rsidR="00511045" w:rsidRDefault="00511045" w:rsidP="00511045">
      <w:pPr>
        <w:autoSpaceDE w:val="0"/>
        <w:autoSpaceDN w:val="0"/>
        <w:adjustRightInd w:val="0"/>
        <w:spacing w:before="60" w:after="60" w:line="288" w:lineRule="auto"/>
        <w:ind w:firstLine="709"/>
        <w:jc w:val="both"/>
        <w:rPr>
          <w:rFonts w:cs="Arial"/>
        </w:rPr>
      </w:pPr>
      <w:r>
        <w:rPr>
          <w:rFonts w:cs="Arial"/>
        </w:rPr>
        <w:t>The site is the northern part of the migration corridor of plant species in the Balkan Peninsula to northern Dobrogea and the Danube Delta. Moreover it constitutes an important migration route for birds (being proposed and that SPA) and for certain species of fish, including sturgeon.</w:t>
      </w:r>
    </w:p>
    <w:p w:rsidR="00511045" w:rsidRDefault="00511045" w:rsidP="00511045">
      <w:pPr>
        <w:spacing w:before="60" w:after="60" w:line="288" w:lineRule="auto"/>
        <w:jc w:val="both"/>
        <w:rPr>
          <w:rFonts w:cs="Arial"/>
        </w:rPr>
      </w:pPr>
      <w:r>
        <w:rPr>
          <w:rFonts w:cs="Arial"/>
        </w:rPr>
        <w:t>Including the Danube on the site is essential for continuity and for transport by river waters of reproductive organs (seeds, shoots, etc.) of different plant species that favor their dissemination to the northern Dobrogea and the Danube Delta.</w:t>
      </w:r>
    </w:p>
    <w:p w:rsidR="00511045" w:rsidRDefault="00511045" w:rsidP="00511045">
      <w:pPr>
        <w:spacing w:before="60" w:after="60" w:line="288" w:lineRule="auto"/>
        <w:jc w:val="both"/>
        <w:rPr>
          <w:rFonts w:cs="Arial"/>
          <w:b/>
          <w:color w:val="FF0000"/>
        </w:rPr>
      </w:pPr>
    </w:p>
    <w:p w:rsidR="00511045" w:rsidRDefault="00511045" w:rsidP="00511045">
      <w:pPr>
        <w:numPr>
          <w:ilvl w:val="0"/>
          <w:numId w:val="21"/>
        </w:numPr>
        <w:spacing w:before="60" w:after="60" w:line="288" w:lineRule="auto"/>
        <w:ind w:left="1080"/>
        <w:jc w:val="both"/>
        <w:rPr>
          <w:rFonts w:cs="Arial"/>
          <w:b/>
        </w:rPr>
      </w:pPr>
      <w:r>
        <w:rPr>
          <w:rFonts w:cs="Arial"/>
          <w:b/>
        </w:rPr>
        <w:t>ROSCI 0060 Dealurile Agighiolului</w:t>
      </w:r>
    </w:p>
    <w:p w:rsidR="00511045" w:rsidRDefault="00511045" w:rsidP="00511045">
      <w:pPr>
        <w:spacing w:before="60" w:after="60" w:line="288" w:lineRule="auto"/>
        <w:ind w:firstLine="720"/>
        <w:jc w:val="both"/>
        <w:rPr>
          <w:rFonts w:cs="Arial"/>
        </w:rPr>
      </w:pPr>
      <w:r w:rsidRPr="002E01ED">
        <w:rPr>
          <w:rFonts w:cs="Arial"/>
          <w:noProof/>
          <w:lang w:val="en-US" w:eastAsia="en-US"/>
        </w:rPr>
        <w:drawing>
          <wp:anchor distT="0" distB="0" distL="114300" distR="114300" simplePos="0" relativeHeight="251663360" behindDoc="1" locked="0" layoutInCell="1" allowOverlap="1" wp14:anchorId="209EAD79" wp14:editId="0271BD0C">
            <wp:simplePos x="0" y="0"/>
            <wp:positionH relativeFrom="column">
              <wp:posOffset>1905</wp:posOffset>
            </wp:positionH>
            <wp:positionV relativeFrom="paragraph">
              <wp:posOffset>172720</wp:posOffset>
            </wp:positionV>
            <wp:extent cx="2433955" cy="1920240"/>
            <wp:effectExtent l="0" t="0" r="4445" b="3810"/>
            <wp:wrapTight wrapText="bothSides">
              <wp:wrapPolygon edited="0">
                <wp:start x="0" y="0"/>
                <wp:lineTo x="0" y="21429"/>
                <wp:lineTo x="21470" y="21429"/>
                <wp:lineTo x="21470" y="0"/>
                <wp:lineTo x="0" y="0"/>
              </wp:wrapPolygon>
            </wp:wrapTight>
            <wp:docPr id="39" name="Imagine 39" descr="IMG_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1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33955" cy="1920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The site is characterized by the presence of 3 priority habitats . In the most important habitat in the site or 62C0 * Ponto- Sarmatic steppes , occupying about 0.9 % of the national area of habitat association presents outstanding value </w:t>
      </w:r>
      <w:r w:rsidRPr="0088539B">
        <w:rPr>
          <w:rFonts w:cs="Arial"/>
          <w:i/>
        </w:rPr>
        <w:t>Agropyro brandzae</w:t>
      </w:r>
      <w:r>
        <w:rPr>
          <w:rFonts w:cs="Arial"/>
        </w:rPr>
        <w:t xml:space="preserve"> - </w:t>
      </w:r>
      <w:r w:rsidRPr="0088539B">
        <w:rPr>
          <w:rFonts w:cs="Arial"/>
          <w:i/>
        </w:rPr>
        <w:t>Thymetum zygioidi</w:t>
      </w:r>
      <w:r>
        <w:rPr>
          <w:rFonts w:cs="Arial"/>
        </w:rPr>
        <w:t xml:space="preserve"> , endemic to Dobrogea ( Sanda , Arcus , 1999 ), which occupies appreciable hundreds of hectares. Within this association is to emphasize the presence of important populations of the species </w:t>
      </w:r>
      <w:r w:rsidRPr="0088539B">
        <w:rPr>
          <w:rFonts w:cs="Arial"/>
          <w:i/>
        </w:rPr>
        <w:t>Euphorbia myrsinites</w:t>
      </w:r>
      <w:r>
        <w:rPr>
          <w:rFonts w:cs="Arial"/>
        </w:rPr>
        <w:t xml:space="preserve"> included in the National Red List ( Oltean et al. 1994) , very rare in Dobrogea , the only region in the country that met this taxon.</w:t>
      </w: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It holds second place in importance habitat 91AA * Ponto- Sarmatian forest vegetation with fluffy oak, represented by the association </w:t>
      </w:r>
      <w:r w:rsidRPr="0088539B">
        <w:rPr>
          <w:rFonts w:cs="Arial"/>
          <w:i/>
        </w:rPr>
        <w:t>Paeonio peregrinae - Carpinetum orientalis</w:t>
      </w:r>
      <w:r>
        <w:rPr>
          <w:rFonts w:cs="Arial"/>
        </w:rPr>
        <w:t xml:space="preserve"> predominantly prevalent in the country in Dobrogea.</w:t>
      </w:r>
    </w:p>
    <w:p w:rsidR="00511045" w:rsidRDefault="00511045" w:rsidP="00511045">
      <w:pPr>
        <w:spacing w:before="60" w:after="60" w:line="288" w:lineRule="auto"/>
        <w:jc w:val="both"/>
        <w:rPr>
          <w:rFonts w:cs="Arial"/>
        </w:rPr>
      </w:pPr>
      <w:r>
        <w:rPr>
          <w:rFonts w:cs="Arial"/>
        </w:rPr>
        <w:t xml:space="preserve">In the site are met and other national red list species ( Oltean et al. , 1994) , namely: </w:t>
      </w:r>
      <w:r>
        <w:rPr>
          <w:rFonts w:cs="Arial"/>
          <w:i/>
        </w:rPr>
        <w:t xml:space="preserve">Agropyron brandzae , Koeleria lobata , Thymus zygioides etc </w:t>
      </w:r>
      <w:r w:rsidRPr="0088539B">
        <w:rPr>
          <w:rFonts w:cs="Arial"/>
        </w:rPr>
        <w:t>, the first taxon is mentioned in the European Red List .</w:t>
      </w:r>
    </w:p>
    <w:p w:rsidR="00511045" w:rsidRDefault="00511045" w:rsidP="00511045">
      <w:pPr>
        <w:spacing w:before="60" w:after="60" w:line="288" w:lineRule="auto"/>
        <w:jc w:val="both"/>
        <w:rPr>
          <w:rFonts w:cs="Arial"/>
        </w:rPr>
      </w:pPr>
    </w:p>
    <w:p w:rsidR="00511045" w:rsidRDefault="00511045" w:rsidP="00511045">
      <w:pPr>
        <w:spacing w:before="60" w:after="60" w:line="288" w:lineRule="auto"/>
        <w:jc w:val="both"/>
        <w:rPr>
          <w:rFonts w:cs="Arial"/>
          <w:b/>
        </w:rPr>
      </w:pPr>
    </w:p>
    <w:p w:rsidR="00511045" w:rsidRDefault="00511045" w:rsidP="00511045">
      <w:pPr>
        <w:spacing w:before="60" w:after="60" w:line="288" w:lineRule="auto"/>
        <w:jc w:val="both"/>
        <w:rPr>
          <w:rFonts w:cs="Arial"/>
          <w:b/>
        </w:rPr>
      </w:pPr>
    </w:p>
    <w:p w:rsidR="00511045" w:rsidRDefault="00511045" w:rsidP="00511045">
      <w:pPr>
        <w:numPr>
          <w:ilvl w:val="0"/>
          <w:numId w:val="21"/>
        </w:numPr>
        <w:spacing w:before="60" w:after="60" w:line="288" w:lineRule="auto"/>
        <w:ind w:left="1080"/>
        <w:jc w:val="both"/>
        <w:rPr>
          <w:rFonts w:cs="Arial"/>
          <w:b/>
        </w:rPr>
      </w:pPr>
      <w:r>
        <w:rPr>
          <w:rFonts w:cs="Arial"/>
          <w:b/>
        </w:rPr>
        <w:t>ROSCI 0067 Deniz Tepe</w:t>
      </w:r>
    </w:p>
    <w:p w:rsidR="00511045" w:rsidRDefault="00511045" w:rsidP="00511045">
      <w:pPr>
        <w:spacing w:before="60" w:after="60" w:line="288" w:lineRule="auto"/>
        <w:ind w:left="1080"/>
        <w:jc w:val="both"/>
        <w:rPr>
          <w:rFonts w:cs="Arial"/>
          <w:b/>
        </w:rPr>
      </w:pPr>
    </w:p>
    <w:p w:rsidR="00511045" w:rsidRDefault="00511045" w:rsidP="00511045">
      <w:pPr>
        <w:spacing w:before="60" w:after="60" w:line="288" w:lineRule="auto"/>
        <w:ind w:firstLine="709"/>
        <w:jc w:val="both"/>
        <w:rPr>
          <w:rFonts w:cs="Arial"/>
        </w:rPr>
      </w:pPr>
      <w:r>
        <w:rPr>
          <w:rFonts w:cs="Arial"/>
        </w:rPr>
        <w:t>The site is important because it is covered almost entirely by priority habitat 62CO * Ponto- Sarmatic steppes , along with this being another priority habitat - 40 CO * Ponto- Sarmatic deciduous bushes .</w:t>
      </w:r>
    </w:p>
    <w:p w:rsidR="00511045" w:rsidRDefault="00511045" w:rsidP="00511045">
      <w:pPr>
        <w:spacing w:before="60" w:after="60" w:line="288" w:lineRule="auto"/>
        <w:ind w:firstLine="709"/>
        <w:jc w:val="both"/>
        <w:rPr>
          <w:rFonts w:cs="Arial"/>
        </w:rPr>
      </w:pPr>
      <w:r>
        <w:rPr>
          <w:rFonts w:cs="Arial"/>
        </w:rPr>
        <w:t xml:space="preserve">This site is also important as a habitat for other important species of plants and animals : </w:t>
      </w:r>
      <w:r w:rsidRPr="0088539B">
        <w:rPr>
          <w:rFonts w:cs="Arial"/>
          <w:i/>
        </w:rPr>
        <w:t>Romanesque Campanula</w:t>
      </w:r>
      <w:r>
        <w:rPr>
          <w:rFonts w:cs="Arial"/>
        </w:rPr>
        <w:t xml:space="preserve"> ( bell Dobrogea ) , </w:t>
      </w:r>
      <w:r w:rsidRPr="0088539B">
        <w:rPr>
          <w:rFonts w:cs="Arial"/>
          <w:i/>
        </w:rPr>
        <w:t>Elaphe quatorlineata</w:t>
      </w:r>
      <w:r>
        <w:rPr>
          <w:rFonts w:cs="Arial"/>
        </w:rPr>
        <w:t xml:space="preserve"> ( dragon Dobrogea ) and </w:t>
      </w:r>
      <w:r w:rsidRPr="0088539B">
        <w:rPr>
          <w:rFonts w:cs="Arial"/>
          <w:i/>
        </w:rPr>
        <w:t>Spermophilus citellus</w:t>
      </w:r>
      <w:r>
        <w:rPr>
          <w:rFonts w:cs="Arial"/>
        </w:rPr>
        <w:t xml:space="preserve"> ( squirrel ) . The site was declared a protected natural area since 2004 </w:t>
      </w:r>
      <w:r>
        <w:rPr>
          <w:rFonts w:cs="Arial"/>
        </w:rPr>
        <w:lastRenderedPageBreak/>
        <w:t>and presents an important geological / geomorphological , representing an erosion of Jurassic age , here are identified and fossils from that period.</w:t>
      </w:r>
    </w:p>
    <w:p w:rsidR="00511045" w:rsidRDefault="00511045" w:rsidP="00511045">
      <w:pPr>
        <w:spacing w:before="60" w:after="60" w:line="288" w:lineRule="auto"/>
        <w:jc w:val="both"/>
        <w:rPr>
          <w:rFonts w:cs="Arial"/>
          <w:b/>
        </w:rPr>
      </w:pPr>
    </w:p>
    <w:p w:rsidR="00511045" w:rsidRDefault="00511045" w:rsidP="00511045">
      <w:pPr>
        <w:numPr>
          <w:ilvl w:val="0"/>
          <w:numId w:val="21"/>
        </w:numPr>
        <w:spacing w:before="60" w:after="60" w:line="288" w:lineRule="auto"/>
        <w:ind w:left="1080"/>
        <w:jc w:val="both"/>
        <w:rPr>
          <w:rFonts w:cs="Arial"/>
          <w:b/>
        </w:rPr>
      </w:pPr>
      <w:r>
        <w:rPr>
          <w:rFonts w:cs="Arial"/>
          <w:b/>
        </w:rPr>
        <w:t>ROSCI 0123 Munţii Măcinului</w:t>
      </w:r>
    </w:p>
    <w:p w:rsidR="00511045" w:rsidRDefault="00511045" w:rsidP="00511045">
      <w:pPr>
        <w:spacing w:before="60" w:after="60" w:line="288" w:lineRule="auto"/>
        <w:ind w:firstLine="709"/>
        <w:jc w:val="both"/>
        <w:rPr>
          <w:rFonts w:cs="Arial"/>
        </w:rPr>
      </w:pPr>
      <w:r>
        <w:rPr>
          <w:rFonts w:cs="Arial"/>
        </w:rPr>
        <w:t>The importance of the site lies mainly in the fact that it consists almost entirely of community interest habitats , in addition to those characteristic of these mountains being added and salty habitats by including this site Salty lakes and Slatina.</w:t>
      </w:r>
    </w:p>
    <w:p w:rsidR="00511045" w:rsidRPr="0088539B" w:rsidRDefault="00511045" w:rsidP="00511045">
      <w:pPr>
        <w:spacing w:before="60" w:after="60" w:line="288" w:lineRule="auto"/>
        <w:ind w:firstLine="720"/>
        <w:jc w:val="both"/>
        <w:rPr>
          <w:rFonts w:cs="Arial"/>
          <w:i/>
        </w:rPr>
      </w:pPr>
      <w:r>
        <w:rPr>
          <w:rFonts w:cs="Arial"/>
        </w:rPr>
        <w:t>Also in this site was identified largest area nationally and worldwide 91X0 habitat in the reserve Beech Valley , rest areas with this habitat is widespread in Northern Dobrogea Plateau SCI . Here they were identified and Romanesque Campanula species of Community interest</w:t>
      </w:r>
      <w:r w:rsidRPr="0088539B">
        <w:rPr>
          <w:rFonts w:cs="Arial"/>
          <w:i/>
        </w:rPr>
        <w:t>, Moehringia jankae, Himantoglossum caprinum, Agrimonia pilosa, Echium russicum.</w:t>
      </w:r>
    </w:p>
    <w:p w:rsidR="00511045" w:rsidRDefault="00511045" w:rsidP="00511045">
      <w:pPr>
        <w:spacing w:before="60" w:after="60" w:line="288" w:lineRule="auto"/>
        <w:ind w:firstLine="720"/>
        <w:jc w:val="both"/>
        <w:rPr>
          <w:rFonts w:cs="Arial"/>
        </w:rPr>
      </w:pPr>
      <w:r>
        <w:rPr>
          <w:rFonts w:cs="Arial"/>
        </w:rPr>
        <w:t>In addition to the unique nature of the geological , Macin Mountains , the oldest mountains in the country, are also required by their characteristic landscape that can not be found at national level , the result of the combination of geomorphological ( megalithic granite formations ) and fitocenocomplexele typical for most floors and vegetation zones in Dobrogea (forests Balkan , Mediterranean , steppe and steppe ) , Petrescu , M . 2007) .</w:t>
      </w:r>
      <w:r w:rsidRPr="002E01ED">
        <w:rPr>
          <w:rFonts w:cs="Arial"/>
          <w:noProof/>
          <w:lang w:val="en-US" w:eastAsia="en-US"/>
        </w:rPr>
        <w:drawing>
          <wp:anchor distT="0" distB="0" distL="114300" distR="114300" simplePos="0" relativeHeight="251665408" behindDoc="1" locked="0" layoutInCell="1" allowOverlap="1" wp14:anchorId="606E30C7" wp14:editId="7E521DB4">
            <wp:simplePos x="0" y="0"/>
            <wp:positionH relativeFrom="column">
              <wp:posOffset>-66675</wp:posOffset>
            </wp:positionH>
            <wp:positionV relativeFrom="paragraph">
              <wp:posOffset>-52070</wp:posOffset>
            </wp:positionV>
            <wp:extent cx="2570480" cy="1920240"/>
            <wp:effectExtent l="0" t="0" r="1270" b="3810"/>
            <wp:wrapThrough wrapText="bothSides">
              <wp:wrapPolygon edited="0">
                <wp:start x="0" y="0"/>
                <wp:lineTo x="0" y="21429"/>
                <wp:lineTo x="21451" y="21429"/>
                <wp:lineTo x="21451" y="0"/>
                <wp:lineTo x="0" y="0"/>
              </wp:wrapPolygon>
            </wp:wrapThrough>
            <wp:docPr id="38" name="Imagine 38" descr="Muntii M S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untii M SCI"/>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70480" cy="19202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 xml:space="preserve"> </w:t>
      </w:r>
    </w:p>
    <w:p w:rsidR="00511045" w:rsidRDefault="00511045" w:rsidP="00511045">
      <w:pPr>
        <w:spacing w:before="60" w:after="60" w:line="288" w:lineRule="auto"/>
        <w:ind w:firstLine="720"/>
        <w:jc w:val="both"/>
        <w:rPr>
          <w:rFonts w:cs="Arial"/>
        </w:rPr>
      </w:pPr>
    </w:p>
    <w:p w:rsidR="00511045" w:rsidRDefault="00511045" w:rsidP="00511045">
      <w:pPr>
        <w:numPr>
          <w:ilvl w:val="0"/>
          <w:numId w:val="21"/>
        </w:numPr>
        <w:spacing w:before="60" w:after="60" w:line="288" w:lineRule="auto"/>
        <w:ind w:left="1080"/>
        <w:jc w:val="both"/>
        <w:rPr>
          <w:rFonts w:cs="Arial"/>
          <w:b/>
        </w:rPr>
      </w:pPr>
      <w:r>
        <w:rPr>
          <w:rFonts w:cs="Arial"/>
          <w:b/>
        </w:rPr>
        <w:t>ROSCI 0201 Podişul Nord Dobrogean</w:t>
      </w:r>
    </w:p>
    <w:p w:rsidR="00511045" w:rsidRDefault="00511045" w:rsidP="00511045">
      <w:pPr>
        <w:autoSpaceDE w:val="0"/>
        <w:autoSpaceDN w:val="0"/>
        <w:adjustRightInd w:val="0"/>
        <w:spacing w:before="60" w:after="60" w:line="288" w:lineRule="auto"/>
        <w:ind w:firstLine="709"/>
        <w:jc w:val="both"/>
        <w:rPr>
          <w:rFonts w:cs="Arial"/>
        </w:rPr>
      </w:pPr>
      <w:r>
        <w:rPr>
          <w:rFonts w:cs="Arial"/>
        </w:rPr>
        <w:t>The site included 23 natural reserves are legally constituted national importance , totaling 7520.55 ha . Nationally site is the most extensive and representative steppe bioregions , consisting rate of 95.5 % ( 84,812 ha ) of habitat of Community interest in the steppe habitats ( 17000ha - 19.14 %).</w:t>
      </w:r>
    </w:p>
    <w:p w:rsidR="00511045" w:rsidRDefault="00511045" w:rsidP="00511045">
      <w:pPr>
        <w:autoSpaceDE w:val="0"/>
        <w:autoSpaceDN w:val="0"/>
        <w:adjustRightInd w:val="0"/>
        <w:spacing w:before="60" w:after="60" w:line="288" w:lineRule="auto"/>
        <w:ind w:firstLine="709"/>
        <w:jc w:val="both"/>
        <w:rPr>
          <w:rFonts w:cs="Arial"/>
        </w:rPr>
      </w:pPr>
      <w:r>
        <w:rPr>
          <w:rFonts w:cs="Arial"/>
        </w:rPr>
        <w:t>Forest habitats also community interest habitats are dominated by group 41.7 thermophilous and supra -Mediterranean oak forests ( which includes types 91IO , 91 MB , 91AA ) - 34,000 ha ( 38.19 % ), followed by 41.2 habitat ( represented by the type 91YO ) - 21000ha ( 23 , 591 %), other forest habitats with a restricted share respectively 91XO ha -1 (0.001 % ) ; 92AO - 10ha (0.011 %). Scrubland habitats of Community importance are also representative, occupying an area of 35.6 % relative (1780,8ha ) .</w:t>
      </w:r>
    </w:p>
    <w:p w:rsidR="00511045" w:rsidRDefault="00511045" w:rsidP="00511045">
      <w:pPr>
        <w:autoSpaceDE w:val="0"/>
        <w:autoSpaceDN w:val="0"/>
        <w:adjustRightInd w:val="0"/>
        <w:spacing w:before="60" w:after="60" w:line="288" w:lineRule="auto"/>
        <w:ind w:firstLine="709"/>
        <w:jc w:val="both"/>
        <w:rPr>
          <w:rFonts w:cs="Arial"/>
        </w:rPr>
      </w:pPr>
      <w:r>
        <w:rPr>
          <w:rFonts w:cs="Arial"/>
        </w:rPr>
        <w:t>It is important to emphasize that preserves phytocoenosis site that served to describe the initial phytocoenology most numerous associations of associations of forest and meadows and thickets typical of Dobrogea ( Dihoru , Doniţă , 1970 ) their conservation is extremely important scientifically . * 62CO habitat is most representative of the steppe bioregions site is located , so it is important to detail certain aspects of it .</w:t>
      </w:r>
    </w:p>
    <w:p w:rsidR="00511045" w:rsidRDefault="00511045" w:rsidP="00511045">
      <w:pPr>
        <w:autoSpaceDE w:val="0"/>
        <w:autoSpaceDN w:val="0"/>
        <w:adjustRightInd w:val="0"/>
        <w:spacing w:before="60" w:after="60" w:line="288" w:lineRule="auto"/>
        <w:ind w:firstLine="709"/>
        <w:jc w:val="both"/>
        <w:rPr>
          <w:rFonts w:cs="Arial"/>
        </w:rPr>
      </w:pPr>
      <w:r>
        <w:rPr>
          <w:rFonts w:cs="Arial"/>
        </w:rPr>
        <w:t>Surface national Ponto- Sarmatic steppe is estimated up to 60,000 , of which 40,000 ha are in Dobrogea ( 30,000 in Tulcea , Constanta County 10,000 ) . The remaining 20,000 are widespread than in other areas of the country , but generally fragmented and exposed surface grazing , especially in bioregions steppe , areas outside the steppes generally not typical climax , but stepizării result from deforestation .</w:t>
      </w:r>
    </w:p>
    <w:p w:rsidR="00511045" w:rsidRDefault="00511045" w:rsidP="00511045">
      <w:pPr>
        <w:autoSpaceDE w:val="0"/>
        <w:autoSpaceDN w:val="0"/>
        <w:adjustRightInd w:val="0"/>
        <w:spacing w:before="60" w:after="60" w:line="288" w:lineRule="auto"/>
        <w:ind w:firstLine="709"/>
        <w:jc w:val="both"/>
        <w:rPr>
          <w:rFonts w:cs="Arial"/>
        </w:rPr>
      </w:pPr>
      <w:r>
        <w:rPr>
          <w:rFonts w:cs="Arial"/>
        </w:rPr>
        <w:lastRenderedPageBreak/>
        <w:t>Therefore there is no possibility of building sites representative of this habitat (large enough surface to ensure a satisfactory percentage for this priority habitat) than in Dobrogea and in particular in Tulcea, where there is the largest and compact area of this habitat.</w:t>
      </w: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The habitat is represented by associations </w:t>
      </w:r>
      <w:r w:rsidRPr="0088539B">
        <w:rPr>
          <w:rFonts w:cs="Arial"/>
          <w:i/>
        </w:rPr>
        <w:t>Stipion lessingianae alliances, Festucetum valesiacae, Pimpinello - Thymion zygioidi, Agropyro- Kochion</w:t>
      </w:r>
      <w:r>
        <w:rPr>
          <w:rFonts w:cs="Arial"/>
        </w:rPr>
        <w:t xml:space="preserve">. In this habitat subtype 34.9211 ( comprising associations </w:t>
      </w:r>
      <w:r w:rsidRPr="0088539B">
        <w:rPr>
          <w:rFonts w:cs="Arial"/>
          <w:i/>
        </w:rPr>
        <w:t xml:space="preserve">Pimpinello - Thymion zygioidi </w:t>
      </w:r>
      <w:r w:rsidRPr="00801704">
        <w:rPr>
          <w:rFonts w:cs="Arial"/>
        </w:rPr>
        <w:t>alliance</w:t>
      </w:r>
      <w:r>
        <w:rPr>
          <w:rFonts w:cs="Arial"/>
        </w:rPr>
        <w:t xml:space="preserve"> ) is endemic to Dobrogea ( Sanda , Arcus , 1999; Dihoru , Doniţă , 1970 ) , the site brings together the bulk of the range at national and global level .</w:t>
      </w:r>
    </w:p>
    <w:p w:rsidR="00511045" w:rsidRDefault="00511045" w:rsidP="00511045">
      <w:pPr>
        <w:autoSpaceDE w:val="0"/>
        <w:autoSpaceDN w:val="0"/>
        <w:adjustRightInd w:val="0"/>
        <w:spacing w:before="60" w:after="60" w:line="288" w:lineRule="auto"/>
        <w:ind w:firstLine="709"/>
        <w:jc w:val="both"/>
        <w:rPr>
          <w:rFonts w:cs="Arial"/>
        </w:rPr>
      </w:pPr>
      <w:r>
        <w:rPr>
          <w:rStyle w:val="hps"/>
          <w:rFonts w:cs="Arial"/>
          <w:color w:val="222222"/>
          <w:lang w:val="en"/>
        </w:rPr>
        <w:t>This situation</w:t>
      </w:r>
      <w:r>
        <w:rPr>
          <w:rFonts w:cs="Arial"/>
          <w:color w:val="222222"/>
          <w:lang w:val="en"/>
        </w:rPr>
        <w:t xml:space="preserve"> </w:t>
      </w:r>
      <w:r>
        <w:rPr>
          <w:rStyle w:val="hps"/>
          <w:rFonts w:cs="Arial"/>
          <w:color w:val="222222"/>
          <w:lang w:val="en"/>
        </w:rPr>
        <w:t>also applies to</w:t>
      </w:r>
      <w:r>
        <w:rPr>
          <w:rFonts w:cs="Arial"/>
          <w:color w:val="222222"/>
          <w:lang w:val="en"/>
        </w:rPr>
        <w:t xml:space="preserve"> </w:t>
      </w:r>
      <w:r>
        <w:rPr>
          <w:rStyle w:val="hps"/>
          <w:rFonts w:cs="Arial"/>
          <w:color w:val="222222"/>
          <w:lang w:val="en"/>
        </w:rPr>
        <w:t>some</w:t>
      </w:r>
      <w:r>
        <w:rPr>
          <w:rFonts w:cs="Arial"/>
          <w:color w:val="222222"/>
          <w:lang w:val="en"/>
        </w:rPr>
        <w:t xml:space="preserve"> </w:t>
      </w:r>
      <w:r>
        <w:rPr>
          <w:rStyle w:val="hps"/>
          <w:rFonts w:cs="Arial"/>
          <w:color w:val="222222"/>
          <w:lang w:val="en"/>
        </w:rPr>
        <w:t>specific</w:t>
      </w:r>
      <w:r>
        <w:rPr>
          <w:rFonts w:cs="Arial"/>
          <w:color w:val="222222"/>
          <w:lang w:val="en"/>
        </w:rPr>
        <w:t xml:space="preserve"> </w:t>
      </w:r>
      <w:r>
        <w:rPr>
          <w:rStyle w:val="hps"/>
          <w:rFonts w:cs="Arial"/>
          <w:color w:val="222222"/>
          <w:lang w:val="en"/>
        </w:rPr>
        <w:t>regional associations</w:t>
      </w:r>
      <w:r>
        <w:rPr>
          <w:rFonts w:cs="Arial"/>
          <w:color w:val="222222"/>
          <w:lang w:val="en"/>
        </w:rPr>
        <w:t xml:space="preserve"> </w:t>
      </w:r>
      <w:r>
        <w:rPr>
          <w:rStyle w:val="hps"/>
          <w:rFonts w:cs="Arial"/>
          <w:color w:val="222222"/>
          <w:lang w:val="en"/>
        </w:rPr>
        <w:t>of the province</w:t>
      </w:r>
      <w:r>
        <w:rPr>
          <w:rFonts w:cs="Arial"/>
          <w:color w:val="222222"/>
          <w:lang w:val="en"/>
        </w:rPr>
        <w:t xml:space="preserve">, namely the following </w:t>
      </w:r>
      <w:r>
        <w:rPr>
          <w:rStyle w:val="hps"/>
          <w:rFonts w:cs="Arial"/>
          <w:color w:val="222222"/>
          <w:lang w:val="en"/>
        </w:rPr>
        <w:t>associations:</w:t>
      </w:r>
      <w:r>
        <w:rPr>
          <w:rFonts w:cs="Arial"/>
          <w:color w:val="222222"/>
          <w:lang w:val="en"/>
        </w:rPr>
        <w:t xml:space="preserve"> </w:t>
      </w:r>
      <w:r w:rsidRPr="0088539B">
        <w:rPr>
          <w:rStyle w:val="hps"/>
          <w:rFonts w:cs="Arial"/>
          <w:i/>
          <w:color w:val="222222"/>
          <w:lang w:val="en"/>
        </w:rPr>
        <w:t>ucrainicae</w:t>
      </w:r>
      <w:r w:rsidRPr="0088539B">
        <w:rPr>
          <w:rFonts w:cs="Arial"/>
          <w:i/>
          <w:color w:val="222222"/>
          <w:lang w:val="en"/>
        </w:rPr>
        <w:t xml:space="preserve"> </w:t>
      </w:r>
      <w:r w:rsidRPr="0088539B">
        <w:rPr>
          <w:rStyle w:val="hps"/>
          <w:rFonts w:cs="Arial"/>
          <w:i/>
          <w:color w:val="222222"/>
          <w:lang w:val="en"/>
        </w:rPr>
        <w:t>Stipo</w:t>
      </w:r>
      <w:r w:rsidRPr="0088539B">
        <w:rPr>
          <w:rFonts w:cs="Arial"/>
          <w:i/>
          <w:color w:val="222222"/>
          <w:lang w:val="en"/>
        </w:rPr>
        <w:t xml:space="preserve"> </w:t>
      </w:r>
      <w:r w:rsidRPr="0088539B">
        <w:rPr>
          <w:rStyle w:val="hps"/>
          <w:rFonts w:cs="Arial"/>
          <w:i/>
          <w:color w:val="222222"/>
          <w:lang w:val="en"/>
        </w:rPr>
        <w:t>-</w:t>
      </w:r>
      <w:r w:rsidRPr="0088539B">
        <w:rPr>
          <w:rFonts w:cs="Arial"/>
          <w:i/>
          <w:color w:val="222222"/>
          <w:lang w:val="en"/>
        </w:rPr>
        <w:t xml:space="preserve"> </w:t>
      </w:r>
      <w:r w:rsidRPr="0088539B">
        <w:rPr>
          <w:rStyle w:val="hps"/>
          <w:rFonts w:cs="Arial"/>
          <w:i/>
          <w:color w:val="222222"/>
          <w:lang w:val="en"/>
        </w:rPr>
        <w:t>Festucetum</w:t>
      </w:r>
      <w:r w:rsidRPr="0088539B">
        <w:rPr>
          <w:rFonts w:cs="Arial"/>
          <w:i/>
          <w:color w:val="222222"/>
          <w:lang w:val="en"/>
        </w:rPr>
        <w:t xml:space="preserve"> </w:t>
      </w:r>
      <w:r w:rsidRPr="0088539B">
        <w:rPr>
          <w:rStyle w:val="hps"/>
          <w:rFonts w:cs="Arial"/>
          <w:i/>
          <w:color w:val="222222"/>
          <w:lang w:val="en"/>
        </w:rPr>
        <w:t>valesiacae</w:t>
      </w:r>
      <w:r w:rsidRPr="0088539B">
        <w:rPr>
          <w:rFonts w:cs="Arial"/>
          <w:i/>
          <w:color w:val="222222"/>
          <w:lang w:val="en"/>
        </w:rPr>
        <w:t xml:space="preserve">, </w:t>
      </w:r>
      <w:r w:rsidRPr="0088539B">
        <w:rPr>
          <w:rStyle w:val="hps"/>
          <w:rFonts w:cs="Arial"/>
          <w:i/>
          <w:color w:val="222222"/>
          <w:lang w:val="en"/>
        </w:rPr>
        <w:t>Bombycilaeno</w:t>
      </w:r>
      <w:r w:rsidRPr="0088539B">
        <w:rPr>
          <w:rFonts w:cs="Arial"/>
          <w:i/>
          <w:color w:val="222222"/>
          <w:lang w:val="en"/>
        </w:rPr>
        <w:t xml:space="preserve"> </w:t>
      </w:r>
      <w:r w:rsidRPr="0088539B">
        <w:rPr>
          <w:rStyle w:val="hps"/>
          <w:rFonts w:cs="Arial"/>
          <w:i/>
          <w:color w:val="222222"/>
          <w:lang w:val="en"/>
        </w:rPr>
        <w:t>-Botriochloetum</w:t>
      </w:r>
      <w:r w:rsidRPr="0088539B">
        <w:rPr>
          <w:rFonts w:cs="Arial"/>
          <w:i/>
          <w:color w:val="222222"/>
          <w:lang w:val="en"/>
        </w:rPr>
        <w:t xml:space="preserve"> </w:t>
      </w:r>
      <w:r w:rsidRPr="0088539B">
        <w:rPr>
          <w:rStyle w:val="hps"/>
          <w:rFonts w:cs="Arial"/>
          <w:i/>
          <w:color w:val="222222"/>
          <w:lang w:val="en"/>
        </w:rPr>
        <w:t>ischaemia</w:t>
      </w:r>
      <w:r w:rsidRPr="0088539B">
        <w:rPr>
          <w:rFonts w:cs="Arial"/>
          <w:i/>
          <w:color w:val="222222"/>
          <w:lang w:val="en"/>
        </w:rPr>
        <w:t xml:space="preserve">, </w:t>
      </w:r>
      <w:r w:rsidRPr="0088539B">
        <w:rPr>
          <w:rStyle w:val="hps"/>
          <w:rFonts w:cs="Arial"/>
          <w:i/>
          <w:color w:val="222222"/>
          <w:lang w:val="en"/>
        </w:rPr>
        <w:t>subasociaţiile</w:t>
      </w:r>
      <w:r w:rsidRPr="0088539B">
        <w:rPr>
          <w:rFonts w:cs="Arial"/>
          <w:i/>
          <w:color w:val="222222"/>
          <w:lang w:val="en"/>
        </w:rPr>
        <w:t xml:space="preserve"> </w:t>
      </w:r>
      <w:r w:rsidRPr="0088539B">
        <w:rPr>
          <w:rStyle w:val="hps"/>
          <w:rFonts w:cs="Arial"/>
          <w:i/>
          <w:color w:val="222222"/>
          <w:lang w:val="en"/>
        </w:rPr>
        <w:t>dobrogicum</w:t>
      </w:r>
      <w:r w:rsidRPr="0088539B">
        <w:rPr>
          <w:rFonts w:cs="Arial"/>
          <w:i/>
          <w:color w:val="222222"/>
          <w:lang w:val="en"/>
        </w:rPr>
        <w:t xml:space="preserve"> </w:t>
      </w:r>
      <w:r w:rsidRPr="0088539B">
        <w:rPr>
          <w:rStyle w:val="hps"/>
          <w:rFonts w:cs="Arial"/>
          <w:i/>
          <w:color w:val="222222"/>
          <w:lang w:val="en"/>
        </w:rPr>
        <w:t>of</w:t>
      </w:r>
      <w:r w:rsidRPr="0088539B">
        <w:rPr>
          <w:rFonts w:cs="Arial"/>
          <w:i/>
          <w:color w:val="222222"/>
          <w:lang w:val="en"/>
        </w:rPr>
        <w:t xml:space="preserve"> </w:t>
      </w:r>
      <w:r w:rsidRPr="0088539B">
        <w:rPr>
          <w:rStyle w:val="hps"/>
          <w:rFonts w:cs="Arial"/>
          <w:i/>
          <w:color w:val="222222"/>
          <w:lang w:val="en"/>
        </w:rPr>
        <w:t>coenotaxon</w:t>
      </w:r>
      <w:r w:rsidRPr="0088539B">
        <w:rPr>
          <w:rFonts w:cs="Arial"/>
          <w:i/>
          <w:color w:val="222222"/>
          <w:lang w:val="en"/>
        </w:rPr>
        <w:t xml:space="preserve"> </w:t>
      </w:r>
      <w:r w:rsidRPr="0088539B">
        <w:rPr>
          <w:rStyle w:val="hps"/>
          <w:rFonts w:cs="Arial"/>
          <w:i/>
          <w:color w:val="222222"/>
          <w:lang w:val="en"/>
        </w:rPr>
        <w:t>Stipetum</w:t>
      </w:r>
      <w:r w:rsidRPr="0088539B">
        <w:rPr>
          <w:rFonts w:cs="Arial"/>
          <w:i/>
          <w:color w:val="222222"/>
          <w:lang w:val="en"/>
        </w:rPr>
        <w:t xml:space="preserve"> </w:t>
      </w:r>
      <w:r w:rsidRPr="0088539B">
        <w:rPr>
          <w:rStyle w:val="hps"/>
          <w:rFonts w:cs="Arial"/>
          <w:i/>
          <w:color w:val="222222"/>
          <w:lang w:val="en"/>
        </w:rPr>
        <w:t>capillatae</w:t>
      </w:r>
      <w:r w:rsidRPr="0088539B">
        <w:rPr>
          <w:rFonts w:cs="Arial"/>
          <w:i/>
          <w:color w:val="222222"/>
          <w:lang w:val="en"/>
        </w:rPr>
        <w:t xml:space="preserve">, </w:t>
      </w:r>
      <w:r w:rsidRPr="0088539B">
        <w:rPr>
          <w:rStyle w:val="hps"/>
          <w:rFonts w:cs="Arial"/>
          <w:i/>
          <w:color w:val="222222"/>
          <w:lang w:val="en"/>
        </w:rPr>
        <w:t>Thymio</w:t>
      </w:r>
      <w:r w:rsidRPr="0088539B">
        <w:rPr>
          <w:rFonts w:cs="Arial"/>
          <w:i/>
          <w:color w:val="222222"/>
          <w:lang w:val="en"/>
        </w:rPr>
        <w:t xml:space="preserve"> </w:t>
      </w:r>
      <w:r w:rsidRPr="0088539B">
        <w:rPr>
          <w:rStyle w:val="hps"/>
          <w:rFonts w:cs="Arial"/>
          <w:i/>
          <w:color w:val="222222"/>
          <w:lang w:val="en"/>
        </w:rPr>
        <w:t>Pannonian</w:t>
      </w:r>
      <w:r w:rsidRPr="0088539B">
        <w:rPr>
          <w:rFonts w:cs="Arial"/>
          <w:i/>
          <w:color w:val="222222"/>
          <w:lang w:val="en"/>
        </w:rPr>
        <w:t xml:space="preserve"> </w:t>
      </w:r>
      <w:r w:rsidRPr="0088539B">
        <w:rPr>
          <w:rStyle w:val="hps"/>
          <w:rFonts w:cs="Arial"/>
          <w:i/>
          <w:color w:val="222222"/>
          <w:lang w:val="en"/>
        </w:rPr>
        <w:t>-</w:t>
      </w:r>
      <w:r w:rsidRPr="0088539B">
        <w:rPr>
          <w:rFonts w:cs="Arial"/>
          <w:i/>
          <w:color w:val="222222"/>
          <w:lang w:val="en"/>
        </w:rPr>
        <w:t xml:space="preserve"> </w:t>
      </w:r>
      <w:r w:rsidRPr="0088539B">
        <w:rPr>
          <w:rStyle w:val="hps"/>
          <w:rFonts w:cs="Arial"/>
          <w:i/>
          <w:color w:val="222222"/>
          <w:lang w:val="en"/>
        </w:rPr>
        <w:t>Chrysopogonetum</w:t>
      </w:r>
      <w:r w:rsidRPr="0088539B">
        <w:rPr>
          <w:rFonts w:cs="Arial"/>
          <w:i/>
          <w:color w:val="222222"/>
          <w:lang w:val="en"/>
        </w:rPr>
        <w:t xml:space="preserve"> </w:t>
      </w:r>
      <w:r w:rsidRPr="0088539B">
        <w:rPr>
          <w:rStyle w:val="hps"/>
          <w:rFonts w:cs="Arial"/>
          <w:i/>
          <w:color w:val="222222"/>
          <w:lang w:val="en"/>
        </w:rPr>
        <w:t>grylli</w:t>
      </w:r>
      <w:r>
        <w:rPr>
          <w:rFonts w:cs="Arial"/>
          <w:color w:val="222222"/>
          <w:lang w:val="en"/>
        </w:rPr>
        <w:t xml:space="preserve"> </w:t>
      </w:r>
      <w:r>
        <w:rPr>
          <w:rStyle w:val="hps"/>
          <w:rFonts w:cs="Arial"/>
          <w:color w:val="222222"/>
          <w:lang w:val="en"/>
        </w:rPr>
        <w:t>Dihoru</w:t>
      </w:r>
      <w:r>
        <w:rPr>
          <w:rFonts w:cs="Arial"/>
          <w:color w:val="222222"/>
          <w:lang w:val="en"/>
        </w:rPr>
        <w:t xml:space="preserve">, </w:t>
      </w:r>
      <w:r>
        <w:rPr>
          <w:rStyle w:val="hps"/>
          <w:rFonts w:cs="Arial"/>
          <w:color w:val="222222"/>
          <w:lang w:val="en"/>
        </w:rPr>
        <w:t>Doniţă</w:t>
      </w:r>
      <w:r>
        <w:rPr>
          <w:rFonts w:cs="Arial"/>
          <w:color w:val="222222"/>
          <w:lang w:val="en"/>
        </w:rPr>
        <w:t xml:space="preserve">, 1970, </w:t>
      </w:r>
      <w:r>
        <w:rPr>
          <w:rStyle w:val="hps"/>
          <w:rFonts w:cs="Arial"/>
          <w:color w:val="222222"/>
          <w:lang w:val="en"/>
        </w:rPr>
        <w:t>Horeanu</w:t>
      </w:r>
      <w:r>
        <w:rPr>
          <w:rFonts w:cs="Arial"/>
          <w:color w:val="222222"/>
          <w:lang w:val="en"/>
        </w:rPr>
        <w:t>, 1976).</w:t>
      </w:r>
    </w:p>
    <w:p w:rsidR="00511045" w:rsidRDefault="00511045" w:rsidP="00511045">
      <w:pPr>
        <w:pStyle w:val="Heading1"/>
        <w:rPr>
          <w:rFonts w:ascii="Arial" w:hAnsi="Arial" w:cs="Arial"/>
          <w:sz w:val="24"/>
          <w:szCs w:val="24"/>
          <w:lang w:val="en-US" w:eastAsia="ro-RO"/>
        </w:rPr>
      </w:pPr>
      <w:bookmarkStart w:id="28" w:name="_Toc419704932"/>
      <w:r>
        <w:rPr>
          <w:rFonts w:ascii="Arial" w:hAnsi="Arial" w:cs="Arial"/>
          <w:sz w:val="24"/>
          <w:szCs w:val="24"/>
          <w:lang w:val="en-US" w:eastAsia="ro-RO"/>
        </w:rPr>
        <w:t>UKRAINE</w:t>
      </w:r>
      <w:bookmarkEnd w:id="28"/>
    </w:p>
    <w:p w:rsidR="00511045" w:rsidRDefault="00511045" w:rsidP="00511045">
      <w:pPr>
        <w:tabs>
          <w:tab w:val="left" w:pos="1002"/>
        </w:tabs>
        <w:autoSpaceDE w:val="0"/>
        <w:autoSpaceDN w:val="0"/>
        <w:adjustRightInd w:val="0"/>
        <w:spacing w:before="60" w:after="60" w:line="288" w:lineRule="auto"/>
        <w:jc w:val="both"/>
        <w:rPr>
          <w:rFonts w:cs="Arial"/>
        </w:rPr>
      </w:pPr>
      <w:r>
        <w:rPr>
          <w:rFonts w:cs="Arial"/>
          <w:b/>
        </w:rPr>
        <w:tab/>
      </w:r>
      <w:r>
        <w:rPr>
          <w:rFonts w:cs="Arial"/>
        </w:rPr>
        <w:t>Information on biodiversity in Ukraine were taken from documents found on the following websites:</w:t>
      </w:r>
    </w:p>
    <w:p w:rsidR="00511045" w:rsidRDefault="00511045" w:rsidP="00511045">
      <w:pPr>
        <w:tabs>
          <w:tab w:val="left" w:pos="1002"/>
        </w:tabs>
        <w:autoSpaceDE w:val="0"/>
        <w:autoSpaceDN w:val="0"/>
        <w:adjustRightInd w:val="0"/>
        <w:spacing w:before="60" w:after="60" w:line="288" w:lineRule="auto"/>
        <w:jc w:val="both"/>
        <w:rPr>
          <w:rFonts w:cs="Arial"/>
        </w:rPr>
      </w:pPr>
      <w:r>
        <w:rPr>
          <w:rFonts w:cs="Arial"/>
        </w:rPr>
        <w:t>•</w:t>
      </w:r>
      <w:r>
        <w:rPr>
          <w:rFonts w:cs="Arial"/>
        </w:rPr>
        <w:tab/>
      </w:r>
      <w:hyperlink r:id="rId67" w:history="1">
        <w:r w:rsidRPr="00107796">
          <w:rPr>
            <w:rStyle w:val="Hyperlink"/>
            <w:rFonts w:cs="Arial"/>
          </w:rPr>
          <w:t>http://ypef.eu/files/booklet/ang/ukraine.pdf</w:t>
        </w:r>
      </w:hyperlink>
      <w:r>
        <w:rPr>
          <w:rFonts w:cs="Arial"/>
        </w:rPr>
        <w:t xml:space="preserve">   </w:t>
      </w:r>
    </w:p>
    <w:p w:rsidR="00511045" w:rsidRDefault="00511045" w:rsidP="00511045">
      <w:pPr>
        <w:tabs>
          <w:tab w:val="left" w:pos="1002"/>
        </w:tabs>
        <w:autoSpaceDE w:val="0"/>
        <w:autoSpaceDN w:val="0"/>
        <w:adjustRightInd w:val="0"/>
        <w:spacing w:before="60" w:after="60" w:line="288" w:lineRule="auto"/>
        <w:jc w:val="both"/>
        <w:rPr>
          <w:rFonts w:cs="Arial"/>
        </w:rPr>
      </w:pPr>
      <w:r>
        <w:rPr>
          <w:rFonts w:cs="Arial"/>
        </w:rPr>
        <w:t>•</w:t>
      </w:r>
      <w:r>
        <w:rPr>
          <w:rFonts w:cs="Arial"/>
        </w:rPr>
        <w:tab/>
      </w:r>
      <w:hyperlink r:id="rId68" w:history="1">
        <w:r w:rsidRPr="00107796">
          <w:rPr>
            <w:rStyle w:val="Hyperlink"/>
            <w:rFonts w:cs="Arial"/>
          </w:rPr>
          <w:t>http://www.brucebyersconsulting.com/wp-content/uploads/2011/07/Ukraine-Biodiversity-Analysis-Report-1-2011.pdf</w:t>
        </w:r>
      </w:hyperlink>
      <w:r>
        <w:rPr>
          <w:rFonts w:cs="Arial"/>
        </w:rPr>
        <w:t xml:space="preserve"> </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20"/>
        <w:jc w:val="both"/>
        <w:rPr>
          <w:rFonts w:cs="Arial"/>
        </w:rPr>
      </w:pPr>
      <w:r>
        <w:rPr>
          <w:rFonts w:cs="Arial"/>
        </w:rPr>
        <w:t xml:space="preserve">Biodiversity of Ukraine consists of 27 000 </w:t>
      </w:r>
      <w:r>
        <w:rPr>
          <w:rFonts w:cs="Arial"/>
          <w:b/>
        </w:rPr>
        <w:t>flora species</w:t>
      </w:r>
      <w:r>
        <w:rPr>
          <w:rFonts w:cs="Arial"/>
        </w:rPr>
        <w:t xml:space="preserve"> namely: species of algae, bryophytes species and species of vascular plants.</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20"/>
        <w:jc w:val="both"/>
        <w:rPr>
          <w:rFonts w:cs="Arial"/>
        </w:rPr>
      </w:pPr>
      <w:r>
        <w:rPr>
          <w:rFonts w:cs="Arial"/>
          <w:b/>
        </w:rPr>
        <w:t>Fauna include</w:t>
      </w:r>
      <w:r>
        <w:rPr>
          <w:rFonts w:cs="Arial"/>
        </w:rPr>
        <w:t>: species of insects, fish, amphibians, reptiles, birds and mammals. Therefore, Ukraine can be considered one of the most powerful natural reservations necessary to restore biodiversity in Europe.</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cs="Arial"/>
          <w:lang w:eastAsia="x-none"/>
        </w:rPr>
      </w:pPr>
      <w:r>
        <w:rPr>
          <w:rFonts w:cs="Arial"/>
          <w:lang w:eastAsia="x-none"/>
        </w:rPr>
        <w:t xml:space="preserve">The only natural resources in Ukraine are </w:t>
      </w:r>
      <w:r>
        <w:rPr>
          <w:rFonts w:cs="Arial"/>
          <w:b/>
          <w:lang w:eastAsia="x-none"/>
        </w:rPr>
        <w:t>Crimea and the Carpathians.</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20"/>
        <w:jc w:val="both"/>
        <w:rPr>
          <w:rFonts w:cs="Arial"/>
        </w:rPr>
      </w:pPr>
      <w:r>
        <w:rPr>
          <w:rFonts w:cs="Arial"/>
          <w:b/>
          <w:i/>
        </w:rPr>
        <w:t>Ukrainian Carpathians</w:t>
      </w:r>
      <w:r>
        <w:rPr>
          <w:rFonts w:cs="Arial"/>
        </w:rPr>
        <w:t xml:space="preserve"> are also called “Eastern Carpathians " or Wooded Carpathians, mainly in their territory area, while Romanians use the term Eastern Carpathians ( Eastern Carpathians ) to refer to the area covered by the border with Ukraine to the south.</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eastAsia="x-none"/>
        </w:rPr>
      </w:pPr>
      <w:r>
        <w:rPr>
          <w:rFonts w:cs="Arial"/>
          <w:lang w:eastAsia="x-none"/>
        </w:rPr>
        <w:tab/>
      </w:r>
      <w:r>
        <w:rPr>
          <w:rFonts w:cs="Arial"/>
          <w:b/>
          <w:i/>
          <w:lang w:eastAsia="x-none"/>
        </w:rPr>
        <w:t>Crimean Peninsula</w:t>
      </w:r>
      <w:r>
        <w:rPr>
          <w:rFonts w:cs="Arial"/>
          <w:lang w:eastAsia="x-none"/>
        </w:rPr>
        <w:t xml:space="preserve"> known as the Crimea is located on the northern coast of the Black Sea. Peninsula is located south of the Herson region of Ukraine and west of the Kuban region of Russia. She is joined with Herson region by the Isthmus of Perekop and separated of Kuban by the Strait of Kerci. Peninsula is surrounded by two seas: the Black Sea (west and south) and Azov Sea (east).</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20"/>
        <w:jc w:val="both"/>
        <w:rPr>
          <w:rFonts w:cs="Arial"/>
        </w:rPr>
      </w:pPr>
      <w:r>
        <w:rPr>
          <w:rFonts w:cs="Arial"/>
        </w:rPr>
        <w:t>Ukraine pays special attention to the conservation of biological and landscape diversity and creating a national ecological network of protected areas.</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20"/>
        <w:jc w:val="both"/>
        <w:rPr>
          <w:rFonts w:cs="Arial"/>
        </w:rPr>
      </w:pPr>
      <w:r>
        <w:rPr>
          <w:rFonts w:cs="Arial"/>
        </w:rPr>
        <w:t>Special attention is paid to the development of a network of natural reserve. This development was based on the law on “environmental protection" (1991 )  and " Nature Reserve Fund of Ukraine " (1992 ) and then " ecological network of Ukraine" ( 2004).</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20"/>
        <w:jc w:val="both"/>
        <w:rPr>
          <w:rFonts w:cs="Arial"/>
        </w:rPr>
      </w:pPr>
      <w:r>
        <w:rPr>
          <w:rFonts w:cs="Arial"/>
        </w:rPr>
        <w:t>In 1991, protected areas accounted for only 1.9 % of the Ukraine surface, in 2007 , protected areas representing  4.6 % and in 2008 the protected areas increased to 4.95 % , followed in 2009 to reaches at 5 2% and in 2010 to 5.4% .</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20"/>
        <w:jc w:val="both"/>
        <w:rPr>
          <w:rFonts w:cs="Arial"/>
        </w:rPr>
      </w:pPr>
      <w:r>
        <w:rPr>
          <w:rFonts w:cs="Arial"/>
        </w:rPr>
        <w:lastRenderedPageBreak/>
        <w:t xml:space="preserve">Since January 2011, the nature reserve of Ukraine had a total of 7739 zone, with a surface of </w:t>
      </w:r>
      <w:r>
        <w:rPr>
          <w:rFonts w:ascii="Cambria Math" w:hAnsi="Cambria Math" w:cs="Cambria Math"/>
        </w:rPr>
        <w:t>​​</w:t>
      </w:r>
      <w:r>
        <w:rPr>
          <w:rFonts w:cs="Arial"/>
        </w:rPr>
        <w:t xml:space="preserve">3,458,900 ha on Ukraine territory and 402,500 ha in the Black Sea (botanically reservation). The structure of biodiversity areas includes: four biosphere reserves, 47 national parks, 307 nature reserves, 132 natural monuments, 18 botanical gardens and 7 zoologically parks. </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64" w:lineRule="auto"/>
        <w:ind w:firstLine="720"/>
        <w:jc w:val="both"/>
        <w:rPr>
          <w:rFonts w:cs="Arial"/>
        </w:rPr>
      </w:pPr>
      <w:r>
        <w:rPr>
          <w:rFonts w:cs="Arial"/>
        </w:rPr>
        <w:t>In order to create new protected areas in 2011, the request for the establishment of national parks was approved, namely:</w:t>
      </w:r>
    </w:p>
    <w:p w:rsidR="00511045" w:rsidRDefault="00511045" w:rsidP="00511045">
      <w:pPr>
        <w:numPr>
          <w:ilvl w:val="0"/>
          <w:numId w:val="21"/>
        </w:numPr>
        <w:tabs>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64" w:lineRule="auto"/>
        <w:jc w:val="both"/>
        <w:rPr>
          <w:rFonts w:cs="Arial"/>
        </w:rPr>
      </w:pPr>
      <w:r>
        <w:rPr>
          <w:rFonts w:cs="Arial"/>
          <w:i/>
        </w:rPr>
        <w:t>Odessa</w:t>
      </w:r>
      <w:r>
        <w:rPr>
          <w:rFonts w:cs="Arial"/>
        </w:rPr>
        <w:t>: National park  Kuialnyk  and Nipru –Desnyansko;</w:t>
      </w:r>
    </w:p>
    <w:p w:rsidR="00511045" w:rsidRDefault="00511045" w:rsidP="00511045">
      <w:pPr>
        <w:numPr>
          <w:ilvl w:val="0"/>
          <w:numId w:val="21"/>
        </w:numPr>
        <w:tabs>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64" w:lineRule="auto"/>
        <w:jc w:val="both"/>
        <w:rPr>
          <w:rFonts w:cs="Arial"/>
        </w:rPr>
      </w:pPr>
      <w:r>
        <w:rPr>
          <w:rFonts w:cs="Arial"/>
          <w:i/>
        </w:rPr>
        <w:t>Vinnytsia:</w:t>
      </w:r>
      <w:r>
        <w:rPr>
          <w:rFonts w:cs="Arial"/>
        </w:rPr>
        <w:t xml:space="preserve"> National park Podolski; </w:t>
      </w:r>
    </w:p>
    <w:p w:rsidR="00511045" w:rsidRDefault="00511045" w:rsidP="00511045">
      <w:pPr>
        <w:numPr>
          <w:ilvl w:val="0"/>
          <w:numId w:val="21"/>
        </w:numPr>
        <w:tabs>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64" w:lineRule="auto"/>
        <w:jc w:val="both"/>
        <w:rPr>
          <w:rFonts w:cs="Arial"/>
        </w:rPr>
      </w:pPr>
      <w:r>
        <w:rPr>
          <w:rFonts w:cs="Arial"/>
          <w:i/>
        </w:rPr>
        <w:t>Kherson</w:t>
      </w:r>
      <w:r>
        <w:rPr>
          <w:rFonts w:cs="Arial"/>
        </w:rPr>
        <w:t xml:space="preserve"> –botanically reservation;</w:t>
      </w:r>
    </w:p>
    <w:p w:rsidR="00511045" w:rsidRDefault="00511045" w:rsidP="00511045">
      <w:pPr>
        <w:numPr>
          <w:ilvl w:val="0"/>
          <w:numId w:val="21"/>
        </w:numPr>
        <w:tabs>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64" w:lineRule="auto"/>
        <w:ind w:left="990" w:hanging="270"/>
        <w:jc w:val="both"/>
        <w:rPr>
          <w:rFonts w:cs="Arial"/>
        </w:rPr>
      </w:pPr>
      <w:r>
        <w:rPr>
          <w:rFonts w:cs="Arial"/>
          <w:i/>
        </w:rPr>
        <w:t>Ternopil:</w:t>
      </w:r>
      <w:r>
        <w:rPr>
          <w:rFonts w:cs="Arial"/>
        </w:rPr>
        <w:t xml:space="preserve"> National park Valea.</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64" w:lineRule="auto"/>
        <w:ind w:firstLine="720"/>
        <w:jc w:val="both"/>
        <w:rPr>
          <w:rFonts w:cs="Arial"/>
        </w:rPr>
      </w:pP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64" w:lineRule="auto"/>
        <w:ind w:firstLine="720"/>
        <w:jc w:val="both"/>
        <w:rPr>
          <w:rFonts w:cs="Arial"/>
        </w:rPr>
      </w:pPr>
      <w:r>
        <w:rPr>
          <w:rFonts w:cs="Arial"/>
        </w:rPr>
        <w:tab/>
        <w:t>In addition, a protection zone was established in Medoborskyy from Ternopil region and the National Park - Dvurechansky was extended from Kharkiv region. It was established reserve of local importance "Big Wood" - Kiev region and the territory of the landscape reserve of local importance " Samsonov Plant" in Lugansk region was expanded .</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64" w:lineRule="auto"/>
        <w:ind w:firstLine="720"/>
        <w:jc w:val="both"/>
        <w:rPr>
          <w:rFonts w:cs="Arial"/>
        </w:rPr>
      </w:pPr>
      <w:r>
        <w:rPr>
          <w:rFonts w:cs="Arial"/>
        </w:rPr>
        <w:t xml:space="preserve">An agreement between the Government of Ukraine, the Government of Belarus and the Government of the Republic of Poland regarding the establishment of transboundary biosphere reserve "Western Polesie "  was concluded. </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64" w:lineRule="auto"/>
        <w:ind w:firstLine="720"/>
        <w:jc w:val="both"/>
        <w:rPr>
          <w:rFonts w:cs="Arial"/>
        </w:rPr>
      </w:pPr>
      <w:r>
        <w:rPr>
          <w:rFonts w:cs="Arial"/>
        </w:rPr>
        <w:t>The forests of Ukraine are located in different wildernesses : Polesie , forest-steppe , steppe , and the Ukrainian Carpathians mountains of Crimea , the difference regarding afforestation and forest management is important.</w:t>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cs="Arial"/>
        </w:rPr>
      </w:pPr>
      <w:r w:rsidRPr="002E01ED">
        <w:rPr>
          <w:rFonts w:cs="Arial"/>
          <w:noProof/>
          <w:lang w:val="en-US" w:eastAsia="en-US"/>
        </w:rPr>
        <w:drawing>
          <wp:inline distT="0" distB="0" distL="0" distR="0" wp14:anchorId="2F4A8A50" wp14:editId="59A8E5B8">
            <wp:extent cx="5936615" cy="2087880"/>
            <wp:effectExtent l="0" t="0" r="6985" b="7620"/>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6615" cy="2087880"/>
                    </a:xfrm>
                    <a:prstGeom prst="rect">
                      <a:avLst/>
                    </a:prstGeom>
                    <a:noFill/>
                    <a:ln>
                      <a:noFill/>
                    </a:ln>
                  </pic:spPr>
                </pic:pic>
              </a:graphicData>
            </a:graphic>
          </wp:inline>
        </w:drawing>
      </w: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Arial"/>
          <w:b/>
          <w:lang w:eastAsia="x-none"/>
        </w:rPr>
      </w:pPr>
      <w:r>
        <w:rPr>
          <w:rFonts w:cs="Arial"/>
          <w:b/>
          <w:lang w:eastAsia="x-none"/>
        </w:rPr>
        <w:t xml:space="preserve">Figure nr. 5.6 </w:t>
      </w:r>
      <w:r>
        <w:rPr>
          <w:rFonts w:cs="Arial"/>
          <w:lang w:eastAsia="x-none"/>
        </w:rPr>
        <w:t>The species of flora and fauna typical of Ukrainian forests</w:t>
      </w:r>
    </w:p>
    <w:p w:rsidR="00511045" w:rsidRDefault="00511045" w:rsidP="00511045">
      <w:pPr>
        <w:autoSpaceDE w:val="0"/>
        <w:autoSpaceDN w:val="0"/>
        <w:adjustRightInd w:val="0"/>
        <w:spacing w:before="60" w:after="60" w:line="288" w:lineRule="auto"/>
        <w:ind w:firstLine="851"/>
        <w:jc w:val="both"/>
        <w:rPr>
          <w:rFonts w:cs="Arial"/>
        </w:rPr>
      </w:pPr>
    </w:p>
    <w:p w:rsidR="00511045" w:rsidRDefault="00511045" w:rsidP="00511045">
      <w:pPr>
        <w:autoSpaceDE w:val="0"/>
        <w:autoSpaceDN w:val="0"/>
        <w:adjustRightInd w:val="0"/>
        <w:spacing w:before="60" w:after="60" w:line="288" w:lineRule="auto"/>
        <w:ind w:firstLine="851"/>
        <w:jc w:val="both"/>
        <w:rPr>
          <w:rFonts w:cs="Arial"/>
        </w:rPr>
      </w:pPr>
      <w:r>
        <w:rPr>
          <w:rFonts w:cs="Arial"/>
        </w:rPr>
        <w:t>The forests of Ukraine are distributed unevenly. They are mostly concentrated in the Ukrainians’ Carpathians and also in Polesie region. The Trans Carpathian region with forests of fir (Abies ) is known as the most forested region of Ukraine .</w:t>
      </w:r>
    </w:p>
    <w:p w:rsidR="00511045" w:rsidRDefault="00511045" w:rsidP="00511045">
      <w:pPr>
        <w:autoSpaceDE w:val="0"/>
        <w:autoSpaceDN w:val="0"/>
        <w:adjustRightInd w:val="0"/>
        <w:spacing w:before="60" w:after="60" w:line="288" w:lineRule="auto"/>
        <w:ind w:firstLine="851"/>
        <w:jc w:val="both"/>
        <w:rPr>
          <w:rFonts w:cs="Arial"/>
        </w:rPr>
      </w:pPr>
      <w:r>
        <w:rPr>
          <w:rFonts w:cs="Arial"/>
        </w:rPr>
        <w:t>The forest flora of Ukraine is very rich due to the diversity of climate zones.</w:t>
      </w:r>
    </w:p>
    <w:p w:rsidR="00511045" w:rsidRDefault="00511045" w:rsidP="00511045">
      <w:pPr>
        <w:autoSpaceDE w:val="0"/>
        <w:autoSpaceDN w:val="0"/>
        <w:adjustRightInd w:val="0"/>
        <w:spacing w:before="60" w:after="60" w:line="288" w:lineRule="auto"/>
        <w:ind w:firstLine="851"/>
        <w:jc w:val="both"/>
        <w:rPr>
          <w:rFonts w:cs="Arial"/>
        </w:rPr>
      </w:pPr>
      <w:r>
        <w:rPr>
          <w:rFonts w:cs="Arial"/>
        </w:rPr>
        <w:t>The forests of Ukraine are made up of more than 30 types of tree species, dominated by pine (</w:t>
      </w:r>
      <w:r w:rsidRPr="0088539B">
        <w:rPr>
          <w:rFonts w:cs="Arial"/>
          <w:i/>
        </w:rPr>
        <w:t>Pinus sylvestris</w:t>
      </w:r>
      <w:r>
        <w:rPr>
          <w:rFonts w:cs="Arial"/>
        </w:rPr>
        <w:t xml:space="preserve"> ) in which, until recently pine sap - extracted turpentine, oak (</w:t>
      </w:r>
      <w:r w:rsidRPr="0088539B">
        <w:rPr>
          <w:rFonts w:cs="Arial"/>
          <w:i/>
        </w:rPr>
        <w:t>Quercus robur</w:t>
      </w:r>
      <w:r>
        <w:rPr>
          <w:rFonts w:cs="Arial"/>
        </w:rPr>
        <w:t xml:space="preserve"> ) , beech ( </w:t>
      </w:r>
      <w:r w:rsidRPr="0088539B">
        <w:rPr>
          <w:rFonts w:cs="Arial"/>
          <w:i/>
        </w:rPr>
        <w:t>Fagus sylvatica</w:t>
      </w:r>
      <w:r>
        <w:rPr>
          <w:rFonts w:cs="Arial"/>
        </w:rPr>
        <w:t xml:space="preserve"> ) spruce (</w:t>
      </w:r>
      <w:r w:rsidRPr="0088539B">
        <w:rPr>
          <w:rFonts w:cs="Arial"/>
          <w:i/>
        </w:rPr>
        <w:t>Picea abies</w:t>
      </w:r>
      <w:r>
        <w:rPr>
          <w:rFonts w:cs="Arial"/>
        </w:rPr>
        <w:t xml:space="preserve"> ) , birch ( </w:t>
      </w:r>
      <w:r w:rsidRPr="0088539B">
        <w:rPr>
          <w:rFonts w:cs="Arial"/>
          <w:i/>
        </w:rPr>
        <w:t>Betula pendula</w:t>
      </w:r>
      <w:r>
        <w:rPr>
          <w:rFonts w:cs="Arial"/>
        </w:rPr>
        <w:t xml:space="preserve">) , alder ( </w:t>
      </w:r>
      <w:r w:rsidRPr="0088539B">
        <w:rPr>
          <w:rFonts w:cs="Arial"/>
          <w:i/>
        </w:rPr>
        <w:t>Alnus glutinosa</w:t>
      </w:r>
      <w:r>
        <w:rPr>
          <w:rFonts w:cs="Arial"/>
        </w:rPr>
        <w:t xml:space="preserve"> ) , ash ( </w:t>
      </w:r>
      <w:r w:rsidRPr="0088539B">
        <w:rPr>
          <w:rFonts w:cs="Arial"/>
          <w:i/>
        </w:rPr>
        <w:t>Fraxinus excelsior</w:t>
      </w:r>
      <w:r>
        <w:rPr>
          <w:rFonts w:cs="Arial"/>
        </w:rPr>
        <w:t xml:space="preserve"> ) , hornbeam ( </w:t>
      </w:r>
      <w:r w:rsidRPr="0088539B">
        <w:rPr>
          <w:rFonts w:cs="Arial"/>
          <w:i/>
        </w:rPr>
        <w:t>Carpinus betulus</w:t>
      </w:r>
      <w:r>
        <w:rPr>
          <w:rFonts w:cs="Arial"/>
        </w:rPr>
        <w:t xml:space="preserve"> ) , fir (</w:t>
      </w:r>
      <w:r w:rsidRPr="0088539B">
        <w:rPr>
          <w:rFonts w:cs="Arial"/>
          <w:i/>
        </w:rPr>
        <w:t>Abies alba</w:t>
      </w:r>
      <w:r>
        <w:rPr>
          <w:rFonts w:cs="Arial"/>
        </w:rPr>
        <w:t>) .</w:t>
      </w:r>
    </w:p>
    <w:p w:rsidR="00511045" w:rsidRDefault="00511045" w:rsidP="00511045">
      <w:pPr>
        <w:autoSpaceDE w:val="0"/>
        <w:autoSpaceDN w:val="0"/>
        <w:adjustRightInd w:val="0"/>
        <w:spacing w:before="60" w:after="60" w:line="288" w:lineRule="auto"/>
        <w:ind w:firstLine="851"/>
        <w:jc w:val="both"/>
        <w:rPr>
          <w:rFonts w:cs="Arial"/>
        </w:rPr>
      </w:pPr>
      <w:r>
        <w:rPr>
          <w:rFonts w:cs="Arial"/>
        </w:rPr>
        <w:lastRenderedPageBreak/>
        <w:t>Coniferous forest occupies 42 % of the total surface, pine forests occupy 33%. Deciduous forests occupy 43% and beech and oak forests occupy 32%.</w:t>
      </w:r>
    </w:p>
    <w:p w:rsidR="00511045" w:rsidRDefault="00511045" w:rsidP="00511045">
      <w:pPr>
        <w:autoSpaceDE w:val="0"/>
        <w:autoSpaceDN w:val="0"/>
        <w:adjustRightInd w:val="0"/>
        <w:spacing w:before="60" w:after="60" w:line="288" w:lineRule="auto"/>
        <w:ind w:firstLine="851"/>
        <w:jc w:val="both"/>
        <w:rPr>
          <w:rFonts w:cs="Arial"/>
        </w:rPr>
      </w:pPr>
      <w:r>
        <w:rPr>
          <w:rFonts w:cs="Arial"/>
        </w:rPr>
        <w:t>Fauna of Ukraine is historically formed as part of the ecosystem. The most common ungulates are hunted in Ukrainian forests and they are of many types and are presented below: European roe deer (143,600 copies) , wild boar (58,600 copies), moose (5600 copies) , deer (16 000 copies) , deer skipjack (4300 copies), deer (3400 copies) and muflon (500 copies)  .</w:t>
      </w:r>
    </w:p>
    <w:p w:rsidR="00511045" w:rsidRDefault="00511045" w:rsidP="00511045">
      <w:pPr>
        <w:autoSpaceDE w:val="0"/>
        <w:autoSpaceDN w:val="0"/>
        <w:adjustRightInd w:val="0"/>
        <w:spacing w:before="60" w:after="60" w:line="288" w:lineRule="auto"/>
        <w:jc w:val="both"/>
        <w:rPr>
          <w:rFonts w:cs="Arial"/>
        </w:rPr>
      </w:pPr>
    </w:p>
    <w:p w:rsidR="00511045" w:rsidRDefault="00511045" w:rsidP="00511045">
      <w:pPr>
        <w:autoSpaceDE w:val="0"/>
        <w:autoSpaceDN w:val="0"/>
        <w:adjustRightInd w:val="0"/>
        <w:spacing w:before="60" w:after="60" w:line="288" w:lineRule="auto"/>
        <w:jc w:val="center"/>
        <w:rPr>
          <w:rFonts w:cs="Arial"/>
        </w:rPr>
      </w:pPr>
      <w:r w:rsidRPr="002E01ED">
        <w:rPr>
          <w:rFonts w:cs="Arial"/>
          <w:noProof/>
          <w:lang w:val="en-US" w:eastAsia="en-US"/>
        </w:rPr>
        <w:drawing>
          <wp:inline distT="0" distB="0" distL="0" distR="0" wp14:anchorId="3F81A8B3" wp14:editId="6C31A13C">
            <wp:extent cx="4285615" cy="3180080"/>
            <wp:effectExtent l="19050" t="19050" r="19685" b="20320"/>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85615" cy="3180080"/>
                    </a:xfrm>
                    <a:prstGeom prst="rect">
                      <a:avLst/>
                    </a:prstGeom>
                    <a:noFill/>
                    <a:ln w="6350" cmpd="sng">
                      <a:solidFill>
                        <a:srgbClr val="000000"/>
                      </a:solidFill>
                      <a:miter lim="800000"/>
                      <a:headEnd/>
                      <a:tailEnd/>
                    </a:ln>
                    <a:effectLst/>
                  </pic:spPr>
                </pic:pic>
              </a:graphicData>
            </a:graphic>
          </wp:inline>
        </w:drawing>
      </w:r>
    </w:p>
    <w:p w:rsidR="00511045" w:rsidRDefault="00511045" w:rsidP="00511045">
      <w:pPr>
        <w:autoSpaceDE w:val="0"/>
        <w:autoSpaceDN w:val="0"/>
        <w:adjustRightInd w:val="0"/>
        <w:spacing w:before="60" w:after="60" w:line="288" w:lineRule="auto"/>
        <w:ind w:firstLine="851"/>
        <w:jc w:val="center"/>
        <w:rPr>
          <w:rFonts w:cs="Arial"/>
        </w:rPr>
      </w:pPr>
      <w:r>
        <w:rPr>
          <w:rFonts w:cs="Arial"/>
          <w:b/>
        </w:rPr>
        <w:t xml:space="preserve">Figure nr. 5.7 </w:t>
      </w:r>
      <w:r>
        <w:rPr>
          <w:rFonts w:cs="Arial"/>
        </w:rPr>
        <w:t>The distribution of tree species in Ukraine</w:t>
      </w:r>
    </w:p>
    <w:p w:rsidR="00511045" w:rsidRDefault="00511045" w:rsidP="00511045">
      <w:pPr>
        <w:spacing w:before="60" w:after="60" w:line="288" w:lineRule="auto"/>
        <w:ind w:firstLine="360"/>
        <w:jc w:val="both"/>
        <w:rPr>
          <w:b/>
          <w:snapToGrid w:val="0"/>
          <w:position w:val="-6"/>
        </w:rPr>
      </w:pPr>
    </w:p>
    <w:p w:rsidR="00511045" w:rsidRDefault="00511045" w:rsidP="00511045">
      <w:pPr>
        <w:spacing w:before="60" w:after="60" w:line="288" w:lineRule="auto"/>
        <w:ind w:firstLine="360"/>
        <w:jc w:val="both"/>
        <w:rPr>
          <w:rFonts w:cs="Arial"/>
          <w:b/>
          <w:snapToGrid w:val="0"/>
          <w:position w:val="-6"/>
        </w:rPr>
      </w:pPr>
      <w:r>
        <w:rPr>
          <w:rFonts w:cs="Arial"/>
          <w:b/>
          <w:snapToGrid w:val="0"/>
          <w:position w:val="-6"/>
        </w:rPr>
        <w:t xml:space="preserve">CULTURAL HERITAGE </w:t>
      </w:r>
    </w:p>
    <w:p w:rsidR="00511045" w:rsidRDefault="00511045" w:rsidP="00511045">
      <w:pPr>
        <w:spacing w:before="60" w:after="60" w:line="288" w:lineRule="auto"/>
        <w:ind w:firstLine="709"/>
        <w:jc w:val="both"/>
        <w:rPr>
          <w:rFonts w:cs="Arial"/>
          <w:snapToGrid w:val="0"/>
          <w:position w:val="-6"/>
        </w:rPr>
      </w:pPr>
    </w:p>
    <w:p w:rsidR="00511045" w:rsidRDefault="00511045" w:rsidP="00511045">
      <w:pPr>
        <w:numPr>
          <w:ilvl w:val="0"/>
          <w:numId w:val="87"/>
        </w:numPr>
        <w:spacing w:before="60" w:after="60" w:line="288" w:lineRule="auto"/>
        <w:jc w:val="both"/>
        <w:rPr>
          <w:rFonts w:cs="Arial"/>
          <w:b/>
        </w:rPr>
      </w:pPr>
      <w:r>
        <w:rPr>
          <w:rFonts w:cs="Arial"/>
          <w:b/>
        </w:rPr>
        <w:t>ROMANIA</w:t>
      </w:r>
    </w:p>
    <w:p w:rsidR="00511045" w:rsidRDefault="00511045" w:rsidP="00511045">
      <w:pPr>
        <w:spacing w:before="60" w:after="60" w:line="288" w:lineRule="auto"/>
        <w:jc w:val="both"/>
        <w:rPr>
          <w:rFonts w:cs="Arial"/>
        </w:rPr>
      </w:pPr>
    </w:p>
    <w:p w:rsidR="00511045" w:rsidRDefault="00511045" w:rsidP="00511045">
      <w:pPr>
        <w:spacing w:before="60" w:after="60" w:line="288" w:lineRule="auto"/>
        <w:ind w:firstLine="709"/>
        <w:jc w:val="both"/>
        <w:rPr>
          <w:rFonts w:cs="Arial"/>
        </w:rPr>
      </w:pPr>
      <w:r>
        <w:rPr>
          <w:rFonts w:cs="Arial"/>
        </w:rPr>
        <w:t>The information about to cultural heritage is taken from the pages of each county or of the page County Department of Culture</w:t>
      </w:r>
      <w:r>
        <w:rPr>
          <w:rStyle w:val="hps"/>
          <w:rFonts w:cs="Arial"/>
          <w:color w:val="222222"/>
          <w:lang w:val="en"/>
        </w:rPr>
        <w:t>, Cults</w:t>
      </w:r>
      <w:r>
        <w:rPr>
          <w:rFonts w:cs="Arial"/>
          <w:color w:val="222222"/>
          <w:lang w:val="en"/>
        </w:rPr>
        <w:t xml:space="preserve"> </w:t>
      </w:r>
      <w:r>
        <w:rPr>
          <w:rStyle w:val="hps"/>
          <w:rFonts w:cs="Arial"/>
          <w:color w:val="222222"/>
          <w:lang w:val="en"/>
        </w:rPr>
        <w:t>and</w:t>
      </w:r>
      <w:r>
        <w:rPr>
          <w:rFonts w:cs="Arial"/>
          <w:color w:val="222222"/>
          <w:lang w:val="en"/>
        </w:rPr>
        <w:t xml:space="preserve"> </w:t>
      </w:r>
      <w:r>
        <w:rPr>
          <w:rStyle w:val="hps"/>
          <w:rFonts w:cs="Arial"/>
          <w:color w:val="222222"/>
          <w:lang w:val="en"/>
        </w:rPr>
        <w:t>National</w:t>
      </w:r>
      <w:r>
        <w:rPr>
          <w:rFonts w:cs="Arial"/>
          <w:color w:val="222222"/>
          <w:lang w:val="en"/>
        </w:rPr>
        <w:t xml:space="preserve"> </w:t>
      </w:r>
      <w:r>
        <w:rPr>
          <w:rStyle w:val="hps"/>
          <w:rFonts w:cs="Arial"/>
          <w:color w:val="222222"/>
          <w:lang w:val="en"/>
        </w:rPr>
        <w:t>Cultural</w:t>
      </w:r>
      <w:r>
        <w:rPr>
          <w:rFonts w:cs="Arial"/>
          <w:color w:val="222222"/>
          <w:lang w:val="en"/>
        </w:rPr>
        <w:t xml:space="preserve"> </w:t>
      </w:r>
      <w:r>
        <w:rPr>
          <w:rStyle w:val="hps"/>
          <w:rFonts w:cs="Arial"/>
          <w:color w:val="222222"/>
          <w:lang w:val="en"/>
        </w:rPr>
        <w:t>Heritage</w:t>
      </w:r>
      <w:r>
        <w:rPr>
          <w:rFonts w:cs="Arial"/>
          <w:color w:val="222222"/>
          <w:lang w:val="en"/>
        </w:rPr>
        <w:t xml:space="preserve"> </w:t>
      </w:r>
      <w:r>
        <w:rPr>
          <w:rStyle w:val="hps"/>
          <w:rFonts w:cs="Arial"/>
          <w:color w:val="222222"/>
          <w:lang w:val="en"/>
        </w:rPr>
        <w:t>of the Ministry</w:t>
      </w:r>
      <w:r>
        <w:rPr>
          <w:rFonts w:cs="Arial"/>
          <w:color w:val="222222"/>
          <w:lang w:val="en"/>
        </w:rPr>
        <w:t xml:space="preserve"> </w:t>
      </w:r>
      <w:r>
        <w:rPr>
          <w:rStyle w:val="hps"/>
          <w:rFonts w:cs="Arial"/>
          <w:color w:val="222222"/>
          <w:lang w:val="en"/>
        </w:rPr>
        <w:t>of Culture</w:t>
      </w:r>
      <w:r>
        <w:rPr>
          <w:rFonts w:cs="Arial"/>
          <w:color w:val="222222"/>
          <w:lang w:val="en"/>
        </w:rPr>
        <w:t xml:space="preserve">: </w:t>
      </w:r>
      <w:r>
        <w:rPr>
          <w:rStyle w:val="hps"/>
          <w:rFonts w:cs="Arial"/>
          <w:color w:val="222222"/>
          <w:lang w:val="en"/>
        </w:rPr>
        <w:t>Botosani, Maramures</w:t>
      </w:r>
      <w:r>
        <w:rPr>
          <w:rFonts w:cs="Arial"/>
          <w:color w:val="222222"/>
          <w:lang w:val="en"/>
        </w:rPr>
        <w:t xml:space="preserve">, </w:t>
      </w:r>
      <w:r>
        <w:rPr>
          <w:rStyle w:val="hps"/>
          <w:rFonts w:cs="Arial"/>
          <w:color w:val="222222"/>
          <w:lang w:val="en"/>
        </w:rPr>
        <w:t>Satu</w:t>
      </w:r>
      <w:r>
        <w:rPr>
          <w:rFonts w:cs="Arial"/>
          <w:color w:val="222222"/>
          <w:lang w:val="en"/>
        </w:rPr>
        <w:t xml:space="preserve"> </w:t>
      </w:r>
      <w:r>
        <w:rPr>
          <w:rStyle w:val="hps"/>
          <w:rFonts w:cs="Arial"/>
          <w:color w:val="222222"/>
          <w:lang w:val="en"/>
        </w:rPr>
        <w:t>Mare</w:t>
      </w:r>
      <w:r>
        <w:rPr>
          <w:rFonts w:cs="Arial"/>
          <w:color w:val="222222"/>
          <w:lang w:val="en"/>
        </w:rPr>
        <w:t xml:space="preserve">, Suceava </w:t>
      </w:r>
      <w:r>
        <w:rPr>
          <w:rStyle w:val="hps"/>
          <w:rFonts w:cs="Arial"/>
          <w:color w:val="222222"/>
          <w:lang w:val="en"/>
        </w:rPr>
        <w:t>and</w:t>
      </w:r>
      <w:r>
        <w:rPr>
          <w:rFonts w:cs="Arial"/>
          <w:color w:val="222222"/>
          <w:lang w:val="en"/>
        </w:rPr>
        <w:t xml:space="preserve"> </w:t>
      </w:r>
      <w:r>
        <w:rPr>
          <w:rStyle w:val="hps"/>
          <w:rFonts w:cs="Arial"/>
          <w:color w:val="222222"/>
          <w:lang w:val="en"/>
        </w:rPr>
        <w:t>Tulcea</w:t>
      </w:r>
      <w:r>
        <w:rPr>
          <w:rFonts w:cs="Arial"/>
          <w:color w:val="222222"/>
          <w:lang w:val="en"/>
        </w:rPr>
        <w:t>.</w:t>
      </w:r>
      <w:r>
        <w:rPr>
          <w:rFonts w:cs="Arial"/>
        </w:rPr>
        <w:t>.</w:t>
      </w:r>
    </w:p>
    <w:p w:rsidR="00511045" w:rsidRDefault="00511045" w:rsidP="00511045">
      <w:pPr>
        <w:jc w:val="both"/>
        <w:rPr>
          <w:rFonts w:cs="Arial"/>
          <w:b/>
        </w:rPr>
      </w:pPr>
    </w:p>
    <w:p w:rsidR="00511045" w:rsidRDefault="00511045" w:rsidP="00511045">
      <w:pPr>
        <w:numPr>
          <w:ilvl w:val="0"/>
          <w:numId w:val="92"/>
        </w:numPr>
        <w:spacing w:before="60" w:after="60" w:line="288" w:lineRule="auto"/>
        <w:jc w:val="both"/>
        <w:rPr>
          <w:rFonts w:cs="Arial"/>
          <w:b/>
        </w:rPr>
      </w:pPr>
      <w:r>
        <w:rPr>
          <w:rFonts w:cs="Arial"/>
          <w:b/>
        </w:rPr>
        <w:t>Cultural Heritage in Botosani County</w:t>
      </w:r>
    </w:p>
    <w:p w:rsidR="00511045" w:rsidRDefault="00511045" w:rsidP="00511045">
      <w:pPr>
        <w:spacing w:before="60" w:after="60" w:line="288" w:lineRule="auto"/>
        <w:jc w:val="both"/>
        <w:rPr>
          <w:rFonts w:cs="Arial"/>
          <w:b/>
          <w:i/>
        </w:rPr>
      </w:pPr>
    </w:p>
    <w:p w:rsidR="00511045" w:rsidRDefault="00511045" w:rsidP="00511045">
      <w:pPr>
        <w:spacing w:before="60" w:after="60" w:line="288" w:lineRule="auto"/>
        <w:jc w:val="both"/>
        <w:rPr>
          <w:rFonts w:cs="Arial"/>
        </w:rPr>
      </w:pPr>
      <w:r>
        <w:rPr>
          <w:rFonts w:cs="Arial"/>
          <w:b/>
          <w:i/>
        </w:rPr>
        <w:t>9 Cultural heritage in Botosani County are</w:t>
      </w:r>
      <w:r>
        <w:rPr>
          <w:rFonts w:cs="Arial"/>
        </w:rPr>
        <w:t>:</w:t>
      </w:r>
    </w:p>
    <w:p w:rsidR="00511045" w:rsidRDefault="00511045" w:rsidP="00511045">
      <w:pPr>
        <w:spacing w:before="60" w:after="60" w:line="288" w:lineRule="auto"/>
        <w:jc w:val="both"/>
        <w:rPr>
          <w:rFonts w:cs="Arial"/>
        </w:rPr>
      </w:pPr>
    </w:p>
    <w:p w:rsidR="00511045" w:rsidRDefault="00511045" w:rsidP="00511045">
      <w:pPr>
        <w:numPr>
          <w:ilvl w:val="0"/>
          <w:numId w:val="86"/>
        </w:numPr>
        <w:spacing w:before="60" w:after="60" w:line="288" w:lineRule="auto"/>
        <w:jc w:val="both"/>
        <w:rPr>
          <w:rFonts w:cs="Arial"/>
        </w:rPr>
      </w:pPr>
      <w:r>
        <w:rPr>
          <w:rFonts w:cs="Arial"/>
        </w:rPr>
        <w:t>Ciomac Cantemir House Foundation Stefan Luchian</w:t>
      </w:r>
    </w:p>
    <w:p w:rsidR="00511045" w:rsidRDefault="00511045" w:rsidP="00511045">
      <w:pPr>
        <w:numPr>
          <w:ilvl w:val="0"/>
          <w:numId w:val="86"/>
        </w:numPr>
        <w:spacing w:before="60" w:after="60" w:line="288" w:lineRule="auto"/>
        <w:jc w:val="both"/>
        <w:rPr>
          <w:rFonts w:cs="Arial"/>
        </w:rPr>
      </w:pPr>
      <w:r>
        <w:rPr>
          <w:rFonts w:cs="Arial"/>
        </w:rPr>
        <w:t>House Costache Enescu George Enescu Museum premises</w:t>
      </w:r>
    </w:p>
    <w:p w:rsidR="00511045" w:rsidRDefault="00511045" w:rsidP="00511045">
      <w:pPr>
        <w:numPr>
          <w:ilvl w:val="0"/>
          <w:numId w:val="86"/>
        </w:numPr>
        <w:spacing w:before="60" w:after="60" w:line="288" w:lineRule="auto"/>
        <w:jc w:val="both"/>
        <w:rPr>
          <w:rFonts w:cs="Arial"/>
        </w:rPr>
      </w:pPr>
      <w:r>
        <w:rPr>
          <w:rFonts w:cs="Arial"/>
        </w:rPr>
        <w:t>House Manolache Iorga , Botosani</w:t>
      </w:r>
    </w:p>
    <w:p w:rsidR="00511045" w:rsidRDefault="00511045" w:rsidP="00511045">
      <w:pPr>
        <w:numPr>
          <w:ilvl w:val="0"/>
          <w:numId w:val="86"/>
        </w:numPr>
        <w:spacing w:before="60" w:after="60" w:line="288" w:lineRule="auto"/>
        <w:jc w:val="both"/>
        <w:rPr>
          <w:rFonts w:cs="Arial"/>
        </w:rPr>
      </w:pPr>
      <w:r>
        <w:rPr>
          <w:rFonts w:cs="Arial"/>
        </w:rPr>
        <w:t>G. Enescu Memorial House Liveni</w:t>
      </w:r>
    </w:p>
    <w:p w:rsidR="00511045" w:rsidRDefault="00511045" w:rsidP="00511045">
      <w:pPr>
        <w:numPr>
          <w:ilvl w:val="0"/>
          <w:numId w:val="86"/>
        </w:numPr>
        <w:spacing w:before="60" w:after="60" w:line="288" w:lineRule="auto"/>
        <w:jc w:val="both"/>
        <w:rPr>
          <w:rFonts w:cs="Arial"/>
        </w:rPr>
      </w:pPr>
      <w:r>
        <w:rPr>
          <w:rFonts w:cs="Arial"/>
        </w:rPr>
        <w:lastRenderedPageBreak/>
        <w:t>N. Iorga Memorial House , Botosani</w:t>
      </w:r>
    </w:p>
    <w:p w:rsidR="00511045" w:rsidRDefault="00511045" w:rsidP="00511045">
      <w:pPr>
        <w:numPr>
          <w:ilvl w:val="0"/>
          <w:numId w:val="86"/>
        </w:numPr>
        <w:spacing w:before="60" w:after="60" w:line="288" w:lineRule="auto"/>
        <w:jc w:val="both"/>
        <w:rPr>
          <w:rFonts w:cs="Arial"/>
        </w:rPr>
      </w:pPr>
      <w:r>
        <w:rPr>
          <w:rFonts w:cs="Arial"/>
        </w:rPr>
        <w:t>Memorial Ipoteşti</w:t>
      </w:r>
    </w:p>
    <w:p w:rsidR="00511045" w:rsidRDefault="00511045" w:rsidP="00511045">
      <w:pPr>
        <w:numPr>
          <w:ilvl w:val="0"/>
          <w:numId w:val="86"/>
        </w:numPr>
        <w:spacing w:before="60" w:after="60" w:line="288" w:lineRule="auto"/>
        <w:jc w:val="both"/>
        <w:rPr>
          <w:rFonts w:cs="Arial"/>
        </w:rPr>
      </w:pPr>
      <w:r>
        <w:rPr>
          <w:rFonts w:cs="Arial"/>
        </w:rPr>
        <w:t>Museum of Archaeology, Saveni</w:t>
      </w:r>
    </w:p>
    <w:p w:rsidR="00511045" w:rsidRDefault="00511045" w:rsidP="00511045">
      <w:pPr>
        <w:numPr>
          <w:ilvl w:val="0"/>
          <w:numId w:val="86"/>
        </w:numPr>
        <w:spacing w:before="60" w:after="60" w:line="288" w:lineRule="auto"/>
        <w:jc w:val="both"/>
        <w:rPr>
          <w:rFonts w:cs="Arial"/>
        </w:rPr>
      </w:pPr>
      <w:r>
        <w:rPr>
          <w:rFonts w:cs="Arial"/>
        </w:rPr>
        <w:t>Museum of Natural Sciences , Dorohoi</w:t>
      </w:r>
    </w:p>
    <w:p w:rsidR="00511045" w:rsidRDefault="00511045" w:rsidP="00511045">
      <w:pPr>
        <w:numPr>
          <w:ilvl w:val="0"/>
          <w:numId w:val="86"/>
        </w:numPr>
        <w:spacing w:before="60" w:after="60" w:line="288" w:lineRule="auto"/>
        <w:jc w:val="both"/>
        <w:rPr>
          <w:rFonts w:cs="Arial"/>
        </w:rPr>
      </w:pPr>
      <w:r>
        <w:rPr>
          <w:rFonts w:cs="Arial"/>
        </w:rPr>
        <w:t>Botosani County Museum</w:t>
      </w:r>
    </w:p>
    <w:p w:rsidR="00511045" w:rsidRDefault="00511045" w:rsidP="00511045">
      <w:pPr>
        <w:spacing w:before="60" w:after="60" w:line="288" w:lineRule="auto"/>
        <w:jc w:val="both"/>
        <w:rPr>
          <w:rFonts w:cs="Arial"/>
          <w:b/>
          <w:i/>
        </w:rPr>
      </w:pPr>
    </w:p>
    <w:p w:rsidR="00511045" w:rsidRDefault="00511045" w:rsidP="005110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Pr>
          <w:rFonts w:cs="Arial"/>
          <w:b/>
          <w:i/>
        </w:rPr>
        <w:t>Places of worship</w:t>
      </w:r>
      <w:r>
        <w:rPr>
          <w:rFonts w:cs="Arial"/>
        </w:rPr>
        <w:t xml:space="preserve"> in Botosani County are  23 .</w:t>
      </w:r>
    </w:p>
    <w:p w:rsidR="00511045" w:rsidRDefault="00511045" w:rsidP="00511045">
      <w:pPr>
        <w:spacing w:before="60" w:after="60" w:line="288" w:lineRule="auto"/>
        <w:jc w:val="both"/>
        <w:rPr>
          <w:rFonts w:cs="Arial"/>
        </w:rPr>
      </w:pPr>
    </w:p>
    <w:p w:rsidR="00511045" w:rsidRDefault="00511045" w:rsidP="00511045">
      <w:pPr>
        <w:numPr>
          <w:ilvl w:val="0"/>
          <w:numId w:val="92"/>
        </w:numPr>
        <w:spacing w:before="60" w:after="60" w:line="288" w:lineRule="auto"/>
        <w:jc w:val="both"/>
        <w:rPr>
          <w:rFonts w:cs="Arial"/>
          <w:b/>
        </w:rPr>
      </w:pPr>
      <w:r>
        <w:rPr>
          <w:rFonts w:cs="Arial"/>
          <w:b/>
        </w:rPr>
        <w:t>Cultural Heritage in Maramures County</w:t>
      </w:r>
    </w:p>
    <w:p w:rsidR="00511045" w:rsidRDefault="00511045" w:rsidP="00511045">
      <w:pPr>
        <w:spacing w:before="60" w:after="60" w:line="288" w:lineRule="auto"/>
        <w:ind w:left="720"/>
        <w:jc w:val="both"/>
        <w:rPr>
          <w:rFonts w:cs="Arial"/>
          <w:b/>
        </w:rPr>
      </w:pPr>
    </w:p>
    <w:p w:rsidR="00511045" w:rsidRDefault="00511045" w:rsidP="00511045">
      <w:pPr>
        <w:numPr>
          <w:ilvl w:val="0"/>
          <w:numId w:val="86"/>
        </w:numPr>
        <w:spacing w:before="60" w:after="60" w:line="288" w:lineRule="auto"/>
        <w:jc w:val="both"/>
        <w:rPr>
          <w:rFonts w:cs="Arial"/>
        </w:rPr>
      </w:pPr>
      <w:r>
        <w:rPr>
          <w:rFonts w:cs="Arial"/>
        </w:rPr>
        <w:t>Museum complex in Maramures</w:t>
      </w:r>
    </w:p>
    <w:p w:rsidR="00511045" w:rsidRDefault="00511045" w:rsidP="00511045">
      <w:pPr>
        <w:numPr>
          <w:ilvl w:val="1"/>
          <w:numId w:val="86"/>
        </w:numPr>
        <w:spacing w:before="60" w:after="60" w:line="288" w:lineRule="auto"/>
        <w:jc w:val="both"/>
        <w:rPr>
          <w:rFonts w:cs="Arial"/>
        </w:rPr>
      </w:pPr>
      <w:r>
        <w:rPr>
          <w:rFonts w:cs="Arial"/>
        </w:rPr>
        <w:t xml:space="preserve">Ethnography Sighet </w:t>
      </w:r>
    </w:p>
    <w:p w:rsidR="00511045" w:rsidRDefault="00511045" w:rsidP="00511045">
      <w:pPr>
        <w:numPr>
          <w:ilvl w:val="1"/>
          <w:numId w:val="86"/>
        </w:numPr>
        <w:spacing w:before="60" w:after="60" w:line="288" w:lineRule="auto"/>
        <w:jc w:val="both"/>
        <w:rPr>
          <w:rFonts w:cs="Arial"/>
        </w:rPr>
      </w:pPr>
      <w:r>
        <w:rPr>
          <w:rFonts w:cs="Arial"/>
        </w:rPr>
        <w:t>Museum of Ethnography and Folklore Baia Mare</w:t>
      </w:r>
    </w:p>
    <w:p w:rsidR="00511045" w:rsidRDefault="00511045" w:rsidP="00511045">
      <w:pPr>
        <w:numPr>
          <w:ilvl w:val="1"/>
          <w:numId w:val="86"/>
        </w:numPr>
        <w:spacing w:before="60" w:after="60" w:line="288" w:lineRule="auto"/>
        <w:jc w:val="both"/>
        <w:rPr>
          <w:rFonts w:cs="Arial"/>
        </w:rPr>
      </w:pPr>
      <w:r>
        <w:rPr>
          <w:rFonts w:cs="Arial"/>
        </w:rPr>
        <w:t>Artistic center of Baia Mare - The Art Museum</w:t>
      </w:r>
    </w:p>
    <w:p w:rsidR="00511045" w:rsidRDefault="00511045" w:rsidP="00511045">
      <w:pPr>
        <w:numPr>
          <w:ilvl w:val="1"/>
          <w:numId w:val="86"/>
        </w:numPr>
        <w:spacing w:before="60" w:after="60" w:line="288" w:lineRule="auto"/>
        <w:jc w:val="both"/>
        <w:rPr>
          <w:rFonts w:cs="Arial"/>
        </w:rPr>
      </w:pPr>
      <w:hyperlink r:id="rId71" w:tooltip="Muzeul Florean" w:history="1">
        <w:r>
          <w:rPr>
            <w:rFonts w:cs="Arial"/>
          </w:rPr>
          <w:t xml:space="preserve"> Florean</w:t>
        </w:r>
      </w:hyperlink>
      <w:r>
        <w:rPr>
          <w:rFonts w:cs="Arial"/>
        </w:rPr>
        <w:t xml:space="preserve"> Museum</w:t>
      </w:r>
    </w:p>
    <w:p w:rsidR="00511045" w:rsidRDefault="00511045" w:rsidP="00511045">
      <w:pPr>
        <w:numPr>
          <w:ilvl w:val="1"/>
          <w:numId w:val="86"/>
        </w:numPr>
        <w:spacing w:before="60" w:after="60" w:line="288" w:lineRule="auto"/>
        <w:jc w:val="both"/>
        <w:rPr>
          <w:rFonts w:cs="Arial"/>
        </w:rPr>
      </w:pPr>
      <w:r>
        <w:rPr>
          <w:rFonts w:cs="Arial"/>
        </w:rPr>
        <w:t>Mineralogy Museum Baia Mare</w:t>
      </w:r>
    </w:p>
    <w:p w:rsidR="00511045" w:rsidRDefault="00511045" w:rsidP="00511045">
      <w:pPr>
        <w:numPr>
          <w:ilvl w:val="1"/>
          <w:numId w:val="86"/>
        </w:numPr>
        <w:spacing w:before="60" w:after="60" w:line="288" w:lineRule="auto"/>
        <w:jc w:val="both"/>
        <w:rPr>
          <w:rFonts w:cs="Arial"/>
        </w:rPr>
      </w:pPr>
      <w:r>
        <w:rPr>
          <w:rFonts w:cs="Arial"/>
        </w:rPr>
        <w:t>Sighet Memorial Museum</w:t>
      </w:r>
    </w:p>
    <w:p w:rsidR="00511045" w:rsidRDefault="00511045" w:rsidP="00511045">
      <w:pPr>
        <w:numPr>
          <w:ilvl w:val="1"/>
          <w:numId w:val="86"/>
        </w:numPr>
        <w:spacing w:before="60" w:after="60" w:line="288" w:lineRule="auto"/>
        <w:jc w:val="both"/>
        <w:rPr>
          <w:rFonts w:cs="Arial"/>
        </w:rPr>
      </w:pPr>
      <w:r>
        <w:rPr>
          <w:rFonts w:cs="Arial"/>
        </w:rPr>
        <w:t>County Museum of History and Archeology Baia Mare</w:t>
      </w:r>
    </w:p>
    <w:p w:rsidR="00511045" w:rsidRDefault="00511045" w:rsidP="00511045">
      <w:pPr>
        <w:numPr>
          <w:ilvl w:val="0"/>
          <w:numId w:val="86"/>
        </w:numPr>
        <w:spacing w:before="60" w:after="60" w:line="288" w:lineRule="auto"/>
        <w:jc w:val="both"/>
        <w:rPr>
          <w:rFonts w:cs="Arial"/>
        </w:rPr>
      </w:pPr>
      <w:r>
        <w:rPr>
          <w:rFonts w:cs="Arial"/>
        </w:rPr>
        <w:t>Architecture and folk art monuments in Maramures</w:t>
      </w:r>
    </w:p>
    <w:p w:rsidR="00511045" w:rsidRDefault="00511045" w:rsidP="00511045">
      <w:pPr>
        <w:numPr>
          <w:ilvl w:val="1"/>
          <w:numId w:val="86"/>
        </w:numPr>
        <w:spacing w:before="60" w:after="60" w:line="288" w:lineRule="auto"/>
        <w:jc w:val="both"/>
        <w:rPr>
          <w:rFonts w:cs="Arial"/>
        </w:rPr>
      </w:pPr>
      <w:r>
        <w:rPr>
          <w:rFonts w:cs="Arial"/>
        </w:rPr>
        <w:t>The historic center of Baia Mare</w:t>
      </w:r>
    </w:p>
    <w:p w:rsidR="00511045" w:rsidRDefault="00511045" w:rsidP="00511045">
      <w:pPr>
        <w:numPr>
          <w:ilvl w:val="1"/>
          <w:numId w:val="86"/>
        </w:numPr>
        <w:spacing w:before="60" w:after="60" w:line="288" w:lineRule="auto"/>
        <w:jc w:val="both"/>
        <w:rPr>
          <w:rFonts w:cs="Arial"/>
        </w:rPr>
      </w:pPr>
      <w:r>
        <w:rPr>
          <w:rFonts w:cs="Arial"/>
        </w:rPr>
        <w:t>The historic center Sighet</w:t>
      </w:r>
    </w:p>
    <w:p w:rsidR="00511045" w:rsidRDefault="00511045" w:rsidP="00511045">
      <w:pPr>
        <w:numPr>
          <w:ilvl w:val="1"/>
          <w:numId w:val="86"/>
        </w:numPr>
        <w:spacing w:before="60" w:after="60" w:line="288" w:lineRule="auto"/>
        <w:jc w:val="both"/>
        <w:rPr>
          <w:rFonts w:cs="Arial"/>
        </w:rPr>
      </w:pPr>
      <w:r>
        <w:rPr>
          <w:rFonts w:cs="Arial"/>
        </w:rPr>
        <w:t>Stephen's Tower</w:t>
      </w:r>
    </w:p>
    <w:p w:rsidR="00511045" w:rsidRDefault="00511045" w:rsidP="00511045">
      <w:pPr>
        <w:numPr>
          <w:ilvl w:val="1"/>
          <w:numId w:val="86"/>
        </w:numPr>
        <w:spacing w:before="60" w:after="60" w:line="288" w:lineRule="auto"/>
        <w:jc w:val="both"/>
        <w:rPr>
          <w:rFonts w:cs="Arial"/>
        </w:rPr>
      </w:pPr>
      <w:r>
        <w:rPr>
          <w:rFonts w:cs="Arial"/>
        </w:rPr>
        <w:t>Wooden churches of Maramureş</w:t>
      </w:r>
    </w:p>
    <w:p w:rsidR="00511045" w:rsidRDefault="00511045" w:rsidP="00511045">
      <w:pPr>
        <w:numPr>
          <w:ilvl w:val="1"/>
          <w:numId w:val="86"/>
        </w:numPr>
        <w:spacing w:before="60" w:after="60" w:line="288" w:lineRule="auto"/>
        <w:jc w:val="both"/>
        <w:rPr>
          <w:rFonts w:cs="Arial"/>
        </w:rPr>
      </w:pPr>
      <w:r>
        <w:rPr>
          <w:rFonts w:cs="Arial"/>
        </w:rPr>
        <w:t>Wooden Churches of Lapus</w:t>
      </w:r>
    </w:p>
    <w:p w:rsidR="00511045" w:rsidRDefault="00511045" w:rsidP="00511045">
      <w:pPr>
        <w:numPr>
          <w:ilvl w:val="1"/>
          <w:numId w:val="86"/>
        </w:numPr>
        <w:spacing w:before="60" w:after="60" w:line="288" w:lineRule="auto"/>
        <w:jc w:val="both"/>
        <w:rPr>
          <w:rFonts w:cs="Arial"/>
        </w:rPr>
      </w:pPr>
      <w:r>
        <w:rPr>
          <w:rFonts w:cs="Arial"/>
        </w:rPr>
        <w:t>Wooden Churches of Chioar</w:t>
      </w:r>
    </w:p>
    <w:p w:rsidR="00511045" w:rsidRDefault="00511045" w:rsidP="00511045">
      <w:pPr>
        <w:numPr>
          <w:ilvl w:val="1"/>
          <w:numId w:val="86"/>
        </w:numPr>
        <w:spacing w:before="60" w:after="60" w:line="288" w:lineRule="auto"/>
        <w:jc w:val="both"/>
        <w:rPr>
          <w:rFonts w:cs="Arial"/>
        </w:rPr>
      </w:pPr>
      <w:r>
        <w:rPr>
          <w:rFonts w:cs="Arial"/>
        </w:rPr>
        <w:t>Merry Cemetery in Sapanta</w:t>
      </w:r>
    </w:p>
    <w:p w:rsidR="00511045" w:rsidRDefault="00511045" w:rsidP="00511045">
      <w:pPr>
        <w:numPr>
          <w:ilvl w:val="0"/>
          <w:numId w:val="86"/>
        </w:numPr>
        <w:spacing w:before="60" w:after="60" w:line="288" w:lineRule="auto"/>
        <w:jc w:val="both"/>
        <w:rPr>
          <w:rFonts w:cs="Arial"/>
        </w:rPr>
      </w:pPr>
      <w:r>
        <w:rPr>
          <w:rFonts w:cs="Arial"/>
        </w:rPr>
        <w:t>Monasteries in Maramures</w:t>
      </w:r>
    </w:p>
    <w:p w:rsidR="00511045" w:rsidRDefault="00511045" w:rsidP="00511045">
      <w:pPr>
        <w:numPr>
          <w:ilvl w:val="1"/>
          <w:numId w:val="86"/>
        </w:numPr>
        <w:spacing w:before="60" w:after="60" w:line="288" w:lineRule="auto"/>
        <w:jc w:val="both"/>
        <w:rPr>
          <w:rFonts w:cs="Arial"/>
        </w:rPr>
      </w:pPr>
      <w:r>
        <w:rPr>
          <w:rFonts w:cs="Arial"/>
        </w:rPr>
        <w:t>Barsana Monastery</w:t>
      </w:r>
    </w:p>
    <w:p w:rsidR="00511045" w:rsidRDefault="00511045" w:rsidP="00511045">
      <w:pPr>
        <w:numPr>
          <w:ilvl w:val="1"/>
          <w:numId w:val="86"/>
        </w:numPr>
        <w:spacing w:before="60" w:after="60" w:line="288" w:lineRule="auto"/>
        <w:jc w:val="both"/>
        <w:rPr>
          <w:rFonts w:cs="Arial"/>
        </w:rPr>
      </w:pPr>
      <w:r>
        <w:rPr>
          <w:rFonts w:cs="Arial"/>
        </w:rPr>
        <w:t>Peri - Săpânţa Monastery</w:t>
      </w:r>
    </w:p>
    <w:p w:rsidR="00511045" w:rsidRDefault="00511045" w:rsidP="00511045">
      <w:pPr>
        <w:numPr>
          <w:ilvl w:val="1"/>
          <w:numId w:val="86"/>
        </w:numPr>
        <w:spacing w:before="60" w:after="60" w:line="288" w:lineRule="auto"/>
        <w:jc w:val="both"/>
        <w:rPr>
          <w:rFonts w:cs="Arial"/>
        </w:rPr>
      </w:pPr>
      <w:r>
        <w:rPr>
          <w:rFonts w:cs="Arial"/>
        </w:rPr>
        <w:t>Monastery of Moisei</w:t>
      </w:r>
    </w:p>
    <w:p w:rsidR="00511045" w:rsidRDefault="00511045" w:rsidP="00511045">
      <w:pPr>
        <w:numPr>
          <w:ilvl w:val="1"/>
          <w:numId w:val="86"/>
        </w:numPr>
        <w:spacing w:before="60" w:after="60" w:line="288" w:lineRule="auto"/>
        <w:jc w:val="both"/>
        <w:rPr>
          <w:rFonts w:cs="Arial"/>
        </w:rPr>
      </w:pPr>
      <w:r>
        <w:rPr>
          <w:rFonts w:cs="Arial"/>
        </w:rPr>
        <w:t>Monastery of Santa Ana in Rohia</w:t>
      </w:r>
    </w:p>
    <w:p w:rsidR="00511045" w:rsidRDefault="00511045" w:rsidP="00511045">
      <w:pPr>
        <w:jc w:val="both"/>
        <w:rPr>
          <w:rFonts w:cs="Arial"/>
          <w:b/>
        </w:rPr>
      </w:pPr>
    </w:p>
    <w:p w:rsidR="00511045" w:rsidRDefault="00511045" w:rsidP="00511045">
      <w:pPr>
        <w:spacing w:before="60" w:after="60" w:line="288" w:lineRule="auto"/>
        <w:jc w:val="both"/>
        <w:rPr>
          <w:rFonts w:cs="Arial"/>
          <w:b/>
          <w:i/>
        </w:rPr>
      </w:pPr>
    </w:p>
    <w:p w:rsidR="00511045" w:rsidRDefault="00511045" w:rsidP="00511045">
      <w:pPr>
        <w:spacing w:before="60" w:after="60" w:line="288" w:lineRule="auto"/>
        <w:jc w:val="both"/>
        <w:rPr>
          <w:rFonts w:cs="Arial"/>
          <w:b/>
          <w:i/>
        </w:rPr>
      </w:pPr>
      <w:r>
        <w:rPr>
          <w:rFonts w:cs="Arial"/>
          <w:b/>
          <w:i/>
        </w:rPr>
        <w:t>Cultural objectives of Maramures included in UNESCO heritage are:</w:t>
      </w:r>
    </w:p>
    <w:p w:rsidR="00511045" w:rsidRDefault="00511045" w:rsidP="00511045">
      <w:pPr>
        <w:numPr>
          <w:ilvl w:val="0"/>
          <w:numId w:val="86"/>
        </w:numPr>
        <w:spacing w:before="60" w:after="60" w:line="288" w:lineRule="auto"/>
        <w:jc w:val="both"/>
        <w:rPr>
          <w:rFonts w:cs="Arial"/>
        </w:rPr>
      </w:pPr>
      <w:r>
        <w:rPr>
          <w:rFonts w:cs="Arial"/>
        </w:rPr>
        <w:t>Church " St. Archangels " ( Rogoz ) - UNESCO</w:t>
      </w:r>
    </w:p>
    <w:p w:rsidR="00511045" w:rsidRDefault="00511045" w:rsidP="00511045">
      <w:pPr>
        <w:numPr>
          <w:ilvl w:val="0"/>
          <w:numId w:val="86"/>
        </w:numPr>
        <w:spacing w:before="60" w:after="60" w:line="288" w:lineRule="auto"/>
        <w:jc w:val="both"/>
        <w:rPr>
          <w:rFonts w:cs="Arial"/>
        </w:rPr>
      </w:pPr>
      <w:r>
        <w:rPr>
          <w:rFonts w:cs="Arial"/>
        </w:rPr>
        <w:t>Wooden Church " Entrance of the Theotokos into the Temple " in Barsana - UNESCO</w:t>
      </w:r>
    </w:p>
    <w:p w:rsidR="00511045" w:rsidRDefault="00511045" w:rsidP="00511045">
      <w:pPr>
        <w:numPr>
          <w:ilvl w:val="0"/>
          <w:numId w:val="86"/>
        </w:numPr>
        <w:spacing w:before="60" w:after="60" w:line="288" w:lineRule="auto"/>
        <w:jc w:val="both"/>
        <w:rPr>
          <w:rFonts w:cs="Arial"/>
        </w:rPr>
      </w:pPr>
      <w:r>
        <w:rPr>
          <w:rFonts w:cs="Arial"/>
        </w:rPr>
        <w:t>Wooden church Calinesti- Susani</w:t>
      </w:r>
    </w:p>
    <w:p w:rsidR="00511045" w:rsidRDefault="00511045" w:rsidP="00511045">
      <w:pPr>
        <w:numPr>
          <w:ilvl w:val="0"/>
          <w:numId w:val="86"/>
        </w:numPr>
        <w:spacing w:before="60" w:after="60" w:line="288" w:lineRule="auto"/>
        <w:jc w:val="both"/>
        <w:rPr>
          <w:rFonts w:cs="Arial"/>
        </w:rPr>
      </w:pPr>
      <w:r>
        <w:rPr>
          <w:rFonts w:cs="Arial"/>
        </w:rPr>
        <w:t>Wooden church Archangels , Valenii Somcutei</w:t>
      </w:r>
    </w:p>
    <w:p w:rsidR="00511045" w:rsidRPr="002E01ED" w:rsidRDefault="00511045" w:rsidP="002E01ED">
      <w:pPr>
        <w:pStyle w:val="ListParagraph"/>
        <w:numPr>
          <w:ilvl w:val="0"/>
          <w:numId w:val="86"/>
        </w:numPr>
        <w:rPr>
          <w:rFonts w:cs="Arial"/>
          <w:szCs w:val="24"/>
          <w:lang w:eastAsia="ro-RO"/>
        </w:rPr>
      </w:pPr>
      <w:r w:rsidRPr="008A786D">
        <w:rPr>
          <w:rFonts w:cs="Arial"/>
          <w:szCs w:val="24"/>
          <w:lang w:eastAsia="ro-RO"/>
        </w:rPr>
        <w:lastRenderedPageBreak/>
        <w:t>Casa Muzeu Elie Wiesel</w:t>
      </w:r>
    </w:p>
    <w:p w:rsidR="00511045" w:rsidRDefault="00511045" w:rsidP="00511045">
      <w:pPr>
        <w:jc w:val="both"/>
        <w:rPr>
          <w:rFonts w:cs="Arial"/>
          <w:b/>
        </w:rPr>
      </w:pPr>
    </w:p>
    <w:p w:rsidR="00511045" w:rsidRDefault="00511045" w:rsidP="00511045">
      <w:pPr>
        <w:numPr>
          <w:ilvl w:val="0"/>
          <w:numId w:val="92"/>
        </w:numPr>
        <w:spacing w:before="60" w:after="60" w:line="288" w:lineRule="auto"/>
        <w:jc w:val="both"/>
        <w:rPr>
          <w:rFonts w:cs="Arial"/>
          <w:b/>
        </w:rPr>
      </w:pPr>
      <w:r>
        <w:rPr>
          <w:rFonts w:cs="Arial"/>
          <w:b/>
        </w:rPr>
        <w:t>Cultural Heritage in Satu Mare County</w:t>
      </w:r>
    </w:p>
    <w:p w:rsidR="00511045" w:rsidRDefault="00511045" w:rsidP="00511045">
      <w:pPr>
        <w:spacing w:before="60" w:after="60" w:line="288" w:lineRule="auto"/>
        <w:jc w:val="both"/>
        <w:rPr>
          <w:rFonts w:cs="Arial"/>
        </w:rPr>
      </w:pPr>
    </w:p>
    <w:p w:rsidR="00511045" w:rsidRDefault="00511045" w:rsidP="00511045">
      <w:pPr>
        <w:spacing w:before="60" w:after="60" w:line="288" w:lineRule="auto"/>
        <w:jc w:val="both"/>
        <w:rPr>
          <w:rFonts w:cs="Arial"/>
          <w:b/>
          <w:i/>
        </w:rPr>
      </w:pPr>
      <w:r>
        <w:rPr>
          <w:rFonts w:cs="Arial"/>
          <w:b/>
          <w:i/>
        </w:rPr>
        <w:t>In Satu Mare there are many attractions that can be visited, including:</w:t>
      </w:r>
    </w:p>
    <w:p w:rsidR="00511045" w:rsidRDefault="00511045" w:rsidP="00511045">
      <w:pPr>
        <w:numPr>
          <w:ilvl w:val="0"/>
          <w:numId w:val="86"/>
        </w:numPr>
        <w:spacing w:before="60" w:after="60" w:line="288" w:lineRule="auto"/>
        <w:jc w:val="both"/>
        <w:rPr>
          <w:rFonts w:cs="Arial"/>
        </w:rPr>
      </w:pPr>
      <w:r>
        <w:rPr>
          <w:rFonts w:cs="Arial"/>
          <w:b/>
          <w:i/>
        </w:rPr>
        <w:t>Fire Tower</w:t>
      </w:r>
      <w:r>
        <w:rPr>
          <w:rFonts w:cs="Arial"/>
        </w:rPr>
        <w:t xml:space="preserve"> - built in 1904 on the initiative of Bishop Gyula Meszlényi being designed and built by Lajos Ferencz Dittler Vajnay . Today , the tower is a landmark of great attraction is visited daily by ca. 50 visitors.</w:t>
      </w:r>
    </w:p>
    <w:p w:rsidR="00511045" w:rsidRDefault="00511045" w:rsidP="00511045">
      <w:pPr>
        <w:numPr>
          <w:ilvl w:val="0"/>
          <w:numId w:val="86"/>
        </w:numPr>
        <w:spacing w:before="60" w:after="60" w:line="288" w:lineRule="auto"/>
        <w:jc w:val="both"/>
        <w:rPr>
          <w:rFonts w:cs="Arial"/>
        </w:rPr>
      </w:pPr>
      <w:r>
        <w:rPr>
          <w:rFonts w:cs="Arial"/>
          <w:b/>
          <w:i/>
        </w:rPr>
        <w:t>Hotel Dacia ( former Pannonia )</w:t>
      </w:r>
      <w:r>
        <w:rPr>
          <w:rFonts w:cs="Arial"/>
        </w:rPr>
        <w:t xml:space="preserve"> - built in 1902 by architect Zoltán Bálint and Lajos Jámbor Hungarian Art Nouveau , Hotel Dacia is perhaps the most emblematic monument of Satu Mare. The model won second hotel at the World Expo in Wien .</w:t>
      </w:r>
    </w:p>
    <w:p w:rsidR="00511045" w:rsidRDefault="00511045" w:rsidP="00511045">
      <w:pPr>
        <w:numPr>
          <w:ilvl w:val="0"/>
          <w:numId w:val="86"/>
        </w:numPr>
        <w:spacing w:before="60" w:after="60" w:line="288" w:lineRule="auto"/>
        <w:jc w:val="both"/>
        <w:rPr>
          <w:rFonts w:cs="Arial"/>
        </w:rPr>
      </w:pPr>
      <w:r>
        <w:rPr>
          <w:rFonts w:cs="Arial"/>
          <w:b/>
          <w:i/>
        </w:rPr>
        <w:t>Roman Catholic Episcopal Palace of Satu Mare</w:t>
      </w:r>
      <w:r>
        <w:rPr>
          <w:rFonts w:cs="Arial"/>
        </w:rPr>
        <w:t xml:space="preserve"> - designed by architect Counts Károlyi , Joseph Bitthauser and built between 1804 and 1840 in classical style , the bishop's palace is the seat of the Roman Catholic bishops of Satu Mare and building Roman Catholic School Group " Ham Janos ". The Episcopal chapel altar is married to whom the famous Hungarian poet Sándor Petofi and Julia Szendrey chapel Ardud city .</w:t>
      </w:r>
    </w:p>
    <w:p w:rsidR="00511045" w:rsidRDefault="00511045" w:rsidP="00511045">
      <w:pPr>
        <w:numPr>
          <w:ilvl w:val="0"/>
          <w:numId w:val="86"/>
        </w:numPr>
        <w:spacing w:before="60" w:after="60" w:line="288" w:lineRule="auto"/>
        <w:jc w:val="both"/>
        <w:rPr>
          <w:rFonts w:cs="Arial"/>
        </w:rPr>
      </w:pPr>
      <w:r>
        <w:rPr>
          <w:rFonts w:cs="Arial"/>
          <w:b/>
          <w:i/>
        </w:rPr>
        <w:t>Theatre</w:t>
      </w:r>
      <w:r>
        <w:rPr>
          <w:rFonts w:cs="Arial"/>
        </w:rPr>
        <w:t xml:space="preserve"> - is the second building in the city theater ( the first being demolished in 1889) . Its foundations were filed on May 18, 1892 , the inauguration took place during a festive ceremony on 14 January 1892. The project was conducted by Adolf Voyta , architect of the Pope, the work was carried out under the supervision of the architect of Debrecen Lajos Szikszay and interior decorations were created by Spanraft and Hirsch </w:t>
      </w:r>
    </w:p>
    <w:p w:rsidR="00511045" w:rsidRDefault="00511045" w:rsidP="00511045">
      <w:pPr>
        <w:numPr>
          <w:ilvl w:val="0"/>
          <w:numId w:val="86"/>
        </w:numPr>
        <w:spacing w:before="60" w:after="60" w:line="288" w:lineRule="auto"/>
        <w:jc w:val="both"/>
        <w:rPr>
          <w:rFonts w:cs="Arial"/>
          <w:b/>
        </w:rPr>
      </w:pPr>
      <w:r>
        <w:rPr>
          <w:rFonts w:cs="Arial"/>
          <w:b/>
        </w:rPr>
        <w:t>Shoemakers ' Guild building</w:t>
      </w:r>
    </w:p>
    <w:p w:rsidR="00511045" w:rsidRDefault="00511045" w:rsidP="00511045">
      <w:pPr>
        <w:numPr>
          <w:ilvl w:val="0"/>
          <w:numId w:val="86"/>
        </w:numPr>
        <w:spacing w:before="60" w:after="60" w:line="288" w:lineRule="auto"/>
        <w:jc w:val="both"/>
        <w:rPr>
          <w:rFonts w:cs="Arial"/>
          <w:b/>
        </w:rPr>
      </w:pPr>
      <w:r>
        <w:rPr>
          <w:rFonts w:cs="Arial"/>
          <w:b/>
        </w:rPr>
        <w:t>Ormos House</w:t>
      </w:r>
    </w:p>
    <w:p w:rsidR="00511045" w:rsidRDefault="00511045" w:rsidP="00511045">
      <w:pPr>
        <w:spacing w:before="60" w:after="60" w:line="288" w:lineRule="auto"/>
        <w:jc w:val="both"/>
        <w:rPr>
          <w:rFonts w:cs="Arial"/>
        </w:rPr>
      </w:pPr>
    </w:p>
    <w:p w:rsidR="00511045" w:rsidRDefault="00511045" w:rsidP="00511045">
      <w:pPr>
        <w:spacing w:before="60" w:after="60" w:line="288" w:lineRule="auto"/>
        <w:jc w:val="both"/>
        <w:rPr>
          <w:rFonts w:cs="Arial"/>
          <w:b/>
          <w:i/>
        </w:rPr>
      </w:pPr>
      <w:r>
        <w:rPr>
          <w:rFonts w:cs="Arial"/>
          <w:b/>
          <w:i/>
        </w:rPr>
        <w:t>Churches</w:t>
      </w:r>
    </w:p>
    <w:p w:rsidR="00511045" w:rsidRDefault="00511045" w:rsidP="00511045">
      <w:pPr>
        <w:numPr>
          <w:ilvl w:val="0"/>
          <w:numId w:val="86"/>
        </w:numPr>
        <w:spacing w:before="60" w:after="60" w:line="288" w:lineRule="auto"/>
        <w:jc w:val="both"/>
        <w:rPr>
          <w:rFonts w:cs="Arial"/>
        </w:rPr>
      </w:pPr>
      <w:r>
        <w:rPr>
          <w:rFonts w:cs="Arial"/>
        </w:rPr>
        <w:t>Roman Catholic Cathedral</w:t>
      </w:r>
    </w:p>
    <w:p w:rsidR="00511045" w:rsidRDefault="00511045" w:rsidP="00511045">
      <w:pPr>
        <w:numPr>
          <w:ilvl w:val="0"/>
          <w:numId w:val="86"/>
        </w:numPr>
        <w:spacing w:before="60" w:after="60" w:line="288" w:lineRule="auto"/>
        <w:jc w:val="both"/>
        <w:rPr>
          <w:rFonts w:cs="Arial"/>
        </w:rPr>
      </w:pPr>
      <w:r>
        <w:rPr>
          <w:rFonts w:cs="Arial"/>
        </w:rPr>
        <w:t>Reformed Church in chains</w:t>
      </w:r>
    </w:p>
    <w:p w:rsidR="00511045" w:rsidRDefault="00511045" w:rsidP="00511045">
      <w:pPr>
        <w:numPr>
          <w:ilvl w:val="0"/>
          <w:numId w:val="86"/>
        </w:numPr>
        <w:spacing w:before="60" w:after="60" w:line="288" w:lineRule="auto"/>
        <w:jc w:val="both"/>
        <w:rPr>
          <w:rFonts w:cs="Arial"/>
        </w:rPr>
      </w:pPr>
      <w:r>
        <w:rPr>
          <w:rFonts w:cs="Arial"/>
        </w:rPr>
        <w:t>Greek Catholic Cathedral " St. Archangels Michael and Gabriel "</w:t>
      </w:r>
    </w:p>
    <w:p w:rsidR="00511045" w:rsidRDefault="00511045" w:rsidP="00511045">
      <w:pPr>
        <w:numPr>
          <w:ilvl w:val="0"/>
          <w:numId w:val="86"/>
        </w:numPr>
        <w:spacing w:before="60" w:after="60" w:line="288" w:lineRule="auto"/>
        <w:jc w:val="both"/>
        <w:rPr>
          <w:rFonts w:cs="Arial"/>
        </w:rPr>
      </w:pPr>
      <w:r>
        <w:rPr>
          <w:rFonts w:cs="Arial"/>
        </w:rPr>
        <w:t>Orthodox Church " Assumption" ( " Cathedral " )</w:t>
      </w:r>
    </w:p>
    <w:p w:rsidR="00511045" w:rsidRDefault="00511045" w:rsidP="00511045">
      <w:pPr>
        <w:spacing w:before="60" w:after="60" w:line="288" w:lineRule="auto"/>
        <w:jc w:val="both"/>
        <w:rPr>
          <w:rFonts w:cs="Arial"/>
          <w:b/>
          <w:i/>
        </w:rPr>
      </w:pPr>
      <w:r>
        <w:rPr>
          <w:rFonts w:cs="Arial"/>
          <w:b/>
          <w:i/>
        </w:rPr>
        <w:t>Statues</w:t>
      </w:r>
    </w:p>
    <w:p w:rsidR="00511045" w:rsidRDefault="00511045" w:rsidP="00511045">
      <w:pPr>
        <w:numPr>
          <w:ilvl w:val="0"/>
          <w:numId w:val="86"/>
        </w:numPr>
        <w:spacing w:before="60" w:after="60" w:line="288" w:lineRule="auto"/>
        <w:jc w:val="both"/>
        <w:rPr>
          <w:rFonts w:cs="Arial"/>
        </w:rPr>
      </w:pPr>
      <w:r>
        <w:rPr>
          <w:rFonts w:cs="Arial"/>
        </w:rPr>
        <w:t>Statue Capitoline Wolf ( Wolf )</w:t>
      </w:r>
    </w:p>
    <w:p w:rsidR="00511045" w:rsidRDefault="00511045" w:rsidP="00511045">
      <w:pPr>
        <w:spacing w:before="60" w:after="60" w:line="288" w:lineRule="auto"/>
        <w:jc w:val="both"/>
        <w:rPr>
          <w:rFonts w:cs="Arial"/>
          <w:b/>
          <w:i/>
        </w:rPr>
      </w:pPr>
      <w:r>
        <w:rPr>
          <w:rFonts w:cs="Arial"/>
          <w:b/>
          <w:i/>
        </w:rPr>
        <w:t>Muzeum</w:t>
      </w:r>
    </w:p>
    <w:p w:rsidR="00511045" w:rsidRDefault="00511045" w:rsidP="00511045">
      <w:pPr>
        <w:numPr>
          <w:ilvl w:val="0"/>
          <w:numId w:val="86"/>
        </w:numPr>
        <w:spacing w:before="60" w:after="60" w:line="288" w:lineRule="auto"/>
        <w:jc w:val="both"/>
        <w:rPr>
          <w:rFonts w:cs="Arial"/>
        </w:rPr>
      </w:pPr>
      <w:r>
        <w:rPr>
          <w:rFonts w:cs="Arial"/>
        </w:rPr>
        <w:t>Workshop memorial Aurel Popp</w:t>
      </w:r>
    </w:p>
    <w:p w:rsidR="00511045" w:rsidRDefault="00511045" w:rsidP="00511045">
      <w:pPr>
        <w:numPr>
          <w:ilvl w:val="0"/>
          <w:numId w:val="86"/>
        </w:numPr>
        <w:spacing w:before="60" w:after="60" w:line="288" w:lineRule="auto"/>
        <w:jc w:val="both"/>
        <w:rPr>
          <w:rFonts w:cs="Arial"/>
        </w:rPr>
      </w:pPr>
      <w:r>
        <w:rPr>
          <w:rFonts w:cs="Arial"/>
        </w:rPr>
        <w:t>Memorial House "Vasile Lucaciu "</w:t>
      </w:r>
    </w:p>
    <w:p w:rsidR="00511045" w:rsidRDefault="00511045" w:rsidP="00511045">
      <w:pPr>
        <w:numPr>
          <w:ilvl w:val="0"/>
          <w:numId w:val="86"/>
        </w:numPr>
        <w:spacing w:before="60" w:after="60" w:line="288" w:lineRule="auto"/>
        <w:jc w:val="both"/>
        <w:rPr>
          <w:rFonts w:cs="Arial"/>
        </w:rPr>
      </w:pPr>
      <w:r>
        <w:rPr>
          <w:rFonts w:cs="Arial"/>
        </w:rPr>
        <w:t>County Museum</w:t>
      </w:r>
    </w:p>
    <w:p w:rsidR="00511045" w:rsidRDefault="00511045" w:rsidP="00511045">
      <w:pPr>
        <w:ind w:left="360"/>
        <w:jc w:val="both"/>
        <w:rPr>
          <w:rFonts w:cs="Arial"/>
        </w:rPr>
      </w:pPr>
    </w:p>
    <w:p w:rsidR="00511045" w:rsidRDefault="00511045" w:rsidP="00511045">
      <w:pPr>
        <w:numPr>
          <w:ilvl w:val="0"/>
          <w:numId w:val="92"/>
        </w:numPr>
        <w:spacing w:before="60" w:after="60" w:line="288" w:lineRule="auto"/>
        <w:jc w:val="both"/>
        <w:rPr>
          <w:rFonts w:cs="Arial"/>
          <w:b/>
        </w:rPr>
      </w:pPr>
      <w:r>
        <w:rPr>
          <w:rFonts w:cs="Arial"/>
          <w:b/>
        </w:rPr>
        <w:t>Cultural Heritage in Suceava County</w:t>
      </w:r>
    </w:p>
    <w:p w:rsidR="00511045" w:rsidRDefault="00511045" w:rsidP="00511045">
      <w:pPr>
        <w:spacing w:before="60" w:after="60" w:line="288" w:lineRule="auto"/>
        <w:jc w:val="both"/>
        <w:rPr>
          <w:rFonts w:cs="Arial"/>
        </w:rPr>
      </w:pPr>
    </w:p>
    <w:p w:rsidR="00511045" w:rsidRDefault="00511045" w:rsidP="00511045">
      <w:pPr>
        <w:spacing w:before="60" w:after="60" w:line="288" w:lineRule="auto"/>
        <w:ind w:firstLine="720"/>
        <w:jc w:val="both"/>
        <w:rPr>
          <w:rFonts w:cs="Arial"/>
        </w:rPr>
      </w:pPr>
      <w:r>
        <w:rPr>
          <w:rFonts w:cs="Arial"/>
        </w:rPr>
        <w:t xml:space="preserve">Suceava , one of the oldest cities in Romania and former capital of Moldova has many historical sites and tourist attractions, spread over the village and its surroundings. The city is </w:t>
      </w:r>
      <w:r>
        <w:rPr>
          <w:rFonts w:cs="Arial"/>
        </w:rPr>
        <w:lastRenderedPageBreak/>
        <w:t>characterized by the large number of old Orthodox churches, Armenian, Roman Catholic, Hebrew.These churches and monasteries are evidence of ethnic diversity and multiculturalism settlement.</w:t>
      </w:r>
    </w:p>
    <w:p w:rsidR="00511045" w:rsidRDefault="00511045" w:rsidP="00511045">
      <w:pPr>
        <w:spacing w:before="60" w:after="60" w:line="288" w:lineRule="auto"/>
        <w:ind w:firstLine="720"/>
        <w:jc w:val="both"/>
        <w:rPr>
          <w:rFonts w:cs="Arial"/>
        </w:rPr>
      </w:pPr>
      <w:r>
        <w:rPr>
          <w:rFonts w:cs="Arial"/>
        </w:rPr>
        <w:t>Also in Suceava there are several historical buildings, mostly built in the late nineteenth century and early twentieth century, the period during which the city mayor was Franz Des Loges.Also included are a number of statues , busts , mosaics and other monuments parietal representing sights. Most of the historical and touristic area are located in the old city , region stretching from Fortress (east ) and Şcheia City (west ).</w:t>
      </w:r>
    </w:p>
    <w:p w:rsidR="00511045" w:rsidRDefault="00511045" w:rsidP="00511045">
      <w:pPr>
        <w:spacing w:before="60" w:after="60" w:line="288" w:lineRule="auto"/>
        <w:ind w:firstLine="720"/>
        <w:jc w:val="both"/>
        <w:rPr>
          <w:rFonts w:cs="Arial"/>
        </w:rPr>
      </w:pPr>
      <w:r>
        <w:rPr>
          <w:rFonts w:cs="Arial"/>
          <w:b/>
          <w:i/>
        </w:rPr>
        <w:t>Suceava Museum</w:t>
      </w:r>
      <w:r>
        <w:rPr>
          <w:rFonts w:cs="Arial"/>
        </w:rPr>
        <w:t xml:space="preserve"> was founded in 1895 and acquired legal status on January 4, 1900. Currently, the main attractions include Museum of Bucovina Suceava , but also some memorial houses and museums located in other places in the county :</w:t>
      </w:r>
    </w:p>
    <w:p w:rsidR="00511045" w:rsidRDefault="00511045" w:rsidP="00511045">
      <w:pPr>
        <w:numPr>
          <w:ilvl w:val="0"/>
          <w:numId w:val="90"/>
        </w:numPr>
        <w:spacing w:before="60" w:after="60" w:line="288" w:lineRule="auto"/>
        <w:jc w:val="both"/>
        <w:rPr>
          <w:rFonts w:cs="Arial"/>
        </w:rPr>
      </w:pPr>
      <w:r>
        <w:rPr>
          <w:rFonts w:cs="Arial"/>
        </w:rPr>
        <w:t>Fortress of Suceava</w:t>
      </w:r>
    </w:p>
    <w:p w:rsidR="00511045" w:rsidRDefault="00511045" w:rsidP="00511045">
      <w:pPr>
        <w:numPr>
          <w:ilvl w:val="0"/>
          <w:numId w:val="90"/>
        </w:numPr>
        <w:spacing w:before="60" w:after="60" w:line="288" w:lineRule="auto"/>
        <w:jc w:val="both"/>
        <w:rPr>
          <w:rFonts w:cs="Arial"/>
        </w:rPr>
      </w:pPr>
      <w:r>
        <w:rPr>
          <w:rFonts w:cs="Arial"/>
        </w:rPr>
        <w:t>Royal Court of Suceava</w:t>
      </w:r>
    </w:p>
    <w:p w:rsidR="00511045" w:rsidRDefault="00511045" w:rsidP="00511045">
      <w:pPr>
        <w:numPr>
          <w:ilvl w:val="0"/>
          <w:numId w:val="90"/>
        </w:numPr>
        <w:spacing w:before="60" w:after="60" w:line="288" w:lineRule="auto"/>
        <w:jc w:val="both"/>
        <w:rPr>
          <w:rFonts w:cs="Arial"/>
        </w:rPr>
      </w:pPr>
      <w:r>
        <w:rPr>
          <w:rFonts w:cs="Arial"/>
        </w:rPr>
        <w:t>History Museum in Suceava</w:t>
      </w:r>
    </w:p>
    <w:p w:rsidR="00511045" w:rsidRDefault="00511045" w:rsidP="00511045">
      <w:pPr>
        <w:numPr>
          <w:ilvl w:val="0"/>
          <w:numId w:val="90"/>
        </w:numPr>
        <w:spacing w:before="60" w:after="60" w:line="288" w:lineRule="auto"/>
        <w:jc w:val="both"/>
        <w:rPr>
          <w:rFonts w:cs="Arial"/>
        </w:rPr>
      </w:pPr>
      <w:r>
        <w:rPr>
          <w:rFonts w:cs="Arial"/>
        </w:rPr>
        <w:t>Museum of Natural Sciences in Suceava</w:t>
      </w:r>
    </w:p>
    <w:p w:rsidR="00511045" w:rsidRDefault="00511045" w:rsidP="00511045">
      <w:pPr>
        <w:numPr>
          <w:ilvl w:val="0"/>
          <w:numId w:val="90"/>
        </w:numPr>
        <w:spacing w:before="60" w:after="60" w:line="288" w:lineRule="auto"/>
        <w:jc w:val="both"/>
        <w:rPr>
          <w:rFonts w:cs="Arial"/>
        </w:rPr>
      </w:pPr>
      <w:r>
        <w:rPr>
          <w:rFonts w:cs="Arial"/>
        </w:rPr>
        <w:t>Ethnographic Museum in Suceava ( Royal Inn )</w:t>
      </w:r>
    </w:p>
    <w:p w:rsidR="00511045" w:rsidRDefault="00511045" w:rsidP="00511045">
      <w:pPr>
        <w:numPr>
          <w:ilvl w:val="0"/>
          <w:numId w:val="91"/>
        </w:numPr>
        <w:spacing w:before="60" w:after="60" w:line="288" w:lineRule="auto"/>
        <w:jc w:val="both"/>
        <w:rPr>
          <w:rFonts w:cs="Arial"/>
        </w:rPr>
      </w:pPr>
      <w:r>
        <w:rPr>
          <w:rFonts w:cs="Arial"/>
        </w:rPr>
        <w:t>Bucovina Village Museum</w:t>
      </w:r>
    </w:p>
    <w:p w:rsidR="00511045" w:rsidRDefault="00511045" w:rsidP="00511045">
      <w:pPr>
        <w:numPr>
          <w:ilvl w:val="0"/>
          <w:numId w:val="91"/>
        </w:numPr>
        <w:spacing w:before="60" w:after="60" w:line="288" w:lineRule="auto"/>
        <w:jc w:val="both"/>
        <w:rPr>
          <w:rFonts w:cs="Arial"/>
        </w:rPr>
      </w:pPr>
      <w:r>
        <w:rPr>
          <w:rFonts w:cs="Arial"/>
        </w:rPr>
        <w:t>Cultural Memorial Fund , including:</w:t>
      </w:r>
    </w:p>
    <w:p w:rsidR="00511045" w:rsidRDefault="00511045" w:rsidP="00511045">
      <w:pPr>
        <w:numPr>
          <w:ilvl w:val="1"/>
          <w:numId w:val="88"/>
        </w:numPr>
        <w:spacing w:before="60" w:after="60" w:line="288" w:lineRule="auto"/>
        <w:jc w:val="both"/>
        <w:rPr>
          <w:rFonts w:cs="Arial"/>
        </w:rPr>
      </w:pPr>
      <w:r>
        <w:rPr>
          <w:rFonts w:cs="Arial"/>
        </w:rPr>
        <w:t>Memorial House " Simeon Florea Marian " Suceava</w:t>
      </w:r>
    </w:p>
    <w:p w:rsidR="00511045" w:rsidRDefault="00511045" w:rsidP="00511045">
      <w:pPr>
        <w:numPr>
          <w:ilvl w:val="1"/>
          <w:numId w:val="88"/>
        </w:numPr>
        <w:spacing w:before="60" w:after="60" w:line="288" w:lineRule="auto"/>
        <w:jc w:val="both"/>
        <w:rPr>
          <w:rFonts w:cs="Arial"/>
        </w:rPr>
      </w:pPr>
      <w:r>
        <w:rPr>
          <w:rFonts w:cs="Arial"/>
        </w:rPr>
        <w:t>Memorial House "Nicolae Labis " in Mălini</w:t>
      </w:r>
    </w:p>
    <w:p w:rsidR="00511045" w:rsidRDefault="00511045" w:rsidP="00511045">
      <w:pPr>
        <w:numPr>
          <w:ilvl w:val="1"/>
          <w:numId w:val="88"/>
        </w:numPr>
        <w:spacing w:before="60" w:after="60" w:line="288" w:lineRule="auto"/>
        <w:jc w:val="both"/>
        <w:rPr>
          <w:rFonts w:cs="Arial"/>
        </w:rPr>
      </w:pPr>
      <w:r>
        <w:rPr>
          <w:rFonts w:cs="Arial"/>
        </w:rPr>
        <w:t>Memorial House " Eusebius Camilar " in Udeşti</w:t>
      </w:r>
    </w:p>
    <w:p w:rsidR="00511045" w:rsidRDefault="00511045" w:rsidP="00511045">
      <w:pPr>
        <w:numPr>
          <w:ilvl w:val="1"/>
          <w:numId w:val="88"/>
        </w:numPr>
        <w:spacing w:before="60" w:after="60" w:line="288" w:lineRule="auto"/>
        <w:jc w:val="both"/>
        <w:rPr>
          <w:rFonts w:cs="Arial"/>
        </w:rPr>
      </w:pPr>
      <w:r>
        <w:rPr>
          <w:rFonts w:cs="Arial"/>
        </w:rPr>
        <w:t>Solca House and Museum ( Casa " Saveta Cotrubaş " )</w:t>
      </w:r>
    </w:p>
    <w:p w:rsidR="00511045" w:rsidRDefault="00511045" w:rsidP="00511045">
      <w:pPr>
        <w:numPr>
          <w:ilvl w:val="1"/>
          <w:numId w:val="88"/>
        </w:numPr>
        <w:spacing w:before="60" w:after="60" w:line="288" w:lineRule="auto"/>
        <w:jc w:val="both"/>
        <w:rPr>
          <w:rFonts w:cs="Arial"/>
        </w:rPr>
      </w:pPr>
      <w:r>
        <w:rPr>
          <w:rFonts w:cs="Arial"/>
        </w:rPr>
        <w:t>House and Museum Bilca</w:t>
      </w:r>
    </w:p>
    <w:p w:rsidR="00511045" w:rsidRDefault="00511045" w:rsidP="00511045">
      <w:pPr>
        <w:numPr>
          <w:ilvl w:val="1"/>
          <w:numId w:val="88"/>
        </w:numPr>
        <w:spacing w:before="60" w:after="60" w:line="288" w:lineRule="auto"/>
        <w:jc w:val="both"/>
        <w:rPr>
          <w:rFonts w:cs="Arial"/>
        </w:rPr>
      </w:pPr>
      <w:r>
        <w:rPr>
          <w:rFonts w:cs="Arial"/>
        </w:rPr>
        <w:t>Museum complex " Porumbescu " in Stupca</w:t>
      </w:r>
    </w:p>
    <w:p w:rsidR="00511045" w:rsidRPr="002E01ED" w:rsidRDefault="00511045" w:rsidP="002E01ED">
      <w:pPr>
        <w:rPr>
          <w:b/>
        </w:rPr>
      </w:pPr>
      <w:bookmarkStart w:id="29" w:name="_Toc415825481"/>
      <w:bookmarkStart w:id="30" w:name="_Toc419447353"/>
      <w:bookmarkStart w:id="31" w:name="_Toc419447740"/>
      <w:bookmarkStart w:id="32" w:name="_Toc419447833"/>
      <w:r w:rsidRPr="002E01ED">
        <w:rPr>
          <w:b/>
        </w:rPr>
        <w:t>Churches and monasteries in the number of 19</w:t>
      </w:r>
      <w:bookmarkEnd w:id="29"/>
      <w:bookmarkEnd w:id="30"/>
      <w:bookmarkEnd w:id="31"/>
      <w:bookmarkEnd w:id="32"/>
    </w:p>
    <w:p w:rsidR="00511045" w:rsidRPr="002E01ED" w:rsidRDefault="00511045" w:rsidP="002E01ED">
      <w:pPr>
        <w:rPr>
          <w:b/>
        </w:rPr>
      </w:pPr>
      <w:bookmarkStart w:id="33" w:name="_Toc415825482"/>
      <w:bookmarkStart w:id="34" w:name="_Toc419447354"/>
      <w:bookmarkStart w:id="35" w:name="_Toc419447741"/>
      <w:bookmarkStart w:id="36" w:name="_Toc419447834"/>
      <w:r w:rsidRPr="002E01ED">
        <w:rPr>
          <w:b/>
        </w:rPr>
        <w:t>Memorial houses</w:t>
      </w:r>
      <w:bookmarkEnd w:id="33"/>
      <w:bookmarkEnd w:id="34"/>
      <w:bookmarkEnd w:id="35"/>
      <w:bookmarkEnd w:id="36"/>
    </w:p>
    <w:p w:rsidR="00511045" w:rsidRDefault="00511045" w:rsidP="00511045">
      <w:pPr>
        <w:numPr>
          <w:ilvl w:val="0"/>
          <w:numId w:val="89"/>
        </w:numPr>
        <w:spacing w:before="60" w:after="60" w:line="288" w:lineRule="auto"/>
        <w:jc w:val="both"/>
        <w:rPr>
          <w:rFonts w:cs="Arial"/>
        </w:rPr>
      </w:pPr>
      <w:r>
        <w:rPr>
          <w:rFonts w:cs="Arial"/>
        </w:rPr>
        <w:t>Memorial House " Simeon Florea Marian "</w:t>
      </w:r>
    </w:p>
    <w:p w:rsidR="00511045" w:rsidRDefault="00511045" w:rsidP="00511045">
      <w:pPr>
        <w:numPr>
          <w:ilvl w:val="0"/>
          <w:numId w:val="89"/>
        </w:numPr>
        <w:spacing w:before="60" w:after="60" w:line="288" w:lineRule="auto"/>
        <w:jc w:val="both"/>
        <w:rPr>
          <w:rFonts w:cs="Arial"/>
        </w:rPr>
      </w:pPr>
      <w:r>
        <w:rPr>
          <w:rFonts w:cs="Arial"/>
        </w:rPr>
        <w:t>The house where he lived Porumbescu</w:t>
      </w:r>
    </w:p>
    <w:p w:rsidR="00511045" w:rsidRDefault="00511045" w:rsidP="00511045">
      <w:pPr>
        <w:ind w:left="360"/>
        <w:jc w:val="both"/>
        <w:rPr>
          <w:rFonts w:cs="Arial"/>
        </w:rPr>
      </w:pPr>
    </w:p>
    <w:p w:rsidR="00511045" w:rsidRDefault="00511045" w:rsidP="00511045">
      <w:pPr>
        <w:numPr>
          <w:ilvl w:val="0"/>
          <w:numId w:val="92"/>
        </w:numPr>
        <w:spacing w:before="60" w:after="60" w:line="288" w:lineRule="auto"/>
        <w:jc w:val="both"/>
        <w:rPr>
          <w:rFonts w:cs="Arial"/>
          <w:b/>
        </w:rPr>
      </w:pPr>
      <w:r>
        <w:rPr>
          <w:rFonts w:cs="Arial"/>
          <w:b/>
        </w:rPr>
        <w:t>Cultural Heritage in Tulcea County</w:t>
      </w:r>
    </w:p>
    <w:p w:rsidR="00511045" w:rsidRDefault="00511045" w:rsidP="00511045">
      <w:pPr>
        <w:spacing w:before="60" w:after="60" w:line="288" w:lineRule="auto"/>
        <w:jc w:val="both"/>
        <w:rPr>
          <w:rFonts w:cs="Arial"/>
          <w:b/>
          <w:i/>
        </w:rPr>
      </w:pPr>
    </w:p>
    <w:p w:rsidR="00511045" w:rsidRDefault="00511045" w:rsidP="00511045">
      <w:pPr>
        <w:spacing w:before="60" w:after="60" w:line="288" w:lineRule="auto"/>
        <w:ind w:firstLine="720"/>
        <w:jc w:val="both"/>
        <w:rPr>
          <w:rFonts w:cs="Arial"/>
          <w:bCs/>
          <w:bdr w:val="none" w:sz="0" w:space="0" w:color="auto" w:frame="1"/>
        </w:rPr>
      </w:pPr>
      <w:r>
        <w:rPr>
          <w:rFonts w:cs="Arial"/>
          <w:bCs/>
          <w:bdr w:val="none" w:sz="0" w:space="0" w:color="auto" w:frame="1"/>
        </w:rPr>
        <w:t>Tulcea counties in Romania is one of the richest archaeological heritage , but few sites are designed to be known by tourists. Sites are listed below:</w:t>
      </w:r>
    </w:p>
    <w:p w:rsidR="00511045" w:rsidRDefault="00511045" w:rsidP="00511045">
      <w:pPr>
        <w:numPr>
          <w:ilvl w:val="0"/>
          <w:numId w:val="90"/>
        </w:numPr>
        <w:spacing w:before="60" w:after="60" w:line="288" w:lineRule="auto"/>
        <w:jc w:val="both"/>
        <w:rPr>
          <w:rFonts w:cs="Arial"/>
        </w:rPr>
      </w:pPr>
      <w:r>
        <w:rPr>
          <w:rFonts w:cs="Arial"/>
          <w:b/>
        </w:rPr>
        <w:t>Enisala medieval fortress</w:t>
      </w:r>
      <w:r>
        <w:rPr>
          <w:rFonts w:cs="Arial"/>
        </w:rPr>
        <w:t xml:space="preserve"> , the most visited archaeological site in Tulcea. Near them, on the commune Jurilovca city is Orgame/Argamum, the first town on the territory of Romania.</w:t>
      </w:r>
    </w:p>
    <w:p w:rsidR="00511045" w:rsidRDefault="00511045" w:rsidP="00511045">
      <w:pPr>
        <w:numPr>
          <w:ilvl w:val="0"/>
          <w:numId w:val="90"/>
        </w:numPr>
        <w:spacing w:before="60" w:after="60" w:line="288" w:lineRule="auto"/>
        <w:jc w:val="both"/>
        <w:rPr>
          <w:rFonts w:cs="Arial"/>
        </w:rPr>
      </w:pPr>
      <w:r>
        <w:rPr>
          <w:rFonts w:cs="Arial"/>
          <w:b/>
          <w:bCs/>
        </w:rPr>
        <w:t xml:space="preserve"> Aegyssus Citadel</w:t>
      </w:r>
    </w:p>
    <w:p w:rsidR="00511045" w:rsidRDefault="00511045" w:rsidP="00511045">
      <w:pPr>
        <w:numPr>
          <w:ilvl w:val="0"/>
          <w:numId w:val="90"/>
        </w:numPr>
        <w:spacing w:before="60" w:after="60" w:line="288" w:lineRule="auto"/>
        <w:jc w:val="both"/>
        <w:rPr>
          <w:rFonts w:cs="Arial"/>
          <w:b/>
        </w:rPr>
      </w:pPr>
      <w:r>
        <w:rPr>
          <w:rFonts w:cs="Arial"/>
          <w:b/>
        </w:rPr>
        <w:t xml:space="preserve">Roman-Byzantine fortress Noviodunum </w:t>
      </w:r>
    </w:p>
    <w:p w:rsidR="00511045" w:rsidRDefault="00511045" w:rsidP="00511045">
      <w:pPr>
        <w:numPr>
          <w:ilvl w:val="0"/>
          <w:numId w:val="90"/>
        </w:numPr>
        <w:spacing w:before="60" w:after="60" w:line="288" w:lineRule="auto"/>
        <w:jc w:val="both"/>
        <w:rPr>
          <w:rFonts w:cs="Arial"/>
        </w:rPr>
      </w:pPr>
      <w:r>
        <w:rPr>
          <w:rFonts w:cs="Arial"/>
          <w:b/>
        </w:rPr>
        <w:lastRenderedPageBreak/>
        <w:t>Another site that can enter the UNESCO Dinogeţia citadel</w:t>
      </w:r>
      <w:r>
        <w:rPr>
          <w:rFonts w:cs="Arial"/>
        </w:rPr>
        <w:t xml:space="preserve"> is located in the perimeter Jijila , near the road that links Tulcea and Galati, near a monastery dedicated to ' Fount '.</w:t>
      </w:r>
    </w:p>
    <w:p w:rsidR="00511045" w:rsidRDefault="00511045" w:rsidP="00511045">
      <w:pPr>
        <w:numPr>
          <w:ilvl w:val="0"/>
          <w:numId w:val="90"/>
        </w:numPr>
        <w:spacing w:before="60" w:after="60" w:line="288" w:lineRule="auto"/>
        <w:jc w:val="both"/>
        <w:rPr>
          <w:rFonts w:cs="Arial"/>
        </w:rPr>
      </w:pPr>
      <w:r>
        <w:rPr>
          <w:rFonts w:cs="Arial"/>
          <w:b/>
        </w:rPr>
        <w:t>Dinogeţia was a Dacian settlement , then a Roman fortress mentioned by Ptolemy</w:t>
      </w:r>
      <w:r>
        <w:rPr>
          <w:rFonts w:cs="Arial"/>
        </w:rPr>
        <w:t xml:space="preserve"> in the citadel area more sherds were discovered proving the existence of Roman fortresses and before Diocletian(284-305 AD). At present, the citadel is administered by the Romanian Academy.</w:t>
      </w:r>
    </w:p>
    <w:p w:rsidR="00511045" w:rsidRDefault="00511045" w:rsidP="00511045">
      <w:pPr>
        <w:numPr>
          <w:ilvl w:val="0"/>
          <w:numId w:val="90"/>
        </w:numPr>
        <w:spacing w:before="60" w:after="60" w:line="288" w:lineRule="auto"/>
        <w:jc w:val="both"/>
        <w:rPr>
          <w:rFonts w:cs="Arial"/>
        </w:rPr>
      </w:pPr>
      <w:r>
        <w:rPr>
          <w:rFonts w:cs="Arial"/>
          <w:b/>
        </w:rPr>
        <w:t>Troesmis Fortress</w:t>
      </w:r>
      <w:r>
        <w:rPr>
          <w:rFonts w:cs="Arial"/>
        </w:rPr>
        <w:t xml:space="preserve"> , located on an area of </w:t>
      </w:r>
      <w:r>
        <w:rPr>
          <w:rFonts w:ascii="Cambria Math" w:hAnsi="Cambria Math" w:cs="Cambria Math"/>
        </w:rPr>
        <w:t>​​</w:t>
      </w:r>
      <w:r>
        <w:rPr>
          <w:rFonts w:cs="Arial"/>
        </w:rPr>
        <w:t>about 157 hectares near the village Turcoaia, ICEM runs a non-invasive research project site .</w:t>
      </w:r>
    </w:p>
    <w:p w:rsidR="00511045" w:rsidRDefault="00511045" w:rsidP="00511045">
      <w:pPr>
        <w:numPr>
          <w:ilvl w:val="0"/>
          <w:numId w:val="90"/>
        </w:numPr>
        <w:spacing w:before="60" w:after="60" w:line="288" w:lineRule="auto"/>
        <w:jc w:val="both"/>
        <w:rPr>
          <w:rFonts w:cs="Arial"/>
          <w:b/>
        </w:rPr>
      </w:pPr>
      <w:r>
        <w:rPr>
          <w:rFonts w:cs="Arial"/>
          <w:b/>
        </w:rPr>
        <w:t xml:space="preserve">Halmyris City, </w:t>
      </w:r>
      <w:r>
        <w:rPr>
          <w:rFonts w:cs="Arial"/>
        </w:rPr>
        <w:t>near Murighiol, located on St. George arm of the Danube was inhabited, according to ICEM , the Getae VI -V century BC</w:t>
      </w:r>
    </w:p>
    <w:p w:rsidR="00511045" w:rsidRDefault="00511045" w:rsidP="00511045">
      <w:pPr>
        <w:spacing w:before="60" w:after="60" w:line="288" w:lineRule="auto"/>
        <w:jc w:val="both"/>
        <w:rPr>
          <w:rFonts w:cs="Arial"/>
        </w:rPr>
      </w:pPr>
    </w:p>
    <w:p w:rsidR="00511045" w:rsidRDefault="00511045" w:rsidP="00511045">
      <w:pPr>
        <w:spacing w:before="60" w:after="60" w:line="288" w:lineRule="auto"/>
        <w:jc w:val="both"/>
        <w:rPr>
          <w:rFonts w:cs="Arial"/>
        </w:rPr>
      </w:pPr>
    </w:p>
    <w:p w:rsidR="00511045" w:rsidRDefault="00511045" w:rsidP="00511045">
      <w:pPr>
        <w:numPr>
          <w:ilvl w:val="0"/>
          <w:numId w:val="87"/>
        </w:numPr>
        <w:spacing w:after="200" w:line="276" w:lineRule="auto"/>
        <w:jc w:val="both"/>
        <w:rPr>
          <w:rFonts w:cs="Arial"/>
          <w:b/>
        </w:rPr>
      </w:pPr>
      <w:r>
        <w:rPr>
          <w:rFonts w:cs="Arial"/>
          <w:b/>
        </w:rPr>
        <w:t>UCRAINA</w:t>
      </w:r>
    </w:p>
    <w:p w:rsidR="00511045" w:rsidRDefault="00511045" w:rsidP="00511045">
      <w:pPr>
        <w:autoSpaceDE w:val="0"/>
        <w:autoSpaceDN w:val="0"/>
        <w:adjustRightInd w:val="0"/>
        <w:spacing w:before="60" w:after="60" w:line="288" w:lineRule="auto"/>
        <w:ind w:firstLine="709"/>
        <w:jc w:val="both"/>
        <w:rPr>
          <w:rFonts w:cs="Arial"/>
        </w:rPr>
      </w:pPr>
      <w:r>
        <w:rPr>
          <w:rFonts w:cs="Arial"/>
        </w:rPr>
        <w:t>For Ukraine the information on cultural and historical heritage were taken from documents found on the following websites:</w:t>
      </w:r>
    </w:p>
    <w:p w:rsidR="00511045" w:rsidRDefault="00511045" w:rsidP="00511045">
      <w:pPr>
        <w:numPr>
          <w:ilvl w:val="0"/>
          <w:numId w:val="94"/>
        </w:numPr>
        <w:autoSpaceDE w:val="0"/>
        <w:autoSpaceDN w:val="0"/>
        <w:adjustRightInd w:val="0"/>
        <w:spacing w:before="60" w:after="60" w:line="288" w:lineRule="auto"/>
        <w:ind w:left="993" w:hanging="284"/>
        <w:jc w:val="both"/>
        <w:rPr>
          <w:rFonts w:cs="Arial"/>
        </w:rPr>
      </w:pPr>
      <w:hyperlink r:id="rId72" w:history="1">
        <w:r>
          <w:rPr>
            <w:rStyle w:val="Hyperlink"/>
            <w:rFonts w:cs="Arial"/>
          </w:rPr>
          <w:t>http://en.wikipedia.org/wiki/Ukrainian_Cultural_Heritage_Village</w:t>
        </w:r>
      </w:hyperlink>
    </w:p>
    <w:p w:rsidR="00511045" w:rsidRDefault="00511045" w:rsidP="00511045">
      <w:pPr>
        <w:numPr>
          <w:ilvl w:val="0"/>
          <w:numId w:val="94"/>
        </w:numPr>
        <w:autoSpaceDE w:val="0"/>
        <w:autoSpaceDN w:val="0"/>
        <w:adjustRightInd w:val="0"/>
        <w:spacing w:before="60" w:after="60" w:line="288" w:lineRule="auto"/>
        <w:ind w:left="993" w:hanging="284"/>
        <w:jc w:val="both"/>
        <w:rPr>
          <w:rFonts w:cs="Arial"/>
        </w:rPr>
      </w:pPr>
      <w:hyperlink r:id="rId73" w:history="1">
        <w:r>
          <w:rPr>
            <w:rStyle w:val="Hyperlink"/>
            <w:rFonts w:cs="Arial"/>
          </w:rPr>
          <w:t>http://whc.unesco.org/en/statesparties/ua</w:t>
        </w:r>
      </w:hyperlink>
    </w:p>
    <w:p w:rsidR="00511045" w:rsidRDefault="00511045" w:rsidP="00511045">
      <w:pPr>
        <w:numPr>
          <w:ilvl w:val="0"/>
          <w:numId w:val="93"/>
        </w:numPr>
        <w:autoSpaceDE w:val="0"/>
        <w:autoSpaceDN w:val="0"/>
        <w:adjustRightInd w:val="0"/>
        <w:spacing w:before="60" w:after="60" w:line="288" w:lineRule="auto"/>
        <w:ind w:left="993" w:hanging="284"/>
        <w:jc w:val="both"/>
        <w:rPr>
          <w:rFonts w:cs="Arial"/>
        </w:rPr>
      </w:pPr>
      <w:hyperlink r:id="rId74" w:history="1">
        <w:r>
          <w:rPr>
            <w:rStyle w:val="Hyperlink"/>
            <w:rFonts w:cs="Arial"/>
          </w:rPr>
          <w:t>http://www.history.alberta.ca/ukrainianvillage/</w:t>
        </w:r>
      </w:hyperlink>
      <w:r>
        <w:rPr>
          <w:rFonts w:cs="Arial"/>
        </w:rPr>
        <w:t xml:space="preserve"> </w:t>
      </w:r>
    </w:p>
    <w:p w:rsidR="00511045" w:rsidRDefault="00511045" w:rsidP="00511045">
      <w:pPr>
        <w:numPr>
          <w:ilvl w:val="0"/>
          <w:numId w:val="93"/>
        </w:numPr>
        <w:autoSpaceDE w:val="0"/>
        <w:autoSpaceDN w:val="0"/>
        <w:adjustRightInd w:val="0"/>
        <w:spacing w:before="60" w:after="60" w:line="288" w:lineRule="auto"/>
        <w:ind w:left="993" w:hanging="284"/>
        <w:jc w:val="both"/>
        <w:rPr>
          <w:rFonts w:cs="Arial"/>
        </w:rPr>
      </w:pPr>
      <w:hyperlink r:id="rId75" w:history="1">
        <w:r>
          <w:rPr>
            <w:rStyle w:val="Hyperlink"/>
            <w:rFonts w:cs="Arial"/>
          </w:rPr>
          <w:t>http://culture.pl/en/article/polish-and-ukrainian-tserkvas-make-unesco-list</w:t>
        </w:r>
      </w:hyperlink>
    </w:p>
    <w:p w:rsidR="00511045" w:rsidRDefault="00511045" w:rsidP="00511045">
      <w:pPr>
        <w:autoSpaceDE w:val="0"/>
        <w:autoSpaceDN w:val="0"/>
        <w:adjustRightInd w:val="0"/>
        <w:spacing w:before="60" w:after="60" w:line="288" w:lineRule="auto"/>
        <w:jc w:val="both"/>
        <w:rPr>
          <w:rFonts w:cs="Arial"/>
        </w:rPr>
      </w:pPr>
    </w:p>
    <w:p w:rsidR="00511045" w:rsidRDefault="00511045" w:rsidP="00511045">
      <w:pPr>
        <w:numPr>
          <w:ilvl w:val="0"/>
          <w:numId w:val="91"/>
        </w:numPr>
        <w:autoSpaceDE w:val="0"/>
        <w:autoSpaceDN w:val="0"/>
        <w:adjustRightInd w:val="0"/>
        <w:spacing w:before="60" w:after="60" w:line="288" w:lineRule="auto"/>
        <w:jc w:val="both"/>
        <w:rPr>
          <w:rFonts w:cs="Arial"/>
          <w:b/>
        </w:rPr>
      </w:pPr>
      <w:r>
        <w:rPr>
          <w:rFonts w:cs="Arial"/>
          <w:b/>
        </w:rPr>
        <w:t>CHERNIVTSI Oblast</w:t>
      </w:r>
    </w:p>
    <w:p w:rsidR="00511045" w:rsidRDefault="00511045" w:rsidP="00511045">
      <w:pPr>
        <w:autoSpaceDE w:val="0"/>
        <w:autoSpaceDN w:val="0"/>
        <w:adjustRightInd w:val="0"/>
        <w:spacing w:before="60" w:after="60" w:line="288" w:lineRule="auto"/>
        <w:jc w:val="both"/>
        <w:rPr>
          <w:rFonts w:cs="Arial"/>
        </w:rPr>
      </w:pP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Residence of Bukovinian and Dalmatian Metropolitans - are registered on the List of UNESCO World Heritage Sites from 2011. </w:t>
      </w: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The Chernivtsi Oblast is administratively subdivided into 11 raions (districts). In this region there are a total of 12 monuments included in national cultural heritage. The most are in Chernivtsi city (8 monuments), 2 monuments in Khotyn Raion (the most important is Khotyn Fortress), 1 monument in Novoselytsia Raion and 1 monument in Storozhynets Raion. </w:t>
      </w: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Most of these monuments from Chernivtsi Oblast are churches and cathedrals. </w:t>
      </w:r>
    </w:p>
    <w:p w:rsidR="00511045" w:rsidRDefault="00511045" w:rsidP="00511045">
      <w:pPr>
        <w:autoSpaceDE w:val="0"/>
        <w:autoSpaceDN w:val="0"/>
        <w:adjustRightInd w:val="0"/>
        <w:spacing w:before="60" w:after="60" w:line="288" w:lineRule="auto"/>
        <w:ind w:firstLine="709"/>
        <w:jc w:val="both"/>
        <w:rPr>
          <w:rFonts w:cs="Arial"/>
        </w:rPr>
      </w:pPr>
    </w:p>
    <w:p w:rsidR="00511045" w:rsidRDefault="00511045" w:rsidP="00511045">
      <w:pPr>
        <w:numPr>
          <w:ilvl w:val="0"/>
          <w:numId w:val="91"/>
        </w:numPr>
        <w:autoSpaceDE w:val="0"/>
        <w:autoSpaceDN w:val="0"/>
        <w:adjustRightInd w:val="0"/>
        <w:spacing w:before="60" w:after="60" w:line="288" w:lineRule="auto"/>
        <w:jc w:val="both"/>
        <w:rPr>
          <w:rFonts w:cs="Arial"/>
          <w:b/>
        </w:rPr>
      </w:pPr>
      <w:r>
        <w:rPr>
          <w:rFonts w:cs="Arial"/>
          <w:b/>
        </w:rPr>
        <w:t>ODESSA Oblast</w:t>
      </w:r>
    </w:p>
    <w:p w:rsidR="00511045" w:rsidRDefault="00511045" w:rsidP="00511045">
      <w:pPr>
        <w:autoSpaceDE w:val="0"/>
        <w:autoSpaceDN w:val="0"/>
        <w:adjustRightInd w:val="0"/>
        <w:spacing w:before="60" w:after="60" w:line="288" w:lineRule="auto"/>
        <w:ind w:left="720"/>
        <w:jc w:val="both"/>
        <w:rPr>
          <w:rFonts w:cs="Arial"/>
          <w:b/>
        </w:rPr>
      </w:pPr>
    </w:p>
    <w:p w:rsidR="00511045" w:rsidRDefault="00511045" w:rsidP="00511045">
      <w:pPr>
        <w:autoSpaceDE w:val="0"/>
        <w:autoSpaceDN w:val="0"/>
        <w:adjustRightInd w:val="0"/>
        <w:spacing w:before="60" w:after="60" w:line="288" w:lineRule="auto"/>
        <w:ind w:firstLine="709"/>
        <w:jc w:val="both"/>
        <w:rPr>
          <w:rFonts w:cs="Arial"/>
        </w:rPr>
      </w:pPr>
      <w:r>
        <w:rPr>
          <w:rFonts w:cs="Arial"/>
        </w:rPr>
        <w:t>The Struve Geodetic Arc – as part of the chain of survey triangulations stretching from Hammerfest in Norway to the Black Sea, through 10 countries and over 2.820 km, which yielded the first accurate measurement of a meridian; - are registered on the List of UNESCO World Heritage Sites from 2005;</w:t>
      </w: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The Odessa Oblast is administratively subdivided into 26 raions (districts) and 7 municipalities. In this region there are a large number of monuments included in the cultural </w:t>
      </w:r>
      <w:r>
        <w:rPr>
          <w:rFonts w:cs="Arial"/>
        </w:rPr>
        <w:lastRenderedPageBreak/>
        <w:t xml:space="preserve">heritage of Ukraine. Thus, in the 26 districts, there are a total of 169 monuments that are part of the national cultural heritage. </w:t>
      </w:r>
    </w:p>
    <w:p w:rsidR="00511045" w:rsidRDefault="00511045" w:rsidP="00511045">
      <w:pPr>
        <w:autoSpaceDE w:val="0"/>
        <w:autoSpaceDN w:val="0"/>
        <w:adjustRightInd w:val="0"/>
        <w:spacing w:before="60" w:after="60" w:line="288" w:lineRule="auto"/>
        <w:ind w:firstLine="709"/>
        <w:jc w:val="both"/>
        <w:rPr>
          <w:rFonts w:cs="Arial"/>
        </w:rPr>
      </w:pPr>
      <w:r>
        <w:rPr>
          <w:rFonts w:cs="Arial"/>
        </w:rPr>
        <w:t>A special situation is found in the city of Odessa, where exist about of 1200 monuments. Most of them (several hundreds) are old buildings located on streets such as: Bazarna Street, Pushkinska Street, Marazliyivska Street, Kanatna Street, Katerynynska Street, Koblevska Street, Frantsuzkyi Boulevard, Deribasivska Street, Dvoryanska Street, etc.</w:t>
      </w: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Most of these monuments from Odessa Oblast are churches and cathedrals. </w:t>
      </w:r>
    </w:p>
    <w:p w:rsidR="00511045" w:rsidRDefault="00511045" w:rsidP="00511045">
      <w:pPr>
        <w:autoSpaceDE w:val="0"/>
        <w:autoSpaceDN w:val="0"/>
        <w:adjustRightInd w:val="0"/>
        <w:spacing w:before="60" w:after="60" w:line="288" w:lineRule="auto"/>
        <w:ind w:firstLine="709"/>
        <w:jc w:val="both"/>
        <w:rPr>
          <w:rFonts w:cs="Arial"/>
        </w:rPr>
      </w:pPr>
    </w:p>
    <w:p w:rsidR="00511045" w:rsidRDefault="00511045" w:rsidP="00511045">
      <w:pPr>
        <w:numPr>
          <w:ilvl w:val="0"/>
          <w:numId w:val="91"/>
        </w:numPr>
        <w:autoSpaceDE w:val="0"/>
        <w:autoSpaceDN w:val="0"/>
        <w:adjustRightInd w:val="0"/>
        <w:spacing w:before="60" w:after="60" w:line="288" w:lineRule="auto"/>
        <w:jc w:val="both"/>
        <w:rPr>
          <w:rFonts w:cs="Arial"/>
          <w:b/>
        </w:rPr>
      </w:pPr>
      <w:r>
        <w:rPr>
          <w:rFonts w:cs="Arial"/>
          <w:b/>
        </w:rPr>
        <w:t>IVANO-FRANKVISK Oblast</w:t>
      </w:r>
    </w:p>
    <w:p w:rsidR="00511045" w:rsidRDefault="00511045" w:rsidP="00511045">
      <w:pPr>
        <w:autoSpaceDE w:val="0"/>
        <w:autoSpaceDN w:val="0"/>
        <w:adjustRightInd w:val="0"/>
        <w:spacing w:before="60" w:after="60" w:line="288" w:lineRule="auto"/>
        <w:ind w:left="720"/>
        <w:jc w:val="both"/>
        <w:rPr>
          <w:rFonts w:cs="Arial"/>
          <w:b/>
        </w:rPr>
      </w:pPr>
    </w:p>
    <w:p w:rsidR="00511045" w:rsidRDefault="00511045" w:rsidP="00511045">
      <w:pPr>
        <w:autoSpaceDE w:val="0"/>
        <w:autoSpaceDN w:val="0"/>
        <w:adjustRightInd w:val="0"/>
        <w:spacing w:before="60" w:after="60" w:line="288" w:lineRule="auto"/>
        <w:ind w:firstLine="709"/>
        <w:jc w:val="both"/>
        <w:rPr>
          <w:rFonts w:cs="Arial"/>
        </w:rPr>
      </w:pPr>
      <w:r>
        <w:rPr>
          <w:rFonts w:cs="Arial"/>
        </w:rPr>
        <w:t xml:space="preserve">The Ivano-Frankvisk Oblsat is administratively subdivided into 14 raions (districts) and 5 cities (municipalities). In whole region there are a total of 85 monuments which are included in the national cultural heritage. Most of them are located in Dolyna Raion – 19 monuments and in Halych Raion – 14 monuments. Also, as in other districts, most of the monuments are churches and cathedrals. </w:t>
      </w:r>
    </w:p>
    <w:p w:rsidR="00511045" w:rsidRDefault="00511045" w:rsidP="00511045">
      <w:pPr>
        <w:autoSpaceDE w:val="0"/>
        <w:autoSpaceDN w:val="0"/>
        <w:adjustRightInd w:val="0"/>
        <w:spacing w:before="60" w:after="60" w:line="288" w:lineRule="auto"/>
        <w:ind w:firstLine="709"/>
        <w:jc w:val="both"/>
        <w:rPr>
          <w:rFonts w:cs="Arial"/>
        </w:rPr>
      </w:pPr>
    </w:p>
    <w:p w:rsidR="00511045" w:rsidRDefault="00511045" w:rsidP="00511045">
      <w:pPr>
        <w:numPr>
          <w:ilvl w:val="0"/>
          <w:numId w:val="91"/>
        </w:numPr>
        <w:autoSpaceDE w:val="0"/>
        <w:autoSpaceDN w:val="0"/>
        <w:adjustRightInd w:val="0"/>
        <w:spacing w:before="60" w:after="60" w:line="288" w:lineRule="auto"/>
        <w:jc w:val="both"/>
        <w:rPr>
          <w:rFonts w:cs="Arial"/>
          <w:b/>
        </w:rPr>
      </w:pPr>
      <w:r>
        <w:rPr>
          <w:rFonts w:cs="Arial"/>
          <w:b/>
        </w:rPr>
        <w:t>ZAKARPATTIA Oblast (Transcarpathian Oblast)</w:t>
      </w:r>
    </w:p>
    <w:p w:rsidR="00511045" w:rsidRDefault="00511045" w:rsidP="00511045">
      <w:pPr>
        <w:autoSpaceDE w:val="0"/>
        <w:autoSpaceDN w:val="0"/>
        <w:adjustRightInd w:val="0"/>
        <w:spacing w:before="60" w:after="60" w:line="288" w:lineRule="auto"/>
        <w:ind w:left="720"/>
        <w:jc w:val="both"/>
        <w:rPr>
          <w:rFonts w:cs="Arial"/>
          <w:b/>
        </w:rPr>
      </w:pPr>
    </w:p>
    <w:p w:rsidR="00511045" w:rsidRDefault="00511045" w:rsidP="00511045">
      <w:pPr>
        <w:autoSpaceDE w:val="0"/>
        <w:autoSpaceDN w:val="0"/>
        <w:adjustRightInd w:val="0"/>
        <w:spacing w:before="60" w:after="60" w:line="288" w:lineRule="auto"/>
        <w:jc w:val="both"/>
        <w:rPr>
          <w:rFonts w:cs="Arial"/>
        </w:rPr>
      </w:pPr>
      <w:r>
        <w:rPr>
          <w:rFonts w:cs="Arial"/>
        </w:rPr>
        <w:t>Zakarpattia Oblast is administratively subdivided into 13 raions (districts), as well as 5 cities (municipalities).  In this region there are a total of 126 monuments which are included in the national cultural heritage. Most of them are located in Uzhhorod city (53 monuments) and in Mukachevo city (31 monuments) these two are the most important cities from the region.</w:t>
      </w:r>
    </w:p>
    <w:p w:rsidR="00511045" w:rsidRDefault="00511045" w:rsidP="00511045">
      <w:pPr>
        <w:autoSpaceDE w:val="0"/>
        <w:autoSpaceDN w:val="0"/>
        <w:adjustRightInd w:val="0"/>
        <w:spacing w:before="60" w:after="60" w:line="288" w:lineRule="auto"/>
        <w:jc w:val="both"/>
        <w:rPr>
          <w:rFonts w:cs="Arial"/>
        </w:rPr>
      </w:pPr>
      <w:r>
        <w:rPr>
          <w:rFonts w:cs="Arial"/>
        </w:rPr>
        <w:t>Also, churches and cathedrals ranks first among monuments.</w:t>
      </w:r>
    </w:p>
    <w:p w:rsidR="00511045" w:rsidRDefault="00511045" w:rsidP="00511045">
      <w:pPr>
        <w:jc w:val="both"/>
      </w:pPr>
    </w:p>
    <w:p w:rsidR="00511045" w:rsidRDefault="00511045" w:rsidP="00511045">
      <w:pPr>
        <w:rPr>
          <w:b/>
          <w:snapToGrid w:val="0"/>
          <w:position w:val="-6"/>
        </w:rPr>
      </w:pPr>
      <w:r>
        <w:rPr>
          <w:b/>
          <w:snapToGrid w:val="0"/>
          <w:position w:val="-6"/>
        </w:rPr>
        <w:br w:type="page"/>
      </w:r>
    </w:p>
    <w:p w:rsidR="00511045" w:rsidRDefault="00511045" w:rsidP="00511045">
      <w:pPr>
        <w:pStyle w:val="Title"/>
        <w:numPr>
          <w:ilvl w:val="0"/>
          <w:numId w:val="6"/>
        </w:numPr>
        <w:jc w:val="left"/>
        <w:rPr>
          <w:rFonts w:ascii="Arial" w:hAnsi="Arial" w:cs="Arial"/>
          <w:sz w:val="24"/>
          <w:szCs w:val="24"/>
          <w:lang w:val="en-GB"/>
        </w:rPr>
      </w:pPr>
      <w:bookmarkStart w:id="37" w:name="_Toc419704933"/>
      <w:r>
        <w:rPr>
          <w:rFonts w:ascii="Arial" w:hAnsi="Arial" w:cs="Arial"/>
          <w:sz w:val="24"/>
          <w:szCs w:val="24"/>
          <w:lang w:val="en-GB"/>
        </w:rPr>
        <w:lastRenderedPageBreak/>
        <w:t>THE ENVIRONMENTAL PROTECTION OBJECTIVES, ESTABLISHED AT INTERNATIONAL, COMMUNITY OR MEMBER STATE LEVEL, WHICH ARE RELEVANT TO THE PROGRAMME AND THE WAY THOSE OBJECTIVES AND ANY ENVIRONMENTAL CONSIDERATIONS HAVE BEEN TAKEN INTO ACCOUNT DURING ITS PREPARATION</w:t>
      </w:r>
      <w:bookmarkEnd w:id="37"/>
    </w:p>
    <w:p w:rsidR="00511045" w:rsidRDefault="00511045" w:rsidP="00511045">
      <w:pPr>
        <w:ind w:left="720"/>
        <w:contextualSpacing/>
        <w:rPr>
          <w:rFonts w:eastAsia="EUAlbertina-Regular-Identity-H" w:cs="Arial"/>
          <w:b/>
          <w:lang w:val="en-GB" w:eastAsia="en-US"/>
        </w:rPr>
      </w:pPr>
    </w:p>
    <w:p w:rsidR="00511045" w:rsidRDefault="00511045" w:rsidP="00511045">
      <w:pPr>
        <w:pStyle w:val="Heading1"/>
        <w:numPr>
          <w:ilvl w:val="0"/>
          <w:numId w:val="37"/>
        </w:numPr>
        <w:ind w:hanging="360"/>
        <w:rPr>
          <w:rFonts w:eastAsia="Calibri" w:cs="Arial"/>
          <w:b w:val="0"/>
          <w:lang w:val="en-GB" w:eastAsia="en-US"/>
        </w:rPr>
      </w:pPr>
      <w:bookmarkStart w:id="38" w:name="_Toc419704934"/>
      <w:r>
        <w:rPr>
          <w:rFonts w:ascii="Arial" w:hAnsi="Arial" w:cs="Arial"/>
          <w:sz w:val="24"/>
          <w:szCs w:val="24"/>
          <w:lang w:val="en-GB" w:eastAsia="ro-RO"/>
        </w:rPr>
        <w:t>ROMANIA</w:t>
      </w:r>
      <w:bookmarkEnd w:id="38"/>
      <w:r>
        <w:rPr>
          <w:rFonts w:eastAsia="Calibri" w:cs="Arial"/>
          <w:b w:val="0"/>
          <w:lang w:val="en-GB" w:eastAsia="en-US"/>
        </w:rPr>
        <w:br/>
        <w:t xml:space="preserve">          </w:t>
      </w:r>
    </w:p>
    <w:p w:rsidR="00511045" w:rsidRDefault="00511045" w:rsidP="00511045">
      <w:pPr>
        <w:spacing w:before="60" w:after="60" w:line="288" w:lineRule="auto"/>
        <w:ind w:left="720"/>
        <w:contextualSpacing/>
        <w:jc w:val="both"/>
        <w:rPr>
          <w:rFonts w:eastAsia="Calibri" w:cs="Arial"/>
          <w:b/>
          <w:lang w:val="en-GB" w:eastAsia="en-US"/>
        </w:rPr>
      </w:pPr>
      <w:r>
        <w:rPr>
          <w:rFonts w:eastAsia="Calibri" w:cs="Arial"/>
          <w:b/>
          <w:i/>
          <w:lang w:val="en-US" w:eastAsia="en-US"/>
        </w:rPr>
        <w:t xml:space="preserve">The Partnership Agreement with </w:t>
      </w:r>
      <w:r>
        <w:rPr>
          <w:rFonts w:eastAsia="Calibri" w:cs="Arial"/>
          <w:b/>
          <w:i/>
          <w:lang w:val="en-GB" w:eastAsia="en-US"/>
        </w:rPr>
        <w:t>Romania</w:t>
      </w:r>
    </w:p>
    <w:p w:rsidR="00511045" w:rsidRDefault="00511045" w:rsidP="00511045">
      <w:pPr>
        <w:spacing w:before="60" w:after="60" w:line="288" w:lineRule="auto"/>
        <w:contextualSpacing/>
        <w:jc w:val="both"/>
        <w:rPr>
          <w:rFonts w:eastAsia="Calibri" w:cs="Arial"/>
          <w:lang w:val="en-US" w:eastAsia="en-US"/>
        </w:rPr>
      </w:pPr>
      <w:r>
        <w:rPr>
          <w:rFonts w:eastAsia="Calibri" w:cs="Arial"/>
          <w:lang w:val="en-GB" w:eastAsia="en-US"/>
        </w:rPr>
        <w:t xml:space="preserve">          </w:t>
      </w:r>
      <w:r>
        <w:rPr>
          <w:rFonts w:eastAsia="Calibri" w:cs="Arial"/>
          <w:lang w:val="en-US" w:eastAsia="en-US"/>
        </w:rPr>
        <w:t xml:space="preserve">The Partnership Agreement (PA) Romania - EU approved on August 6, 2014 provides the strategic framework for the necessary reforms and investment to be carried out in the 2014-2020 period. The PA is the main strategic document, covering needs and investments totalizing approximately 40 billion Euros.     </w:t>
      </w:r>
    </w:p>
    <w:p w:rsidR="00511045" w:rsidRDefault="00511045" w:rsidP="00511045">
      <w:pPr>
        <w:spacing w:before="60" w:after="60" w:line="288" w:lineRule="auto"/>
        <w:ind w:firstLine="709"/>
        <w:contextualSpacing/>
        <w:jc w:val="both"/>
        <w:rPr>
          <w:rFonts w:eastAsia="Calibri" w:cs="Arial"/>
          <w:lang w:val="en-GB" w:eastAsia="en-US"/>
        </w:rPr>
      </w:pPr>
      <w:r>
        <w:rPr>
          <w:rFonts w:eastAsia="Calibri" w:cs="Arial"/>
          <w:lang w:val="en-US" w:eastAsia="en-US"/>
        </w:rPr>
        <w:t>The PA objectives are totally coherent and convergent with ENI CBC Thematic Objectives due to the fact that the documents are converging in EU 2020 strategy.</w:t>
      </w:r>
      <w:r>
        <w:rPr>
          <w:rFonts w:eastAsia="Calibri" w:cs="Arial"/>
          <w:lang w:val="en" w:eastAsia="en-US"/>
        </w:rPr>
        <w:t xml:space="preserve"> The main development issues in terms of environmental protection and resource efficiency are the following</w:t>
      </w:r>
      <w:r>
        <w:rPr>
          <w:rFonts w:eastAsia="Calibri" w:cs="Arial"/>
          <w:lang w:val="en-GB" w:eastAsia="en-US"/>
        </w:rPr>
        <w:t>:</w:t>
      </w:r>
    </w:p>
    <w:p w:rsidR="00511045" w:rsidRDefault="00511045" w:rsidP="00511045">
      <w:pPr>
        <w:numPr>
          <w:ilvl w:val="0"/>
          <w:numId w:val="75"/>
        </w:numPr>
        <w:spacing w:before="60" w:after="60" w:line="288" w:lineRule="auto"/>
        <w:ind w:left="993" w:hanging="284"/>
        <w:contextualSpacing/>
        <w:jc w:val="both"/>
        <w:rPr>
          <w:rFonts w:eastAsia="Calibri" w:cs="Arial"/>
          <w:lang w:val="en" w:eastAsia="en-US"/>
        </w:rPr>
      </w:pPr>
      <w:r>
        <w:rPr>
          <w:rFonts w:eastAsia="Calibri" w:cs="Arial"/>
          <w:lang w:val="en" w:eastAsia="en-US"/>
        </w:rPr>
        <w:t>Expanding public access to water services in the context of the</w:t>
      </w:r>
    </w:p>
    <w:p w:rsidR="00511045" w:rsidRDefault="00511045" w:rsidP="00511045">
      <w:pPr>
        <w:spacing w:before="60" w:after="60" w:line="288" w:lineRule="auto"/>
        <w:contextualSpacing/>
        <w:jc w:val="both"/>
        <w:rPr>
          <w:rFonts w:eastAsia="Calibri" w:cs="Arial"/>
          <w:lang w:val="en" w:eastAsia="en-US"/>
        </w:rPr>
      </w:pPr>
      <w:r>
        <w:rPr>
          <w:rFonts w:eastAsia="Calibri" w:cs="Arial"/>
          <w:lang w:val="en" w:eastAsia="en-US"/>
        </w:rPr>
        <w:t>Framework Directive, regarding the water and watershed management plans;</w:t>
      </w:r>
    </w:p>
    <w:p w:rsidR="00511045" w:rsidRDefault="00511045" w:rsidP="00511045">
      <w:pPr>
        <w:numPr>
          <w:ilvl w:val="0"/>
          <w:numId w:val="75"/>
        </w:numPr>
        <w:spacing w:before="60" w:after="60" w:line="288" w:lineRule="auto"/>
        <w:ind w:left="993" w:hanging="284"/>
        <w:contextualSpacing/>
        <w:jc w:val="both"/>
        <w:rPr>
          <w:rFonts w:eastAsia="Calibri" w:cs="Arial"/>
          <w:lang w:val="en" w:eastAsia="en-US"/>
        </w:rPr>
      </w:pPr>
      <w:r>
        <w:rPr>
          <w:rFonts w:eastAsia="Calibri" w:cs="Arial"/>
          <w:lang w:val="en" w:eastAsia="en-US"/>
        </w:rPr>
        <w:t>Implementing and upgrading infrastructure for compliance with the requirements of the Directive on waste and Plans Waste Management and prevention programs and maintenance;</w:t>
      </w:r>
    </w:p>
    <w:p w:rsidR="00511045" w:rsidRDefault="00511045" w:rsidP="00511045">
      <w:pPr>
        <w:numPr>
          <w:ilvl w:val="0"/>
          <w:numId w:val="75"/>
        </w:numPr>
        <w:spacing w:before="60" w:after="60" w:line="288" w:lineRule="auto"/>
        <w:ind w:left="993" w:hanging="284"/>
        <w:contextualSpacing/>
        <w:jc w:val="both"/>
        <w:rPr>
          <w:rFonts w:eastAsia="Calibri" w:cs="Arial"/>
          <w:lang w:val="en" w:eastAsia="en-US"/>
        </w:rPr>
      </w:pPr>
      <w:r>
        <w:rPr>
          <w:rFonts w:eastAsia="Calibri" w:cs="Arial"/>
          <w:lang w:val="en" w:eastAsia="en-US"/>
        </w:rPr>
        <w:t>Protection and nature conservation, including a coherent and functional network Natura 2000, support for high nature value farming systems and restoration of degraded ecosystems; Sustainable management of natural resources in Romania, including landscapes, farmland, forests, inland waters and coastal protected areas and biodiversity;</w:t>
      </w:r>
    </w:p>
    <w:p w:rsidR="00511045" w:rsidRDefault="00511045" w:rsidP="00511045">
      <w:pPr>
        <w:numPr>
          <w:ilvl w:val="0"/>
          <w:numId w:val="75"/>
        </w:numPr>
        <w:spacing w:before="60" w:after="60" w:line="288" w:lineRule="auto"/>
        <w:ind w:left="993" w:hanging="284"/>
        <w:contextualSpacing/>
        <w:jc w:val="both"/>
        <w:rPr>
          <w:rFonts w:eastAsia="Calibri" w:cs="Arial"/>
          <w:lang w:val="en" w:eastAsia="en-US"/>
        </w:rPr>
      </w:pPr>
      <w:r>
        <w:rPr>
          <w:rFonts w:eastAsia="Calibri" w:cs="Arial"/>
          <w:lang w:val="en" w:eastAsia="en-US"/>
        </w:rPr>
        <w:t>Development and improvement of air quality assessment and monitoring;</w:t>
      </w:r>
    </w:p>
    <w:p w:rsidR="00511045" w:rsidRDefault="00511045" w:rsidP="00511045">
      <w:pPr>
        <w:numPr>
          <w:ilvl w:val="0"/>
          <w:numId w:val="75"/>
        </w:numPr>
        <w:spacing w:before="60" w:after="60" w:line="288" w:lineRule="auto"/>
        <w:ind w:left="993" w:hanging="284"/>
        <w:contextualSpacing/>
        <w:jc w:val="both"/>
        <w:rPr>
          <w:rFonts w:eastAsia="Calibri" w:cs="Arial"/>
          <w:lang w:val="en" w:eastAsia="en-US"/>
        </w:rPr>
      </w:pPr>
      <w:r>
        <w:rPr>
          <w:rFonts w:eastAsia="Calibri" w:cs="Arial"/>
          <w:lang w:val="en" w:eastAsia="en-US"/>
        </w:rPr>
        <w:t>Improving urban sustainable transport and reducing pollution;</w:t>
      </w:r>
    </w:p>
    <w:p w:rsidR="00511045" w:rsidRDefault="00511045" w:rsidP="00511045">
      <w:pPr>
        <w:numPr>
          <w:ilvl w:val="0"/>
          <w:numId w:val="75"/>
        </w:numPr>
        <w:spacing w:before="60" w:after="60" w:line="288" w:lineRule="auto"/>
        <w:ind w:left="993" w:hanging="284"/>
        <w:contextualSpacing/>
        <w:jc w:val="both"/>
        <w:rPr>
          <w:rFonts w:eastAsia="Calibri" w:cs="Arial"/>
          <w:lang w:val="en" w:eastAsia="en-US"/>
        </w:rPr>
      </w:pPr>
      <w:r>
        <w:rPr>
          <w:rFonts w:eastAsia="Calibri" w:cs="Arial"/>
          <w:lang w:val="en" w:eastAsia="en-US"/>
        </w:rPr>
        <w:t>Addressing the situation of abandoned and contaminated sites, and management of existing sources of pollution;</w:t>
      </w:r>
    </w:p>
    <w:p w:rsidR="00511045" w:rsidRDefault="00511045" w:rsidP="00511045">
      <w:pPr>
        <w:numPr>
          <w:ilvl w:val="0"/>
          <w:numId w:val="75"/>
        </w:numPr>
        <w:spacing w:before="60" w:after="60" w:line="288" w:lineRule="auto"/>
        <w:ind w:left="993" w:hanging="284"/>
        <w:contextualSpacing/>
        <w:jc w:val="both"/>
        <w:rPr>
          <w:rFonts w:eastAsia="Calibri" w:cs="Arial"/>
          <w:lang w:val="en" w:eastAsia="en-US"/>
        </w:rPr>
      </w:pPr>
      <w:r>
        <w:rPr>
          <w:rFonts w:eastAsia="Calibri" w:cs="Arial"/>
          <w:lang w:val="en" w:eastAsia="en-US"/>
        </w:rPr>
        <w:t>Preservation and protection of cultural heritage;</w:t>
      </w:r>
    </w:p>
    <w:p w:rsidR="00511045" w:rsidRDefault="00511045" w:rsidP="00511045">
      <w:pPr>
        <w:numPr>
          <w:ilvl w:val="0"/>
          <w:numId w:val="75"/>
        </w:numPr>
        <w:spacing w:before="60" w:after="60" w:line="288" w:lineRule="auto"/>
        <w:ind w:left="993" w:hanging="284"/>
        <w:contextualSpacing/>
        <w:jc w:val="both"/>
        <w:rPr>
          <w:rFonts w:eastAsia="Calibri" w:cs="Arial"/>
          <w:lang w:val="en" w:eastAsia="en-US"/>
        </w:rPr>
      </w:pPr>
      <w:r>
        <w:rPr>
          <w:rFonts w:eastAsia="Calibri" w:cs="Arial"/>
          <w:lang w:val="en" w:eastAsia="en-US"/>
        </w:rPr>
        <w:t>Reduce the risk of abandonment of farming activities;</w:t>
      </w:r>
    </w:p>
    <w:p w:rsidR="00511045" w:rsidRDefault="00511045" w:rsidP="00511045">
      <w:pPr>
        <w:numPr>
          <w:ilvl w:val="0"/>
          <w:numId w:val="75"/>
        </w:numPr>
        <w:spacing w:before="60" w:after="60" w:line="288" w:lineRule="auto"/>
        <w:ind w:left="993" w:hanging="284"/>
        <w:contextualSpacing/>
        <w:jc w:val="both"/>
        <w:rPr>
          <w:rFonts w:eastAsia="Calibri" w:cs="Arial"/>
          <w:lang w:val="en" w:eastAsia="en-US"/>
        </w:rPr>
      </w:pPr>
      <w:r>
        <w:rPr>
          <w:rFonts w:eastAsia="Calibri" w:cs="Arial"/>
          <w:lang w:val="en" w:eastAsia="en-US"/>
        </w:rPr>
        <w:t>Development of public institutions through integrated management plan.</w:t>
      </w:r>
    </w:p>
    <w:p w:rsidR="00511045" w:rsidRDefault="00511045" w:rsidP="00511045">
      <w:pPr>
        <w:spacing w:before="60" w:after="60" w:line="288" w:lineRule="auto"/>
        <w:ind w:left="720"/>
        <w:jc w:val="both"/>
        <w:rPr>
          <w:rFonts w:eastAsia="Calibri" w:cs="Arial"/>
          <w:i/>
          <w:lang w:val="en-GB" w:eastAsia="en-US"/>
        </w:rPr>
      </w:pPr>
    </w:p>
    <w:p w:rsidR="00511045" w:rsidRPr="0088539B" w:rsidRDefault="00511045" w:rsidP="00511045">
      <w:pPr>
        <w:spacing w:before="60" w:after="60" w:line="288" w:lineRule="auto"/>
        <w:ind w:left="720"/>
        <w:jc w:val="both"/>
        <w:rPr>
          <w:rFonts w:eastAsia="Calibri" w:cs="Arial"/>
          <w:lang w:val="en-GB" w:eastAsia="en-US"/>
        </w:rPr>
      </w:pPr>
      <w:r w:rsidRPr="0088539B">
        <w:rPr>
          <w:rFonts w:eastAsia="Calibri" w:cs="Arial"/>
          <w:lang w:val="en-GB" w:eastAsia="en-US"/>
        </w:rPr>
        <w:t>Based on the conclusions of the analyse on development difficulties and prevention of emergency situations the main development needs are:</w:t>
      </w:r>
    </w:p>
    <w:p w:rsidR="00511045" w:rsidRPr="0088539B" w:rsidRDefault="00511045" w:rsidP="00511045">
      <w:pPr>
        <w:pStyle w:val="ListParagraph"/>
        <w:numPr>
          <w:ilvl w:val="0"/>
          <w:numId w:val="91"/>
        </w:numPr>
        <w:spacing w:line="288" w:lineRule="auto"/>
        <w:rPr>
          <w:rFonts w:eastAsia="Calibri" w:cs="Arial"/>
          <w:lang w:val="en-GB" w:eastAsia="en-US"/>
        </w:rPr>
      </w:pPr>
      <w:r w:rsidRPr="0088539B">
        <w:rPr>
          <w:rFonts w:eastAsia="Calibri" w:cs="Arial"/>
          <w:lang w:val="en-GB" w:eastAsia="en-US"/>
        </w:rPr>
        <w:t>improving Romania's ability to anticipate, prevent and respond to emergencies, natural or anthropogenic extreme;</w:t>
      </w:r>
    </w:p>
    <w:p w:rsidR="00511045" w:rsidRPr="0088539B" w:rsidRDefault="00511045" w:rsidP="00511045">
      <w:pPr>
        <w:pStyle w:val="ListParagraph"/>
        <w:numPr>
          <w:ilvl w:val="0"/>
          <w:numId w:val="91"/>
        </w:numPr>
        <w:spacing w:line="288" w:lineRule="auto"/>
        <w:rPr>
          <w:rFonts w:eastAsia="Calibri" w:cs="Arial"/>
          <w:lang w:val="en-GB" w:eastAsia="en-US"/>
        </w:rPr>
      </w:pPr>
      <w:r w:rsidRPr="0088539B">
        <w:rPr>
          <w:rFonts w:eastAsia="Calibri" w:cs="Arial"/>
          <w:lang w:val="en-GB" w:eastAsia="en-US"/>
        </w:rPr>
        <w:t>Romania improved adaptation and resilience to the negative consequences of climate change and, in particular, the increased incidence of extreme heat events, drought, coastal erosion and flooding in the National Strategy on Climate Change;</w:t>
      </w:r>
    </w:p>
    <w:p w:rsidR="00511045" w:rsidRPr="0088539B" w:rsidRDefault="00511045" w:rsidP="00511045">
      <w:pPr>
        <w:pStyle w:val="ListParagraph"/>
        <w:numPr>
          <w:ilvl w:val="0"/>
          <w:numId w:val="91"/>
        </w:numPr>
        <w:spacing w:line="288" w:lineRule="auto"/>
        <w:rPr>
          <w:rFonts w:eastAsia="Calibri" w:cs="Arial"/>
          <w:lang w:val="en-GB" w:eastAsia="en-US"/>
        </w:rPr>
      </w:pPr>
      <w:r w:rsidRPr="0088539B">
        <w:rPr>
          <w:rFonts w:eastAsia="Calibri" w:cs="Arial"/>
          <w:lang w:val="en-GB" w:eastAsia="en-US"/>
        </w:rPr>
        <w:t>Romania improved adaptation and resilience resistance to other natural and anthropogenic risks;</w:t>
      </w:r>
    </w:p>
    <w:p w:rsidR="00511045" w:rsidRPr="0088539B" w:rsidRDefault="00511045" w:rsidP="00511045">
      <w:pPr>
        <w:pStyle w:val="ListParagraph"/>
        <w:numPr>
          <w:ilvl w:val="0"/>
          <w:numId w:val="91"/>
        </w:numPr>
        <w:spacing w:line="288" w:lineRule="auto"/>
        <w:rPr>
          <w:rFonts w:eastAsia="Calibri" w:cs="Arial"/>
          <w:lang w:val="en-GB" w:eastAsia="en-US"/>
        </w:rPr>
      </w:pPr>
      <w:r w:rsidRPr="0088539B">
        <w:rPr>
          <w:rFonts w:eastAsia="Calibri" w:cs="Arial"/>
          <w:lang w:val="en-GB" w:eastAsia="en-US"/>
        </w:rPr>
        <w:lastRenderedPageBreak/>
        <w:t>adoption of farming practices to improve resilience to climate change; advisory servicae should accompany the adoption of measures at farm level;</w:t>
      </w:r>
    </w:p>
    <w:p w:rsidR="00511045" w:rsidRPr="002E01ED" w:rsidRDefault="00511045" w:rsidP="002E01ED">
      <w:pPr>
        <w:pStyle w:val="ListParagraph"/>
        <w:numPr>
          <w:ilvl w:val="0"/>
          <w:numId w:val="91"/>
        </w:numPr>
        <w:spacing w:line="288" w:lineRule="auto"/>
        <w:rPr>
          <w:rFonts w:eastAsia="Calibri" w:cs="Arial"/>
          <w:i/>
          <w:lang w:val="en-GB" w:eastAsia="en-US"/>
        </w:rPr>
      </w:pPr>
      <w:r w:rsidRPr="0088539B">
        <w:rPr>
          <w:rFonts w:eastAsia="Calibri" w:cs="Arial"/>
          <w:lang w:val="en-GB" w:eastAsia="en-US"/>
        </w:rPr>
        <w:t>enhance water efficiency in agriculture contributes to climate change adaptation.</w:t>
      </w:r>
    </w:p>
    <w:p w:rsidR="00511045" w:rsidRDefault="00511045" w:rsidP="00511045">
      <w:pPr>
        <w:spacing w:before="60" w:after="60" w:line="288" w:lineRule="auto"/>
        <w:ind w:left="720"/>
        <w:jc w:val="both"/>
        <w:rPr>
          <w:rFonts w:eastAsia="Calibri" w:cs="Arial"/>
          <w:i/>
          <w:lang w:val="en-GB" w:eastAsia="en-US"/>
        </w:rPr>
      </w:pPr>
    </w:p>
    <w:p w:rsidR="00511045" w:rsidRDefault="00511045" w:rsidP="00511045">
      <w:pPr>
        <w:spacing w:before="60" w:after="60" w:line="288" w:lineRule="auto"/>
        <w:ind w:firstLine="720"/>
        <w:contextualSpacing/>
        <w:jc w:val="both"/>
        <w:rPr>
          <w:rFonts w:eastAsia="Calibri" w:cs="Arial"/>
          <w:b/>
          <w:i/>
          <w:lang w:val="en-US" w:eastAsia="en-US"/>
        </w:rPr>
      </w:pPr>
      <w:r>
        <w:rPr>
          <w:rFonts w:eastAsia="Calibri" w:cs="Arial"/>
          <w:b/>
          <w:i/>
          <w:lang w:val="en-US" w:eastAsia="en-US"/>
        </w:rPr>
        <w:t xml:space="preserve">National Reform Program for Romania (NRP) </w:t>
      </w:r>
    </w:p>
    <w:p w:rsidR="00511045" w:rsidRDefault="00511045" w:rsidP="00511045">
      <w:pPr>
        <w:spacing w:before="60" w:after="60" w:line="288" w:lineRule="auto"/>
        <w:ind w:firstLine="720"/>
        <w:contextualSpacing/>
        <w:jc w:val="both"/>
        <w:rPr>
          <w:rFonts w:eastAsia="Calibri" w:cs="Arial"/>
          <w:b/>
          <w:i/>
          <w:lang w:val="en-US" w:eastAsia="en-US"/>
        </w:rPr>
      </w:pPr>
    </w:p>
    <w:p w:rsidR="00511045" w:rsidRDefault="00511045" w:rsidP="00511045">
      <w:pPr>
        <w:spacing w:before="60" w:after="60" w:line="288" w:lineRule="auto"/>
        <w:ind w:firstLine="720"/>
        <w:contextualSpacing/>
        <w:jc w:val="both"/>
        <w:rPr>
          <w:rFonts w:eastAsia="Calibri" w:cs="Arial"/>
          <w:lang w:val="en-US" w:eastAsia="en-US"/>
        </w:rPr>
      </w:pPr>
      <w:r>
        <w:rPr>
          <w:rFonts w:eastAsia="Calibri" w:cs="Arial"/>
          <w:lang w:val="en-US" w:eastAsia="en-US"/>
        </w:rPr>
        <w:t xml:space="preserve">This strategic document is setting the framework for the main priorities and reforms to be applied on short and medium term for Romania to meet the objectives of the Europe 2020 Strategy. The NRP includes particular measures in various policy areas targeted to sustain growth and create jobs and meet the objectives of Europe 2020. Focused on the Romania’s most urgent measures, the National Reform Program (NRP) is paying special attention to governance issues and macroeconomic stability. It is aiming to boost competitiveness, productivity and growth, social cohesion, territorial and economic convergence for reducing disparities in terms of economic development to other member states of the European Union. </w:t>
      </w:r>
    </w:p>
    <w:p w:rsidR="00511045" w:rsidRDefault="00511045" w:rsidP="00511045">
      <w:pPr>
        <w:spacing w:before="60" w:after="60" w:line="288" w:lineRule="auto"/>
        <w:ind w:firstLine="720"/>
        <w:contextualSpacing/>
        <w:jc w:val="both"/>
        <w:rPr>
          <w:rFonts w:eastAsia="Calibri" w:cs="Arial"/>
          <w:i/>
          <w:lang w:val="en-US" w:eastAsia="en-US"/>
        </w:rPr>
      </w:pP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 xml:space="preserve">Generally, ENI CBC Thematic Objectives are converging with NPR measures, with the exception of two of them, </w:t>
      </w:r>
      <w:r>
        <w:rPr>
          <w:rFonts w:eastAsia="Calibri" w:cs="Arial"/>
          <w:i/>
          <w:lang w:val="en-US" w:eastAsia="en-US"/>
        </w:rPr>
        <w:t>TO3 Promotion of local culture and preservation of historical heritag</w:t>
      </w:r>
      <w:r>
        <w:rPr>
          <w:rFonts w:eastAsia="Calibri" w:cs="Arial"/>
          <w:lang w:val="en-US" w:eastAsia="en-US"/>
        </w:rPr>
        <w:t xml:space="preserve">e and </w:t>
      </w:r>
      <w:r>
        <w:rPr>
          <w:rFonts w:eastAsia="Calibri" w:cs="Arial"/>
          <w:i/>
          <w:lang w:val="en-US" w:eastAsia="en-US"/>
        </w:rPr>
        <w:t>TO10 Promotion of border management and border security</w:t>
      </w:r>
      <w:r>
        <w:rPr>
          <w:rFonts w:eastAsia="Calibri" w:cs="Arial"/>
          <w:lang w:val="en-US" w:eastAsia="en-US"/>
        </w:rPr>
        <w:t>, that are not essential to the NRP.</w:t>
      </w:r>
    </w:p>
    <w:p w:rsidR="00511045" w:rsidRDefault="00511045" w:rsidP="00511045">
      <w:pPr>
        <w:spacing w:before="60" w:after="60" w:line="288" w:lineRule="auto"/>
        <w:ind w:firstLine="709"/>
        <w:contextualSpacing/>
        <w:jc w:val="both"/>
        <w:rPr>
          <w:rFonts w:eastAsia="Calibri" w:cs="Arial"/>
          <w:lang w:val="en-US" w:eastAsia="en-US"/>
        </w:rPr>
      </w:pP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National Strategy on Climate Change 2013 ÷ 2020</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Given the evolution of EU policy on climate change, the second NSCC 2013 ÷ 2020 was adopted by Government Decision no. 529/2013, foressesing two action directions: reducing greenhouse gas emissions and increasing carbon sequestration through natural absorbent tanks; and adaption to the negative effects of climate inerent change on natural and anthropogenic systems.</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 xml:space="preserve">The strategy overall objective is to integrate the obligations related to energy and climate legislative package underlying principles that will guide the development of action plans and programs at sectoral level, setting goals and targets to be achieved through future specific measures and actions at sectoral level. </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NSCC</w:t>
      </w:r>
      <w:r>
        <w:t xml:space="preserve"> </w:t>
      </w:r>
      <w:r>
        <w:rPr>
          <w:rFonts w:eastAsia="Calibri" w:cs="Arial"/>
          <w:lang w:val="en-US" w:eastAsia="en-US"/>
        </w:rPr>
        <w:t>highlights the two key components of the climate effort: the prevention and mitigation of climate change (through action to reduce emissions of greenhouse gases - GHG emissions) and the appropriate adaptation measures with minimal damage in the context of the climate change already underway.</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GHG emission mitigation component identifies the economic sectors that require specific measures to reduce GHG emissions (energy, industrial processes, agriculture, land use, land use change, forestry, waste management). In addition, data on the GHG emissions contribution of each sector, general information on how human activity (productive processes or consumer / user) alongside with natural processes lead to these types of emissions are presented and key measures to reduce GHG emissions in each sector are proposed.</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The objective of adaptation to climate change component is to increase the capacity to adapt to real or potential effects of climate change by establishing strategic directions that can guide sectoral policy development, action to be taken and capacity development needed to update them regularly. Actions supported by this component are:</w:t>
      </w:r>
    </w:p>
    <w:p w:rsidR="00511045" w:rsidRPr="00B917E1" w:rsidRDefault="00511045" w:rsidP="00511045">
      <w:pPr>
        <w:pStyle w:val="ListParagraph"/>
        <w:numPr>
          <w:ilvl w:val="0"/>
          <w:numId w:val="116"/>
        </w:numPr>
        <w:spacing w:line="288" w:lineRule="auto"/>
        <w:rPr>
          <w:rFonts w:eastAsia="Calibri" w:cs="Arial"/>
          <w:lang w:val="en-US" w:eastAsia="en-US"/>
        </w:rPr>
      </w:pPr>
      <w:r w:rsidRPr="00B917E1">
        <w:rPr>
          <w:rFonts w:eastAsia="Calibri" w:cs="Arial"/>
          <w:lang w:val="en-US" w:eastAsia="en-US"/>
        </w:rPr>
        <w:lastRenderedPageBreak/>
        <w:t>active monitoring of climate change impacts and associated social and economic vulnerability;</w:t>
      </w:r>
    </w:p>
    <w:p w:rsidR="00511045" w:rsidRPr="00B917E1" w:rsidRDefault="00511045" w:rsidP="00511045">
      <w:pPr>
        <w:pStyle w:val="ListParagraph"/>
        <w:numPr>
          <w:ilvl w:val="0"/>
          <w:numId w:val="116"/>
        </w:numPr>
        <w:spacing w:line="288" w:lineRule="auto"/>
        <w:rPr>
          <w:rFonts w:eastAsia="Calibri" w:cs="Arial"/>
          <w:lang w:val="en-US" w:eastAsia="en-US"/>
        </w:rPr>
      </w:pPr>
      <w:r w:rsidRPr="00B917E1">
        <w:rPr>
          <w:rFonts w:eastAsia="Calibri" w:cs="Arial"/>
          <w:lang w:val="en-US" w:eastAsia="en-US"/>
        </w:rPr>
        <w:t>integration of adaptation measures to climate change into development strategies and policies at sectoral level and the harmonization of these measures between them;</w:t>
      </w:r>
    </w:p>
    <w:p w:rsidR="00511045" w:rsidRPr="00B917E1" w:rsidRDefault="00511045" w:rsidP="00511045">
      <w:pPr>
        <w:pStyle w:val="ListParagraph"/>
        <w:numPr>
          <w:ilvl w:val="0"/>
          <w:numId w:val="116"/>
        </w:numPr>
        <w:spacing w:line="288" w:lineRule="auto"/>
        <w:rPr>
          <w:rFonts w:eastAsia="Calibri" w:cs="Arial"/>
          <w:lang w:val="en-US" w:eastAsia="en-US"/>
        </w:rPr>
      </w:pPr>
      <w:r w:rsidRPr="00B917E1">
        <w:rPr>
          <w:rFonts w:eastAsia="Calibri" w:cs="Arial"/>
          <w:lang w:val="en-US" w:eastAsia="en-US"/>
        </w:rPr>
        <w:t>identify urgent adaptation measures to climate change in critical socio-economic sectors.</w:t>
      </w:r>
    </w:p>
    <w:p w:rsidR="00511045" w:rsidRDefault="00511045" w:rsidP="00511045">
      <w:pPr>
        <w:spacing w:before="60" w:after="60" w:line="288" w:lineRule="auto"/>
        <w:ind w:firstLine="709"/>
        <w:contextualSpacing/>
        <w:jc w:val="both"/>
        <w:rPr>
          <w:rFonts w:eastAsia="Calibri" w:cs="Arial"/>
          <w:lang w:val="en-US" w:eastAsia="en-US"/>
        </w:rPr>
      </w:pP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National adaptation to climate change component encourages the identification of measures, actions and solutions that must be implemented in accordance with existing national needs in line with available resources and research requirements in order to limit the negative effects of forecast climate scenarios in medium and long term. Measures, actions and solutions identified will be implemented through inter-institutional cooperation and by providing technical assistance.</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 xml:space="preserve">NSCC provides guidance support on policies and measures to be taken using EU structural and investment funds of the future of financial year (2014 ÷ 2020). </w:t>
      </w:r>
    </w:p>
    <w:p w:rsidR="00511045" w:rsidRDefault="00511045" w:rsidP="00511045">
      <w:pPr>
        <w:spacing w:before="60" w:after="60" w:line="288" w:lineRule="auto"/>
        <w:ind w:firstLine="709"/>
        <w:contextualSpacing/>
        <w:jc w:val="both"/>
        <w:rPr>
          <w:rFonts w:cs="Arial"/>
          <w:color w:val="222222"/>
          <w:lang w:val="en"/>
        </w:rPr>
      </w:pPr>
      <w:r>
        <w:rPr>
          <w:rStyle w:val="hps"/>
          <w:rFonts w:cs="Arial"/>
          <w:color w:val="222222"/>
          <w:lang w:val="en"/>
        </w:rPr>
        <w:t>NSCC</w:t>
      </w:r>
      <w:r>
        <w:rPr>
          <w:rFonts w:cs="Arial"/>
          <w:color w:val="222222"/>
          <w:lang w:val="en"/>
        </w:rPr>
        <w:t xml:space="preserve"> </w:t>
      </w:r>
      <w:r>
        <w:rPr>
          <w:rStyle w:val="hps"/>
          <w:rFonts w:cs="Arial"/>
          <w:color w:val="222222"/>
          <w:lang w:val="en"/>
        </w:rPr>
        <w:t>will contribute to</w:t>
      </w:r>
      <w:r>
        <w:rPr>
          <w:rFonts w:cs="Arial"/>
          <w:color w:val="222222"/>
          <w:lang w:val="en"/>
        </w:rPr>
        <w:t xml:space="preserve"> </w:t>
      </w:r>
      <w:r>
        <w:rPr>
          <w:rStyle w:val="hps"/>
          <w:rFonts w:cs="Arial"/>
          <w:color w:val="222222"/>
          <w:lang w:val="en"/>
        </w:rPr>
        <w:t>the sustainable use of</w:t>
      </w:r>
      <w:r>
        <w:rPr>
          <w:rFonts w:cs="Arial"/>
          <w:color w:val="222222"/>
          <w:lang w:val="en"/>
        </w:rPr>
        <w:t xml:space="preserve"> </w:t>
      </w:r>
      <w:r>
        <w:rPr>
          <w:rStyle w:val="hps"/>
          <w:rFonts w:cs="Arial"/>
          <w:color w:val="222222"/>
          <w:lang w:val="en"/>
        </w:rPr>
        <w:t>natural resources</w:t>
      </w:r>
      <w:r>
        <w:rPr>
          <w:rFonts w:cs="Arial"/>
          <w:color w:val="222222"/>
          <w:lang w:val="en"/>
        </w:rPr>
        <w:t xml:space="preserve">; </w:t>
      </w:r>
      <w:r>
        <w:rPr>
          <w:rStyle w:val="hps"/>
          <w:rFonts w:cs="Arial"/>
          <w:color w:val="222222"/>
          <w:lang w:val="en"/>
        </w:rPr>
        <w:t>reduce emissions</w:t>
      </w:r>
      <w:r>
        <w:rPr>
          <w:rFonts w:cs="Arial"/>
          <w:color w:val="222222"/>
          <w:lang w:val="en"/>
        </w:rPr>
        <w:t xml:space="preserve"> </w:t>
      </w:r>
      <w:r>
        <w:rPr>
          <w:rStyle w:val="hps"/>
          <w:rFonts w:cs="Arial"/>
          <w:color w:val="222222"/>
          <w:lang w:val="en"/>
        </w:rPr>
        <w:t>of</w:t>
      </w:r>
      <w:r>
        <w:rPr>
          <w:rFonts w:cs="Arial"/>
          <w:color w:val="222222"/>
          <w:lang w:val="en"/>
        </w:rPr>
        <w:t xml:space="preserve"> </w:t>
      </w:r>
      <w:r>
        <w:rPr>
          <w:rStyle w:val="hps"/>
          <w:rFonts w:cs="Arial"/>
          <w:color w:val="222222"/>
          <w:lang w:val="en"/>
        </w:rPr>
        <w:t>greenhouse</w:t>
      </w:r>
      <w:r>
        <w:rPr>
          <w:rFonts w:cs="Arial"/>
          <w:color w:val="222222"/>
          <w:lang w:val="en"/>
        </w:rPr>
        <w:t xml:space="preserve"> </w:t>
      </w:r>
      <w:r>
        <w:rPr>
          <w:rStyle w:val="hps"/>
          <w:rFonts w:cs="Arial"/>
          <w:color w:val="222222"/>
          <w:lang w:val="en"/>
        </w:rPr>
        <w:t>gases</w:t>
      </w:r>
      <w:r>
        <w:rPr>
          <w:rFonts w:cs="Arial"/>
          <w:color w:val="222222"/>
          <w:lang w:val="en"/>
        </w:rPr>
        <w:t xml:space="preserve"> </w:t>
      </w:r>
      <w:r>
        <w:rPr>
          <w:rStyle w:val="hps"/>
          <w:rFonts w:cs="Arial"/>
          <w:color w:val="222222"/>
          <w:lang w:val="en"/>
        </w:rPr>
        <w:t>in our country</w:t>
      </w:r>
      <w:r>
        <w:rPr>
          <w:rFonts w:cs="Arial"/>
          <w:color w:val="222222"/>
          <w:lang w:val="en"/>
        </w:rPr>
        <w:t xml:space="preserve"> </w:t>
      </w:r>
      <w:r>
        <w:rPr>
          <w:rStyle w:val="hps"/>
          <w:rFonts w:cs="Arial"/>
          <w:color w:val="222222"/>
          <w:lang w:val="en"/>
        </w:rPr>
        <w:t>and the protection of</w:t>
      </w:r>
      <w:r>
        <w:rPr>
          <w:rFonts w:cs="Arial"/>
          <w:color w:val="222222"/>
          <w:lang w:val="en"/>
        </w:rPr>
        <w:t xml:space="preserve"> </w:t>
      </w:r>
      <w:r>
        <w:rPr>
          <w:rStyle w:val="hps"/>
          <w:rFonts w:cs="Arial"/>
          <w:color w:val="222222"/>
          <w:lang w:val="en"/>
        </w:rPr>
        <w:t>biodiversity</w:t>
      </w:r>
      <w:r>
        <w:rPr>
          <w:rFonts w:cs="Arial"/>
          <w:color w:val="222222"/>
          <w:lang w:val="en"/>
        </w:rPr>
        <w:t xml:space="preserve"> </w:t>
      </w:r>
      <w:r>
        <w:rPr>
          <w:rStyle w:val="hps"/>
          <w:rFonts w:cs="Arial"/>
          <w:color w:val="222222"/>
          <w:lang w:val="en"/>
        </w:rPr>
        <w:t>and natural ecosystems</w:t>
      </w:r>
      <w:r>
        <w:rPr>
          <w:rFonts w:cs="Arial"/>
          <w:color w:val="222222"/>
          <w:lang w:val="en"/>
        </w:rPr>
        <w:t>.</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The objectives included in NSCC in 2013 ÷ 2020  will contribute to the sustainable use of natural resources, to the reduction of Romania greenhouse gases emissions, to the protection of biodiversity and natural ecosystems and the long-term preservation of social welfare by creating new jobs in specific sectors.</w:t>
      </w:r>
    </w:p>
    <w:p w:rsidR="00511045" w:rsidRDefault="00511045" w:rsidP="00511045">
      <w:pPr>
        <w:spacing w:before="60" w:after="60" w:line="288" w:lineRule="auto"/>
        <w:ind w:firstLine="709"/>
        <w:contextualSpacing/>
        <w:jc w:val="both"/>
        <w:rPr>
          <w:rFonts w:eastAsia="Calibri" w:cs="Arial"/>
          <w:lang w:val="en-US" w:eastAsia="en-US"/>
        </w:rPr>
      </w:pPr>
    </w:p>
    <w:p w:rsidR="00511045" w:rsidRPr="00B37971" w:rsidRDefault="00511045" w:rsidP="00511045">
      <w:pPr>
        <w:spacing w:before="60" w:after="60" w:line="288" w:lineRule="auto"/>
        <w:ind w:firstLine="709"/>
        <w:contextualSpacing/>
        <w:jc w:val="both"/>
        <w:rPr>
          <w:rFonts w:eastAsia="Calibri" w:cs="Arial"/>
          <w:i/>
          <w:lang w:val="en-US" w:eastAsia="en-US"/>
        </w:rPr>
      </w:pPr>
      <w:r w:rsidRPr="00B37971">
        <w:rPr>
          <w:rFonts w:eastAsia="Calibri" w:cs="Arial"/>
          <w:i/>
          <w:lang w:val="en-US" w:eastAsia="en-US"/>
        </w:rPr>
        <w:t xml:space="preserve">National Strategy for Flood Risk Management on medium and long term </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NSFRM on medium and long term (2010÷2035), developed under SEA procedure, has been approved by GD no.846/2010 and its main objective is to prevent and reduce the consequences of floods on human life and health, socio-economic activities and the environment. The strategy foresees an integrated management of water and adjacent resources: planning and urban development, nature protection, agricultural and forestial development, protection of transport infrastructure, building and tourist areas, personal protection, etc.</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National Strategy for Flood Risk Management objectives are the following:</w:t>
      </w:r>
    </w:p>
    <w:p w:rsidR="00511045" w:rsidRDefault="00511045" w:rsidP="00511045">
      <w:pPr>
        <w:pStyle w:val="ListParagraph"/>
        <w:numPr>
          <w:ilvl w:val="0"/>
          <w:numId w:val="117"/>
        </w:numPr>
        <w:spacing w:line="288" w:lineRule="auto"/>
        <w:rPr>
          <w:rFonts w:eastAsia="Calibri" w:cs="Arial"/>
          <w:lang w:val="en-US" w:eastAsia="en-US"/>
        </w:rPr>
      </w:pPr>
      <w:r>
        <w:rPr>
          <w:rFonts w:eastAsia="Calibri" w:cs="Arial"/>
          <w:lang w:val="en-US" w:eastAsia="en-US"/>
        </w:rPr>
        <w:t>social objectives: prevention and minimization flood risk on people and human communities, prevention and minimization flood risk on public/ community goods (hospitals, clinics, schools, etc.) and recreational areas, minimizing damage to health state due to the impact on population of the flooding phenomenon and pollution associated with it;</w:t>
      </w:r>
    </w:p>
    <w:p w:rsidR="00511045" w:rsidRDefault="00511045" w:rsidP="00511045">
      <w:pPr>
        <w:pStyle w:val="ListParagraph"/>
        <w:numPr>
          <w:ilvl w:val="0"/>
          <w:numId w:val="117"/>
        </w:numPr>
        <w:spacing w:line="288" w:lineRule="auto"/>
        <w:rPr>
          <w:rFonts w:eastAsia="Calibri" w:cs="Arial"/>
          <w:lang w:val="en-US" w:eastAsia="en-US"/>
        </w:rPr>
      </w:pPr>
      <w:r>
        <w:rPr>
          <w:rFonts w:eastAsia="Calibri" w:cs="Arial"/>
          <w:lang w:val="en-US" w:eastAsia="en-US"/>
        </w:rPr>
        <w:t xml:space="preserve">economic objectives: prevention and minimization of economic loses by reducing the flood risk in populated area, minizing risks on economic objectives and goods by providing flood protection for localities with the exceedance probability of 1% for urban areas and 10% for agricultural areas, differentiated on various scenarios time. </w:t>
      </w:r>
    </w:p>
    <w:p w:rsidR="00511045" w:rsidRPr="00B917E1" w:rsidRDefault="00511045" w:rsidP="00511045">
      <w:pPr>
        <w:pStyle w:val="ListParagraph"/>
        <w:numPr>
          <w:ilvl w:val="0"/>
          <w:numId w:val="117"/>
        </w:numPr>
        <w:spacing w:line="288" w:lineRule="auto"/>
        <w:rPr>
          <w:rFonts w:eastAsia="Calibri" w:cs="Arial"/>
          <w:lang w:val="en-US" w:eastAsia="en-US"/>
        </w:rPr>
      </w:pPr>
      <w:r>
        <w:rPr>
          <w:rFonts w:eastAsia="Calibri" w:cs="Arial"/>
          <w:lang w:val="en-US" w:eastAsia="en-US"/>
        </w:rPr>
        <w:t xml:space="preserve">environmenta objectives – the accomplish the European Water Framework Directive requirements,  avoiding the influence of anthropogenic alteration on </w:t>
      </w:r>
      <w:r>
        <w:rPr>
          <w:rFonts w:eastAsia="Calibri" w:cs="Arial"/>
          <w:lang w:val="en-US" w:eastAsia="en-US"/>
        </w:rPr>
        <w:lastRenderedPageBreak/>
        <w:t xml:space="preserve">watershed geomorphology, preventing pollution of watercourses and groundwater as a result of floods and their associated effects on the ecological quality of watercourses; protect and improve the land, and where possible encourage changes in agricultural practice to prevent or minimize leakage and flooding associated with it due to intensive agricultural activities; protection and preservation of historic monuments, protected areas and ecosystems; protecting and improving the environment and the specificity of its aesthetic appearance; minimize or prevent impacts of climate change on the occurrence of floods phenomenon. </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In respect to the SNMRI objectives there have been developed plans for prevention, protection and mitigation of floods effects (PPPD), as required by Directive 2007/60 / EC (Flooding) in order to reduce the risk of natural disasters (floods) affecting the population, by implementing preventive measures in most vulnerable areas in the medium term (2020). PPPD will be completed in 2014 ÷ 2015 and will form the basis of schemes necessary to protect the population goods, property and cultural values against floods on each basin / catchment area. On this basis it will be developed Hydrographic Basin Development Plans and Flood Risk Management Plans.</w:t>
      </w:r>
    </w:p>
    <w:p w:rsidR="00511045" w:rsidRDefault="00511045" w:rsidP="00511045">
      <w:pPr>
        <w:spacing w:before="60" w:after="60" w:line="288" w:lineRule="auto"/>
        <w:ind w:firstLine="709"/>
        <w:contextualSpacing/>
        <w:jc w:val="both"/>
        <w:rPr>
          <w:rFonts w:eastAsia="Calibri" w:cs="Arial"/>
          <w:lang w:val="en-US" w:eastAsia="en-US"/>
        </w:rPr>
      </w:pPr>
    </w:p>
    <w:p w:rsidR="00511045" w:rsidRPr="0088539B" w:rsidRDefault="00511045" w:rsidP="00511045">
      <w:pPr>
        <w:spacing w:before="60" w:after="60" w:line="288" w:lineRule="auto"/>
        <w:ind w:firstLine="709"/>
        <w:contextualSpacing/>
        <w:jc w:val="both"/>
        <w:rPr>
          <w:rFonts w:eastAsia="Calibri" w:cs="Arial"/>
          <w:i/>
          <w:lang w:val="en-US" w:eastAsia="en-US"/>
        </w:rPr>
      </w:pPr>
      <w:r w:rsidRPr="0088539B">
        <w:rPr>
          <w:rFonts w:eastAsia="Calibri" w:cs="Arial"/>
          <w:i/>
          <w:lang w:val="en-US" w:eastAsia="en-US"/>
        </w:rPr>
        <w:t xml:space="preserve">Waste Management </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In order to ensure effective waste management one should consider all relevant legislative provisions as:</w:t>
      </w:r>
    </w:p>
    <w:p w:rsidR="00511045" w:rsidRPr="00B917E1" w:rsidRDefault="00511045" w:rsidP="00511045">
      <w:pPr>
        <w:pStyle w:val="ListParagraph"/>
        <w:numPr>
          <w:ilvl w:val="0"/>
          <w:numId w:val="117"/>
        </w:numPr>
        <w:spacing w:line="288" w:lineRule="auto"/>
        <w:rPr>
          <w:rFonts w:eastAsia="Calibri" w:cs="Arial"/>
          <w:lang w:val="en-US" w:eastAsia="en-US"/>
        </w:rPr>
      </w:pPr>
      <w:r w:rsidRPr="00B917E1">
        <w:rPr>
          <w:rFonts w:eastAsia="Calibri" w:cs="Arial"/>
          <w:lang w:val="en-US" w:eastAsia="en-US"/>
        </w:rPr>
        <w:t xml:space="preserve">Accession Treaty -section Environment - Romania's commitments for the waste sector </w:t>
      </w:r>
      <w:r>
        <w:rPr>
          <w:rFonts w:eastAsia="Calibri" w:cs="Arial"/>
          <w:lang w:val="en-US" w:eastAsia="en-US"/>
        </w:rPr>
        <w:t>for</w:t>
      </w:r>
      <w:r w:rsidRPr="00B917E1">
        <w:rPr>
          <w:rFonts w:eastAsia="Calibri" w:cs="Arial"/>
          <w:lang w:val="en-US" w:eastAsia="en-US"/>
        </w:rPr>
        <w:t xml:space="preserve"> each county </w:t>
      </w:r>
      <w:r>
        <w:rPr>
          <w:rFonts w:eastAsia="Calibri" w:cs="Arial"/>
          <w:lang w:val="en-US" w:eastAsia="en-US"/>
        </w:rPr>
        <w:t xml:space="preserve">are detailed </w:t>
      </w:r>
      <w:r w:rsidRPr="00B917E1">
        <w:rPr>
          <w:rFonts w:eastAsia="Calibri" w:cs="Arial"/>
          <w:lang w:val="en-US" w:eastAsia="en-US"/>
        </w:rPr>
        <w:t>within the EU Directives Implementation Plans;</w:t>
      </w:r>
    </w:p>
    <w:p w:rsidR="00511045" w:rsidRPr="00B917E1" w:rsidRDefault="00511045" w:rsidP="00511045">
      <w:pPr>
        <w:pStyle w:val="ListParagraph"/>
        <w:numPr>
          <w:ilvl w:val="0"/>
          <w:numId w:val="117"/>
        </w:numPr>
        <w:spacing w:line="288" w:lineRule="auto"/>
        <w:rPr>
          <w:rFonts w:eastAsia="Calibri" w:cs="Arial"/>
          <w:lang w:val="en-US" w:eastAsia="en-US"/>
        </w:rPr>
      </w:pPr>
      <w:r w:rsidRPr="00B917E1">
        <w:rPr>
          <w:rFonts w:eastAsia="Calibri" w:cs="Arial"/>
          <w:lang w:val="en-US" w:eastAsia="en-US"/>
        </w:rPr>
        <w:t>SOP</w:t>
      </w:r>
      <w:r>
        <w:rPr>
          <w:rFonts w:eastAsia="Calibri" w:cs="Arial"/>
          <w:lang w:val="en-US" w:eastAsia="en-US"/>
        </w:rPr>
        <w:t xml:space="preserve"> Environment</w:t>
      </w:r>
      <w:r w:rsidRPr="00B917E1">
        <w:rPr>
          <w:rFonts w:eastAsia="Calibri" w:cs="Arial"/>
          <w:lang w:val="en-US" w:eastAsia="en-US"/>
        </w:rPr>
        <w:t xml:space="preserve"> - Priority Axis 2, Intervention area 1 - "Development of integrated waste management and waste management infrastructure expansion";</w:t>
      </w:r>
    </w:p>
    <w:p w:rsidR="00511045" w:rsidRPr="00B917E1" w:rsidRDefault="00511045" w:rsidP="00511045">
      <w:pPr>
        <w:pStyle w:val="ListParagraph"/>
        <w:numPr>
          <w:ilvl w:val="0"/>
          <w:numId w:val="117"/>
        </w:numPr>
        <w:spacing w:line="288" w:lineRule="auto"/>
        <w:rPr>
          <w:rFonts w:eastAsia="Calibri" w:cs="Arial"/>
          <w:lang w:val="en-US" w:eastAsia="en-US"/>
        </w:rPr>
      </w:pPr>
      <w:r w:rsidRPr="00B917E1">
        <w:rPr>
          <w:rFonts w:eastAsia="Calibri" w:cs="Arial"/>
          <w:lang w:val="en-US" w:eastAsia="en-US"/>
        </w:rPr>
        <w:t>National Waste Management Strategy (</w:t>
      </w:r>
      <w:r>
        <w:rPr>
          <w:rFonts w:eastAsia="Calibri" w:cs="Arial"/>
          <w:lang w:val="en-US" w:eastAsia="en-US"/>
        </w:rPr>
        <w:t>NWMS</w:t>
      </w:r>
      <w:r w:rsidRPr="00B917E1">
        <w:rPr>
          <w:rFonts w:eastAsia="Calibri" w:cs="Arial"/>
          <w:lang w:val="en-US" w:eastAsia="en-US"/>
        </w:rPr>
        <w:t xml:space="preserve">), approved by Government Decision no. 1470/2004, the basic tool that ensures implementation in Romania of EU waste policy. </w:t>
      </w:r>
      <w:r>
        <w:rPr>
          <w:rFonts w:eastAsia="Calibri" w:cs="Arial"/>
          <w:lang w:val="en-US" w:eastAsia="en-US"/>
        </w:rPr>
        <w:t xml:space="preserve">NWMS </w:t>
      </w:r>
      <w:r w:rsidRPr="00B917E1">
        <w:rPr>
          <w:rFonts w:eastAsia="Calibri" w:cs="Arial"/>
          <w:lang w:val="en-US" w:eastAsia="en-US"/>
        </w:rPr>
        <w:t xml:space="preserve">'s overall objective is to create the necessary framework for the development and implementation of an integrated waste management environmentally effective and </w:t>
      </w:r>
      <w:r>
        <w:rPr>
          <w:rFonts w:eastAsia="Calibri" w:cs="Arial"/>
          <w:lang w:val="en-US" w:eastAsia="en-US"/>
        </w:rPr>
        <w:t xml:space="preserve">economically feasible </w:t>
      </w:r>
      <w:r w:rsidRPr="00B917E1">
        <w:rPr>
          <w:rFonts w:eastAsia="Calibri" w:cs="Arial"/>
          <w:lang w:val="en-US" w:eastAsia="en-US"/>
        </w:rPr>
        <w:t>to protect human health and the environment.</w:t>
      </w:r>
    </w:p>
    <w:p w:rsidR="00511045" w:rsidRPr="00B917E1" w:rsidRDefault="00511045" w:rsidP="00511045">
      <w:pPr>
        <w:pStyle w:val="ListParagraph"/>
        <w:numPr>
          <w:ilvl w:val="0"/>
          <w:numId w:val="117"/>
        </w:numPr>
        <w:spacing w:line="288" w:lineRule="auto"/>
        <w:rPr>
          <w:rFonts w:eastAsia="Calibri" w:cs="Arial"/>
          <w:lang w:val="en-US" w:eastAsia="en-US"/>
        </w:rPr>
      </w:pPr>
      <w:r w:rsidRPr="00B917E1">
        <w:rPr>
          <w:rFonts w:eastAsia="Calibri" w:cs="Arial"/>
          <w:lang w:val="en-US" w:eastAsia="en-US"/>
        </w:rPr>
        <w:t xml:space="preserve">National Waste Management Plan (NWMP), GD 1470/2004, </w:t>
      </w:r>
      <w:r>
        <w:rPr>
          <w:rFonts w:eastAsia="Calibri" w:cs="Arial"/>
          <w:lang w:val="en-US" w:eastAsia="en-US"/>
        </w:rPr>
        <w:t xml:space="preserve">constitute the implementing plan </w:t>
      </w:r>
      <w:r w:rsidRPr="00B917E1">
        <w:rPr>
          <w:rFonts w:eastAsia="Calibri" w:cs="Arial"/>
          <w:lang w:val="en-US" w:eastAsia="en-US"/>
        </w:rPr>
        <w:t xml:space="preserve">national strategy </w:t>
      </w:r>
      <w:r>
        <w:rPr>
          <w:rFonts w:eastAsia="Calibri" w:cs="Arial"/>
          <w:lang w:val="en-US" w:eastAsia="en-US"/>
        </w:rPr>
        <w:t xml:space="preserve">objectives </w:t>
      </w:r>
      <w:r w:rsidRPr="00B917E1">
        <w:rPr>
          <w:rFonts w:eastAsia="Calibri" w:cs="Arial"/>
          <w:lang w:val="en-US" w:eastAsia="en-US"/>
        </w:rPr>
        <w:t>through adequate actions and measures to comply with the environmental acquis in the field of waste management;</w:t>
      </w:r>
    </w:p>
    <w:p w:rsidR="00511045" w:rsidRPr="00B917E1" w:rsidRDefault="00511045" w:rsidP="00511045">
      <w:pPr>
        <w:pStyle w:val="ListParagraph"/>
        <w:numPr>
          <w:ilvl w:val="0"/>
          <w:numId w:val="117"/>
        </w:numPr>
        <w:spacing w:line="288" w:lineRule="auto"/>
        <w:rPr>
          <w:rFonts w:eastAsia="Calibri" w:cs="Arial"/>
          <w:lang w:val="en-US" w:eastAsia="en-US"/>
        </w:rPr>
      </w:pPr>
      <w:r w:rsidRPr="00B917E1">
        <w:rPr>
          <w:rFonts w:eastAsia="Calibri" w:cs="Arial"/>
          <w:lang w:val="en-US" w:eastAsia="en-US"/>
        </w:rPr>
        <w:t>Regional Waste Management Plan for the Region 1 - North - East, approved by Order EWM no. 1364/1499/2006.</w:t>
      </w:r>
    </w:p>
    <w:p w:rsidR="00511045" w:rsidRDefault="00511045" w:rsidP="00511045">
      <w:pPr>
        <w:spacing w:before="60" w:after="60" w:line="288" w:lineRule="auto"/>
        <w:ind w:left="720"/>
        <w:contextualSpacing/>
        <w:jc w:val="both"/>
        <w:rPr>
          <w:rFonts w:eastAsia="Calibri" w:cs="Arial"/>
          <w:b/>
          <w:i/>
          <w:lang w:val="en-US" w:eastAsia="en-US"/>
        </w:rPr>
      </w:pPr>
      <w:r>
        <w:rPr>
          <w:rFonts w:eastAsia="Calibri" w:cs="Arial"/>
          <w:lang w:val="en-US" w:eastAsia="en-US"/>
        </w:rPr>
        <w:br/>
      </w:r>
      <w:r>
        <w:rPr>
          <w:rFonts w:eastAsia="Calibri" w:cs="Arial"/>
          <w:b/>
          <w:i/>
          <w:lang w:val="en-US" w:eastAsia="en-US"/>
        </w:rPr>
        <w:t xml:space="preserve">North-East Regional Development Plan 2014-2020  </w:t>
      </w:r>
    </w:p>
    <w:p w:rsidR="00511045" w:rsidRDefault="00511045" w:rsidP="00511045">
      <w:pPr>
        <w:spacing w:before="60" w:after="60" w:line="288" w:lineRule="auto"/>
        <w:ind w:left="720" w:firstLine="720"/>
        <w:contextualSpacing/>
        <w:jc w:val="both"/>
        <w:rPr>
          <w:rFonts w:eastAsia="Calibri" w:cs="Arial"/>
          <w:i/>
          <w:lang w:val="en-US" w:eastAsia="en-US"/>
        </w:rPr>
      </w:pP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 xml:space="preserve">The strategy identified four key strategic priorities for the NE Region of Romania: </w:t>
      </w:r>
    </w:p>
    <w:p w:rsidR="00511045" w:rsidRDefault="00511045" w:rsidP="00511045">
      <w:pPr>
        <w:numPr>
          <w:ilvl w:val="0"/>
          <w:numId w:val="76"/>
        </w:numPr>
        <w:spacing w:before="60" w:after="60" w:line="288" w:lineRule="auto"/>
        <w:ind w:left="993" w:hanging="284"/>
        <w:contextualSpacing/>
        <w:jc w:val="both"/>
        <w:rPr>
          <w:rFonts w:eastAsia="Calibri" w:cs="Arial"/>
          <w:lang w:val="en-US" w:eastAsia="en-US"/>
        </w:rPr>
      </w:pPr>
      <w:r>
        <w:rPr>
          <w:rFonts w:eastAsia="Calibri" w:cs="Arial"/>
          <w:lang w:val="en-US" w:eastAsia="en-US"/>
        </w:rPr>
        <w:t xml:space="preserve">Improving human capital; </w:t>
      </w:r>
    </w:p>
    <w:p w:rsidR="00511045" w:rsidRDefault="00511045" w:rsidP="00511045">
      <w:pPr>
        <w:numPr>
          <w:ilvl w:val="0"/>
          <w:numId w:val="76"/>
        </w:numPr>
        <w:spacing w:before="60" w:after="60" w:line="288" w:lineRule="auto"/>
        <w:ind w:left="993" w:hanging="284"/>
        <w:contextualSpacing/>
        <w:jc w:val="both"/>
        <w:rPr>
          <w:rFonts w:eastAsia="Calibri" w:cs="Arial"/>
          <w:lang w:val="en-US" w:eastAsia="en-US"/>
        </w:rPr>
      </w:pPr>
      <w:r>
        <w:rPr>
          <w:rFonts w:eastAsia="Calibri" w:cs="Arial"/>
          <w:lang w:val="en-US" w:eastAsia="en-US"/>
        </w:rPr>
        <w:lastRenderedPageBreak/>
        <w:t xml:space="preserve">Development of modern infrastructure; </w:t>
      </w:r>
    </w:p>
    <w:p w:rsidR="00511045" w:rsidRDefault="00511045" w:rsidP="00511045">
      <w:pPr>
        <w:numPr>
          <w:ilvl w:val="0"/>
          <w:numId w:val="76"/>
        </w:numPr>
        <w:spacing w:before="60" w:after="60" w:line="288" w:lineRule="auto"/>
        <w:ind w:left="993" w:hanging="284"/>
        <w:contextualSpacing/>
        <w:jc w:val="both"/>
        <w:rPr>
          <w:rFonts w:eastAsia="Calibri" w:cs="Arial"/>
          <w:lang w:val="en-US" w:eastAsia="en-US"/>
        </w:rPr>
      </w:pPr>
      <w:r>
        <w:rPr>
          <w:rFonts w:eastAsia="Calibri" w:cs="Arial"/>
          <w:lang w:val="en-US" w:eastAsia="en-US"/>
        </w:rPr>
        <w:t xml:space="preserve">Sustaining competitive economy and local development </w:t>
      </w:r>
    </w:p>
    <w:p w:rsidR="00511045" w:rsidRDefault="00511045" w:rsidP="00511045">
      <w:pPr>
        <w:numPr>
          <w:ilvl w:val="0"/>
          <w:numId w:val="76"/>
        </w:numPr>
        <w:spacing w:before="60" w:after="60" w:line="288" w:lineRule="auto"/>
        <w:ind w:left="993" w:hanging="284"/>
        <w:contextualSpacing/>
        <w:jc w:val="both"/>
        <w:rPr>
          <w:rFonts w:eastAsia="Calibri" w:cs="Arial"/>
          <w:lang w:val="en-US" w:eastAsia="en-US"/>
        </w:rPr>
      </w:pPr>
      <w:r>
        <w:rPr>
          <w:rFonts w:eastAsia="Calibri" w:cs="Arial"/>
          <w:lang w:val="en-US" w:eastAsia="en-US"/>
        </w:rPr>
        <w:t xml:space="preserve">Optimizing the use and protection of natural resources. </w:t>
      </w: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 xml:space="preserve">Most of the specific objectives of this strategy are convergent with ENI CBC Thematic Objectives and their respective priorities, as reflected in the table below.  </w:t>
      </w:r>
    </w:p>
    <w:p w:rsidR="00511045" w:rsidRDefault="00511045" w:rsidP="00511045">
      <w:pPr>
        <w:spacing w:before="60" w:after="60" w:line="288" w:lineRule="auto"/>
        <w:ind w:left="720" w:firstLine="720"/>
        <w:contextualSpacing/>
        <w:jc w:val="both"/>
        <w:rPr>
          <w:rFonts w:eastAsia="Calibri" w:cs="Arial"/>
          <w:i/>
          <w:lang w:val="en-US" w:eastAsia="en-US"/>
        </w:rPr>
      </w:pPr>
    </w:p>
    <w:p w:rsidR="00511045" w:rsidRDefault="00511045" w:rsidP="00511045">
      <w:pPr>
        <w:spacing w:before="60" w:after="60" w:line="288" w:lineRule="auto"/>
        <w:ind w:firstLine="709"/>
        <w:contextualSpacing/>
        <w:jc w:val="both"/>
        <w:rPr>
          <w:rFonts w:eastAsia="Calibri" w:cs="Arial"/>
          <w:b/>
          <w:i/>
          <w:lang w:val="en-US" w:eastAsia="en-US"/>
        </w:rPr>
      </w:pPr>
      <w:r>
        <w:rPr>
          <w:rFonts w:eastAsia="Calibri" w:cs="Arial"/>
          <w:b/>
          <w:i/>
          <w:lang w:val="en-US" w:eastAsia="en-US"/>
        </w:rPr>
        <w:t xml:space="preserve">South-East Regional Development Plan 2014-2020  </w:t>
      </w:r>
    </w:p>
    <w:p w:rsidR="00511045" w:rsidRDefault="00511045" w:rsidP="00511045">
      <w:pPr>
        <w:spacing w:before="60" w:after="60" w:line="288" w:lineRule="auto"/>
        <w:ind w:firstLine="709"/>
        <w:contextualSpacing/>
        <w:jc w:val="both"/>
        <w:rPr>
          <w:rFonts w:eastAsia="Calibri" w:cs="Arial"/>
          <w:i/>
          <w:lang w:val="en-US" w:eastAsia="en-US"/>
        </w:rPr>
      </w:pPr>
    </w:p>
    <w:p w:rsidR="00511045" w:rsidRDefault="00511045" w:rsidP="00511045">
      <w:pPr>
        <w:spacing w:before="60" w:after="60" w:line="288" w:lineRule="auto"/>
        <w:ind w:firstLine="709"/>
        <w:contextualSpacing/>
        <w:jc w:val="both"/>
        <w:rPr>
          <w:rFonts w:eastAsia="Calibri" w:cs="Arial"/>
          <w:lang w:val="en-US" w:eastAsia="en-US"/>
        </w:rPr>
      </w:pPr>
      <w:r>
        <w:rPr>
          <w:rFonts w:eastAsia="Calibri" w:cs="Arial"/>
          <w:lang w:val="en-US" w:eastAsia="en-US"/>
        </w:rPr>
        <w:t xml:space="preserve">The strategic document (currently in consultation process) identified ten development priorities for the SE Region as follow: </w:t>
      </w:r>
    </w:p>
    <w:p w:rsidR="00511045" w:rsidRDefault="00511045" w:rsidP="00511045">
      <w:pPr>
        <w:numPr>
          <w:ilvl w:val="0"/>
          <w:numId w:val="77"/>
        </w:numPr>
        <w:spacing w:before="60" w:after="60" w:line="288" w:lineRule="auto"/>
        <w:ind w:left="993" w:hanging="284"/>
        <w:contextualSpacing/>
        <w:jc w:val="both"/>
        <w:rPr>
          <w:rFonts w:eastAsia="Calibri" w:cs="Arial"/>
          <w:lang w:val="en-US" w:eastAsia="en-US"/>
        </w:rPr>
      </w:pPr>
      <w:r>
        <w:rPr>
          <w:rFonts w:eastAsia="Calibri" w:cs="Arial"/>
          <w:lang w:val="en-US" w:eastAsia="en-US"/>
        </w:rPr>
        <w:t xml:space="preserve">Integrated sustainable urban development; </w:t>
      </w:r>
    </w:p>
    <w:p w:rsidR="00511045" w:rsidRDefault="00511045" w:rsidP="00511045">
      <w:pPr>
        <w:numPr>
          <w:ilvl w:val="0"/>
          <w:numId w:val="77"/>
        </w:numPr>
        <w:spacing w:before="60" w:after="60" w:line="288" w:lineRule="auto"/>
        <w:ind w:left="993" w:hanging="284"/>
        <w:contextualSpacing/>
        <w:jc w:val="both"/>
        <w:rPr>
          <w:rFonts w:eastAsia="Calibri" w:cs="Arial"/>
          <w:lang w:val="en-US" w:eastAsia="en-US"/>
        </w:rPr>
      </w:pPr>
      <w:r>
        <w:rPr>
          <w:rFonts w:eastAsia="Calibri" w:cs="Arial"/>
          <w:lang w:val="en-US" w:eastAsia="en-US"/>
        </w:rPr>
        <w:t>Development of regional transport infrastructure;</w:t>
      </w:r>
    </w:p>
    <w:p w:rsidR="00511045" w:rsidRDefault="00511045" w:rsidP="00511045">
      <w:pPr>
        <w:numPr>
          <w:ilvl w:val="0"/>
          <w:numId w:val="77"/>
        </w:numPr>
        <w:spacing w:before="60" w:after="60" w:line="288" w:lineRule="auto"/>
        <w:ind w:left="993" w:hanging="284"/>
        <w:contextualSpacing/>
        <w:jc w:val="both"/>
        <w:rPr>
          <w:rFonts w:eastAsia="Calibri" w:cs="Arial"/>
          <w:lang w:val="en-US" w:eastAsia="en-US"/>
        </w:rPr>
      </w:pPr>
      <w:r>
        <w:rPr>
          <w:rFonts w:eastAsia="Calibri" w:cs="Arial"/>
          <w:lang w:val="en-US" w:eastAsia="en-US"/>
        </w:rPr>
        <w:t xml:space="preserve">Improving the competitiveness of the regional economy, in the context of promoting smart specialization; </w:t>
      </w:r>
    </w:p>
    <w:p w:rsidR="00511045" w:rsidRDefault="00511045" w:rsidP="00511045">
      <w:pPr>
        <w:numPr>
          <w:ilvl w:val="0"/>
          <w:numId w:val="77"/>
        </w:numPr>
        <w:spacing w:before="60" w:after="60" w:line="288" w:lineRule="auto"/>
        <w:ind w:left="993" w:hanging="284"/>
        <w:contextualSpacing/>
        <w:jc w:val="both"/>
        <w:rPr>
          <w:rFonts w:eastAsia="Calibri" w:cs="Arial"/>
          <w:lang w:val="en-US" w:eastAsia="en-US"/>
        </w:rPr>
      </w:pPr>
      <w:r>
        <w:rPr>
          <w:rFonts w:eastAsia="Calibri" w:cs="Arial"/>
          <w:lang w:val="en-US" w:eastAsia="en-US"/>
        </w:rPr>
        <w:t xml:space="preserve">Improving the quality of tourism at regional level; </w:t>
      </w:r>
    </w:p>
    <w:p w:rsidR="00511045" w:rsidRDefault="00511045" w:rsidP="00511045">
      <w:pPr>
        <w:numPr>
          <w:ilvl w:val="0"/>
          <w:numId w:val="77"/>
        </w:numPr>
        <w:spacing w:before="60" w:after="60" w:line="288" w:lineRule="auto"/>
        <w:ind w:left="993" w:hanging="284"/>
        <w:contextualSpacing/>
        <w:jc w:val="both"/>
        <w:rPr>
          <w:rFonts w:eastAsia="Calibri" w:cs="Arial"/>
          <w:lang w:val="en-US" w:eastAsia="en-US"/>
        </w:rPr>
      </w:pPr>
      <w:r>
        <w:rPr>
          <w:rFonts w:eastAsia="Calibri" w:cs="Arial"/>
          <w:lang w:val="en-US" w:eastAsia="en-US"/>
        </w:rPr>
        <w:t xml:space="preserve">Conservation and protection of environment; </w:t>
      </w:r>
    </w:p>
    <w:p w:rsidR="00511045" w:rsidRDefault="00511045" w:rsidP="00511045">
      <w:pPr>
        <w:numPr>
          <w:ilvl w:val="0"/>
          <w:numId w:val="77"/>
        </w:numPr>
        <w:spacing w:before="60" w:after="60" w:line="288" w:lineRule="auto"/>
        <w:ind w:left="993" w:hanging="284"/>
        <w:contextualSpacing/>
        <w:jc w:val="both"/>
        <w:rPr>
          <w:rFonts w:eastAsia="Calibri" w:cs="Arial"/>
          <w:lang w:val="en-US" w:eastAsia="en-US"/>
        </w:rPr>
      </w:pPr>
      <w:r>
        <w:rPr>
          <w:rFonts w:eastAsia="Calibri" w:cs="Arial"/>
          <w:lang w:val="en-US" w:eastAsia="en-US"/>
        </w:rPr>
        <w:t xml:space="preserve">Improving energy efficiency and using renewable resources; </w:t>
      </w:r>
    </w:p>
    <w:p w:rsidR="00511045" w:rsidRDefault="00511045" w:rsidP="00511045">
      <w:pPr>
        <w:numPr>
          <w:ilvl w:val="0"/>
          <w:numId w:val="77"/>
        </w:numPr>
        <w:spacing w:before="60" w:after="60" w:line="288" w:lineRule="auto"/>
        <w:ind w:left="993" w:hanging="284"/>
        <w:contextualSpacing/>
        <w:jc w:val="both"/>
        <w:rPr>
          <w:rFonts w:eastAsia="Calibri" w:cs="Arial"/>
          <w:lang w:val="en-US" w:eastAsia="en-US"/>
        </w:rPr>
      </w:pPr>
      <w:r>
        <w:rPr>
          <w:rFonts w:eastAsia="Calibri" w:cs="Arial"/>
          <w:lang w:val="en-US" w:eastAsia="en-US"/>
        </w:rPr>
        <w:t xml:space="preserve">Improving quality in education, health and social inclusion; </w:t>
      </w:r>
    </w:p>
    <w:p w:rsidR="00511045" w:rsidRDefault="00511045" w:rsidP="00511045">
      <w:pPr>
        <w:numPr>
          <w:ilvl w:val="0"/>
          <w:numId w:val="77"/>
        </w:numPr>
        <w:spacing w:before="60" w:after="60" w:line="288" w:lineRule="auto"/>
        <w:ind w:left="993" w:hanging="284"/>
        <w:contextualSpacing/>
        <w:jc w:val="both"/>
        <w:rPr>
          <w:rFonts w:eastAsia="Calibri" w:cs="Arial"/>
          <w:lang w:val="en-US" w:eastAsia="en-US"/>
        </w:rPr>
      </w:pPr>
      <w:r>
        <w:rPr>
          <w:rFonts w:eastAsia="Calibri" w:cs="Arial"/>
          <w:lang w:val="en-US" w:eastAsia="en-US"/>
        </w:rPr>
        <w:t xml:space="preserve">Recovery superior resources in rural areas and upgrading of the rural economy; </w:t>
      </w:r>
    </w:p>
    <w:p w:rsidR="00511045" w:rsidRDefault="00511045" w:rsidP="00511045">
      <w:pPr>
        <w:numPr>
          <w:ilvl w:val="0"/>
          <w:numId w:val="77"/>
        </w:numPr>
        <w:spacing w:before="60" w:after="60" w:line="288" w:lineRule="auto"/>
        <w:ind w:left="993" w:hanging="284"/>
        <w:contextualSpacing/>
        <w:jc w:val="both"/>
        <w:rPr>
          <w:rFonts w:eastAsia="Calibri" w:cs="Arial"/>
          <w:lang w:val="en-US" w:eastAsia="en-US"/>
        </w:rPr>
      </w:pPr>
      <w:r>
        <w:rPr>
          <w:rFonts w:eastAsia="Calibri" w:cs="Arial"/>
          <w:lang w:val="en-US" w:eastAsia="en-US"/>
        </w:rPr>
        <w:t>Improving human resources at the regional level in the context of smart regional specialization;</w:t>
      </w:r>
    </w:p>
    <w:p w:rsidR="00511045" w:rsidRDefault="00511045" w:rsidP="00511045">
      <w:pPr>
        <w:numPr>
          <w:ilvl w:val="0"/>
          <w:numId w:val="77"/>
        </w:numPr>
        <w:spacing w:before="60" w:after="60" w:line="288" w:lineRule="auto"/>
        <w:ind w:left="993" w:hanging="284"/>
        <w:contextualSpacing/>
        <w:jc w:val="both"/>
        <w:rPr>
          <w:rFonts w:eastAsia="Calibri" w:cs="Arial"/>
          <w:lang w:val="en-US" w:eastAsia="en-US"/>
        </w:rPr>
      </w:pPr>
      <w:r>
        <w:rPr>
          <w:rFonts w:eastAsia="Calibri" w:cs="Arial"/>
          <w:lang w:val="en-US" w:eastAsia="en-US"/>
        </w:rPr>
        <w:t xml:space="preserve">Promoting cross-border and interregional cooperation. </w:t>
      </w:r>
    </w:p>
    <w:p w:rsidR="00511045" w:rsidRDefault="00511045" w:rsidP="00511045">
      <w:pPr>
        <w:spacing w:before="60" w:after="60" w:line="288" w:lineRule="auto"/>
        <w:ind w:firstLine="567"/>
        <w:contextualSpacing/>
        <w:jc w:val="both"/>
        <w:rPr>
          <w:rFonts w:eastAsia="Calibri" w:cs="Arial"/>
          <w:lang w:val="en-US" w:eastAsia="en-US"/>
        </w:rPr>
      </w:pPr>
    </w:p>
    <w:p w:rsidR="00511045" w:rsidRDefault="00511045" w:rsidP="00511045">
      <w:pPr>
        <w:spacing w:before="60" w:after="60" w:line="288" w:lineRule="auto"/>
        <w:ind w:firstLine="567"/>
        <w:contextualSpacing/>
        <w:jc w:val="both"/>
        <w:rPr>
          <w:rFonts w:eastAsia="Calibri" w:cs="Arial"/>
          <w:lang w:val="en-US" w:eastAsia="en-US"/>
        </w:rPr>
      </w:pPr>
      <w:r>
        <w:rPr>
          <w:rFonts w:eastAsia="Calibri" w:cs="Arial"/>
          <w:lang w:val="en-US" w:eastAsia="en-US"/>
        </w:rPr>
        <w:t xml:space="preserve">Even if these development priorities are formulated differently than the objectives of the CBC programmes, the measures included in the SE Regional Development Plan are strongly convergent with ENI CBC Thematic Objectives. </w:t>
      </w:r>
    </w:p>
    <w:p w:rsidR="00511045" w:rsidRDefault="00511045" w:rsidP="00511045">
      <w:pPr>
        <w:spacing w:before="60" w:after="60" w:line="288" w:lineRule="auto"/>
        <w:ind w:firstLine="567"/>
        <w:contextualSpacing/>
        <w:jc w:val="both"/>
        <w:rPr>
          <w:rFonts w:eastAsia="Calibri" w:cs="Arial"/>
          <w:lang w:val="en-US" w:eastAsia="en-US"/>
        </w:rPr>
      </w:pPr>
    </w:p>
    <w:p w:rsidR="00511045" w:rsidRDefault="00511045" w:rsidP="00511045">
      <w:pPr>
        <w:spacing w:before="60" w:after="60" w:line="288" w:lineRule="auto"/>
        <w:ind w:firstLine="720"/>
        <w:contextualSpacing/>
        <w:jc w:val="both"/>
        <w:rPr>
          <w:rFonts w:eastAsia="Calibri" w:cs="Arial"/>
          <w:lang w:val="en-GB" w:eastAsia="en-US"/>
        </w:rPr>
      </w:pPr>
    </w:p>
    <w:p w:rsidR="00511045" w:rsidRDefault="00511045" w:rsidP="00511045">
      <w:pPr>
        <w:pStyle w:val="Heading1"/>
        <w:numPr>
          <w:ilvl w:val="0"/>
          <w:numId w:val="37"/>
        </w:numPr>
        <w:ind w:hanging="360"/>
        <w:rPr>
          <w:rFonts w:ascii="Arial" w:hAnsi="Arial" w:cs="Arial"/>
          <w:sz w:val="24"/>
          <w:szCs w:val="24"/>
          <w:lang w:val="en-GB" w:eastAsia="ro-RO"/>
        </w:rPr>
      </w:pPr>
      <w:bookmarkStart w:id="39" w:name="_Toc419704935"/>
      <w:r>
        <w:rPr>
          <w:rFonts w:ascii="Arial" w:hAnsi="Arial" w:cs="Arial"/>
          <w:sz w:val="24"/>
          <w:szCs w:val="24"/>
          <w:lang w:val="en-GB" w:eastAsia="ro-RO"/>
        </w:rPr>
        <w:t>UCRAINA</w:t>
      </w:r>
      <w:bookmarkEnd w:id="39"/>
    </w:p>
    <w:p w:rsidR="00511045" w:rsidRDefault="00511045" w:rsidP="00511045">
      <w:pPr>
        <w:spacing w:before="60" w:after="60" w:line="288" w:lineRule="auto"/>
        <w:contextualSpacing/>
        <w:jc w:val="both"/>
        <w:rPr>
          <w:rFonts w:cs="Arial"/>
          <w:b/>
          <w:lang w:val="en-GB" w:eastAsia="en-US"/>
        </w:rPr>
      </w:pPr>
    </w:p>
    <w:p w:rsidR="00511045" w:rsidRDefault="00511045" w:rsidP="00511045">
      <w:pPr>
        <w:pStyle w:val="a"/>
        <w:ind w:firstLine="709"/>
        <w:jc w:val="both"/>
        <w:rPr>
          <w:rFonts w:ascii="Arial" w:hAnsi="Arial" w:cs="Arial"/>
          <w:b/>
          <w:i/>
          <w:sz w:val="24"/>
          <w:szCs w:val="24"/>
          <w:lang w:val="en-GB" w:eastAsia="en-US"/>
        </w:rPr>
      </w:pPr>
      <w:r>
        <w:rPr>
          <w:rFonts w:ascii="Arial" w:hAnsi="Arial" w:cs="Arial"/>
          <w:b/>
          <w:i/>
          <w:sz w:val="24"/>
          <w:szCs w:val="24"/>
          <w:lang w:val="en-GB" w:eastAsia="en-US"/>
        </w:rPr>
        <w:t>State Strategy of Regional Development for the period until 2020</w:t>
      </w:r>
    </w:p>
    <w:p w:rsidR="00511045" w:rsidRDefault="00511045" w:rsidP="00511045">
      <w:pPr>
        <w:pStyle w:val="a"/>
        <w:ind w:firstLine="709"/>
        <w:jc w:val="both"/>
        <w:rPr>
          <w:rFonts w:ascii="Arial" w:hAnsi="Arial" w:cs="Arial"/>
          <w:i/>
          <w:sz w:val="24"/>
          <w:szCs w:val="24"/>
          <w:lang w:val="en-GB" w:eastAsia="en-US"/>
        </w:rPr>
      </w:pPr>
    </w:p>
    <w:p w:rsidR="00511045" w:rsidRDefault="00511045" w:rsidP="00511045">
      <w:pPr>
        <w:pStyle w:val="a"/>
        <w:spacing w:before="60" w:after="60" w:line="288" w:lineRule="auto"/>
        <w:ind w:firstLine="709"/>
        <w:jc w:val="both"/>
        <w:rPr>
          <w:rFonts w:ascii="Arial" w:hAnsi="Arial" w:cs="Arial"/>
          <w:sz w:val="24"/>
          <w:szCs w:val="24"/>
          <w:lang w:val="en-GB" w:eastAsia="en-US"/>
        </w:rPr>
      </w:pPr>
      <w:r>
        <w:rPr>
          <w:rFonts w:ascii="Arial" w:hAnsi="Arial" w:cs="Arial"/>
          <w:sz w:val="24"/>
          <w:szCs w:val="24"/>
          <w:lang w:val="en-GB" w:eastAsia="en-US"/>
        </w:rPr>
        <w:t>In the current 2014 context, the Strategy points out new risks and challenges that emerged in 2014 due to external influence of Russian Federation regarding Crimea and Sevastopol and Eastern regions of Ukraine. It is also emphasized that the document has been elaborated in accordance with the European standards and in compliance with the EU’s budget cycles. The document takes into account such modern trends as urbanization, openness to movement of labor force.</w:t>
      </w:r>
    </w:p>
    <w:p w:rsidR="00511045" w:rsidRDefault="00511045" w:rsidP="00511045">
      <w:pPr>
        <w:pStyle w:val="a"/>
        <w:spacing w:before="60" w:after="60" w:line="288" w:lineRule="auto"/>
        <w:ind w:firstLine="709"/>
        <w:jc w:val="both"/>
        <w:rPr>
          <w:rFonts w:ascii="Arial" w:hAnsi="Arial" w:cs="Arial"/>
          <w:sz w:val="24"/>
          <w:szCs w:val="24"/>
          <w:lang w:val="en-GB" w:eastAsia="en-US"/>
        </w:rPr>
      </w:pPr>
      <w:r>
        <w:rPr>
          <w:rFonts w:ascii="Arial" w:hAnsi="Arial" w:cs="Arial"/>
          <w:sz w:val="24"/>
          <w:szCs w:val="24"/>
          <w:lang w:val="en-GB" w:eastAsia="en-US"/>
        </w:rPr>
        <w:t xml:space="preserve">The Strategy defines the goals of state’s regional policies and key targets of regional authorities and structures of self-governance. The UA Government declares that it shares EU’s approach towards avoiding the increase of the regional disproportions however admits limitation in resources necessary for the efficient efforts in this direction. </w:t>
      </w:r>
    </w:p>
    <w:p w:rsidR="00511045" w:rsidRDefault="00511045" w:rsidP="00511045">
      <w:pPr>
        <w:pStyle w:val="a"/>
        <w:spacing w:before="60" w:after="60" w:line="288" w:lineRule="auto"/>
        <w:ind w:firstLine="709"/>
        <w:jc w:val="both"/>
        <w:rPr>
          <w:rFonts w:ascii="Arial" w:hAnsi="Arial" w:cs="Arial"/>
          <w:sz w:val="24"/>
          <w:szCs w:val="24"/>
          <w:lang w:val="en-GB" w:eastAsia="en-US"/>
        </w:rPr>
      </w:pPr>
      <w:r>
        <w:rPr>
          <w:rFonts w:ascii="Arial" w:hAnsi="Arial" w:cs="Arial"/>
          <w:sz w:val="24"/>
          <w:szCs w:val="24"/>
          <w:lang w:val="en-GB" w:eastAsia="en-US"/>
        </w:rPr>
        <w:lastRenderedPageBreak/>
        <w:t xml:space="preserve">The key goals of the Strategy are;to raise of the competitiveness of the regions, good governance and decentralization of power and enhanced coordination in such areasas transport and infrastructure, economic development and investments, support to entrepreneurship, labor market, education and science and innovations. </w:t>
      </w:r>
    </w:p>
    <w:p w:rsidR="00511045" w:rsidRDefault="00511045" w:rsidP="00511045">
      <w:pPr>
        <w:pStyle w:val="a"/>
        <w:spacing w:before="60" w:after="60" w:line="288" w:lineRule="auto"/>
        <w:ind w:firstLine="709"/>
        <w:jc w:val="both"/>
        <w:rPr>
          <w:rFonts w:ascii="Arial" w:hAnsi="Arial" w:cs="Arial"/>
          <w:sz w:val="24"/>
          <w:szCs w:val="24"/>
          <w:lang w:val="en-GB" w:eastAsia="en-US"/>
        </w:rPr>
      </w:pPr>
      <w:r>
        <w:rPr>
          <w:rFonts w:ascii="Arial" w:hAnsi="Arial" w:cs="Arial"/>
          <w:sz w:val="24"/>
          <w:szCs w:val="24"/>
          <w:lang w:val="en-GB" w:eastAsia="en-US"/>
        </w:rPr>
        <w:t xml:space="preserve">Increasing  competitiveness of the regions in accordance with the Strategy can be reached by enhances access to the regions including the development of transport networks, applying new technologies, ensuring environmental protection and enhanced economic activities in the country. The Strategy also points out the necessity of the efficient interaction with the external mechanisms of support (e.g. ENPI). One of the important objectives foreseen by the Strategy is diversification of sources of energy supplies, increase of energy efficiency, modernization of industries aimed at enhancing of energy efficiency, substituting gas by other energy resources gained from renewable sources of energy and alternative types of fuel. </w:t>
      </w:r>
    </w:p>
    <w:p w:rsidR="00511045" w:rsidRDefault="00511045" w:rsidP="00511045">
      <w:pPr>
        <w:pStyle w:val="a"/>
        <w:spacing w:before="60" w:after="60" w:line="288" w:lineRule="auto"/>
        <w:ind w:firstLine="709"/>
        <w:jc w:val="both"/>
        <w:rPr>
          <w:rFonts w:ascii="Arial" w:hAnsi="Arial" w:cs="Arial"/>
          <w:sz w:val="24"/>
          <w:szCs w:val="24"/>
          <w:lang w:val="en-GB" w:eastAsia="en-US"/>
        </w:rPr>
      </w:pPr>
      <w:r>
        <w:rPr>
          <w:rFonts w:ascii="Arial" w:hAnsi="Arial" w:cs="Arial"/>
          <w:sz w:val="24"/>
          <w:szCs w:val="24"/>
          <w:lang w:val="en-GB" w:eastAsia="en-US"/>
        </w:rPr>
        <w:t>Good governance and efficient state policies in the field of regional development can be reached by decentralization of power and enhanced coordination of activities between central authorities and self-governance bodies.</w:t>
      </w:r>
    </w:p>
    <w:p w:rsidR="00511045" w:rsidRDefault="00511045" w:rsidP="00511045">
      <w:pPr>
        <w:pStyle w:val="a"/>
        <w:spacing w:before="60" w:after="60" w:line="288" w:lineRule="auto"/>
        <w:ind w:firstLine="709"/>
        <w:jc w:val="both"/>
        <w:rPr>
          <w:rFonts w:ascii="Arial" w:hAnsi="Arial" w:cs="Arial"/>
          <w:sz w:val="24"/>
          <w:szCs w:val="24"/>
          <w:lang w:val="en-GB" w:eastAsia="en-US"/>
        </w:rPr>
      </w:pPr>
      <w:r>
        <w:rPr>
          <w:rFonts w:ascii="Arial" w:hAnsi="Arial" w:cs="Arial"/>
          <w:sz w:val="24"/>
          <w:szCs w:val="24"/>
          <w:lang w:val="en-GB" w:eastAsia="en-US"/>
        </w:rPr>
        <w:t xml:space="preserve">Additional priority is given to the development of border security and efficient border management in the regions bordering Russia, although the Strategy also mentions plans for the improvement of the ecological situation in the bordering regions, development of near-border infrastructure and enhanced cooperation with the local communities of the bordering states. </w:t>
      </w:r>
    </w:p>
    <w:p w:rsidR="00511045" w:rsidRDefault="00511045" w:rsidP="00511045">
      <w:pPr>
        <w:pStyle w:val="a"/>
        <w:spacing w:before="60" w:after="60" w:line="288" w:lineRule="auto"/>
        <w:ind w:firstLine="709"/>
        <w:jc w:val="both"/>
        <w:rPr>
          <w:rFonts w:ascii="Times New Roman" w:hAnsi="Times New Roman"/>
          <w:sz w:val="22"/>
          <w:szCs w:val="22"/>
          <w:lang w:val="en-GB"/>
        </w:rPr>
      </w:pPr>
    </w:p>
    <w:p w:rsidR="00511045" w:rsidRDefault="00511045" w:rsidP="00511045">
      <w:pPr>
        <w:pStyle w:val="Heading1"/>
        <w:numPr>
          <w:ilvl w:val="0"/>
          <w:numId w:val="37"/>
        </w:numPr>
        <w:ind w:hanging="360"/>
        <w:rPr>
          <w:rFonts w:ascii="Arial" w:hAnsi="Arial" w:cs="Arial"/>
          <w:sz w:val="24"/>
          <w:szCs w:val="24"/>
          <w:lang w:val="en-GB" w:eastAsia="ro-RO"/>
        </w:rPr>
      </w:pPr>
      <w:bookmarkStart w:id="40" w:name="_Toc419704936"/>
      <w:r>
        <w:rPr>
          <w:rFonts w:ascii="Arial" w:hAnsi="Arial" w:cs="Arial"/>
          <w:sz w:val="24"/>
          <w:szCs w:val="24"/>
          <w:lang w:val="en-GB" w:eastAsia="ro-RO"/>
        </w:rPr>
        <w:t>UNIUNEA EUROPEANĂ</w:t>
      </w:r>
      <w:bookmarkEnd w:id="40"/>
    </w:p>
    <w:p w:rsidR="00511045" w:rsidRDefault="00511045" w:rsidP="00511045">
      <w:pPr>
        <w:spacing w:before="60" w:after="60" w:line="288" w:lineRule="auto"/>
        <w:ind w:firstLine="720"/>
        <w:jc w:val="both"/>
        <w:rPr>
          <w:rFonts w:cs="Arial"/>
          <w:lang w:val="en-GB" w:eastAsia="en-US"/>
        </w:rPr>
      </w:pPr>
    </w:p>
    <w:p w:rsidR="00511045" w:rsidRDefault="00511045" w:rsidP="00511045">
      <w:pPr>
        <w:spacing w:before="60" w:after="60" w:line="288" w:lineRule="auto"/>
        <w:ind w:firstLine="709"/>
        <w:contextualSpacing/>
        <w:jc w:val="both"/>
        <w:rPr>
          <w:rFonts w:cs="Arial"/>
          <w:b/>
          <w:i/>
          <w:lang w:val="en-US" w:eastAsia="en-US"/>
        </w:rPr>
      </w:pPr>
      <w:r>
        <w:rPr>
          <w:rFonts w:cs="Arial"/>
          <w:b/>
          <w:i/>
          <w:lang w:val="en-US" w:eastAsia="en-US"/>
        </w:rPr>
        <w:t>Europe 2020</w:t>
      </w:r>
    </w:p>
    <w:p w:rsidR="00511045" w:rsidRDefault="00511045" w:rsidP="00511045">
      <w:pPr>
        <w:spacing w:before="60" w:after="60" w:line="288" w:lineRule="auto"/>
        <w:ind w:firstLine="709"/>
        <w:contextualSpacing/>
        <w:jc w:val="both"/>
        <w:rPr>
          <w:rFonts w:cs="Arial"/>
          <w:lang w:val="en-US" w:eastAsia="en-US"/>
        </w:rPr>
      </w:pPr>
      <w:r>
        <w:rPr>
          <w:rFonts w:cs="Arial"/>
          <w:lang w:val="en-US" w:eastAsia="en-US"/>
        </w:rPr>
        <w:t xml:space="preserve">Europe 2020 is the EU’s ten-years growth and jobs strategy launched in 2010. It aims to create within the EU the conditions for economic growth:  </w:t>
      </w:r>
    </w:p>
    <w:p w:rsidR="00511045" w:rsidRDefault="00511045" w:rsidP="00511045">
      <w:pPr>
        <w:numPr>
          <w:ilvl w:val="0"/>
          <w:numId w:val="78"/>
        </w:numPr>
        <w:spacing w:before="60" w:after="60" w:line="288" w:lineRule="auto"/>
        <w:ind w:left="1134" w:hanging="425"/>
        <w:rPr>
          <w:rFonts w:cs="Arial"/>
          <w:lang w:val="en-US" w:eastAsia="en-US"/>
        </w:rPr>
      </w:pPr>
      <w:r>
        <w:rPr>
          <w:rFonts w:cs="Arial"/>
          <w:lang w:val="en-US" w:eastAsia="en-US"/>
        </w:rPr>
        <w:t xml:space="preserve">Smart, through more effective investments in education, research and innovation; </w:t>
      </w:r>
    </w:p>
    <w:p w:rsidR="00511045" w:rsidRDefault="00511045" w:rsidP="00511045">
      <w:pPr>
        <w:numPr>
          <w:ilvl w:val="0"/>
          <w:numId w:val="78"/>
        </w:numPr>
        <w:spacing w:before="60" w:after="60" w:line="288" w:lineRule="auto"/>
        <w:ind w:left="1134" w:hanging="425"/>
        <w:rPr>
          <w:rFonts w:cs="Arial"/>
          <w:lang w:val="en-US" w:eastAsia="en-US"/>
        </w:rPr>
      </w:pPr>
      <w:hyperlink r:id="rId76" w:history="1">
        <w:r>
          <w:rPr>
            <w:rStyle w:val="Hyperlink"/>
            <w:rFonts w:cs="Arial"/>
            <w:color w:val="auto"/>
            <w:u w:val="none"/>
            <w:lang w:val="en-US" w:eastAsia="en-US"/>
          </w:rPr>
          <w:t>Sustainable</w:t>
        </w:r>
      </w:hyperlink>
      <w:r>
        <w:rPr>
          <w:rFonts w:cs="Arial"/>
          <w:lang w:val="en-US" w:eastAsia="en-US"/>
        </w:rPr>
        <w:t xml:space="preserve">, thanks to a decisive move towards a low-carbon economy; </w:t>
      </w:r>
    </w:p>
    <w:p w:rsidR="00511045" w:rsidRDefault="00511045" w:rsidP="00511045">
      <w:pPr>
        <w:numPr>
          <w:ilvl w:val="0"/>
          <w:numId w:val="78"/>
        </w:numPr>
        <w:spacing w:before="60" w:after="60" w:line="288" w:lineRule="auto"/>
        <w:ind w:left="1134" w:hanging="425"/>
        <w:rPr>
          <w:rFonts w:cs="Arial"/>
          <w:lang w:val="en-US" w:eastAsia="en-US"/>
        </w:rPr>
      </w:pPr>
      <w:hyperlink r:id="rId77" w:history="1">
        <w:r>
          <w:rPr>
            <w:rStyle w:val="Hyperlink"/>
            <w:rFonts w:cs="Arial"/>
            <w:color w:val="auto"/>
            <w:u w:val="none"/>
            <w:lang w:val="en-US" w:eastAsia="en-US"/>
          </w:rPr>
          <w:t>Inclusive</w:t>
        </w:r>
      </w:hyperlink>
      <w:r>
        <w:rPr>
          <w:rFonts w:cs="Arial"/>
          <w:lang w:val="en-US" w:eastAsia="en-US"/>
        </w:rPr>
        <w:t xml:space="preserve">, with a strong emphasis on job creation and poverty reduction. </w:t>
      </w:r>
    </w:p>
    <w:p w:rsidR="00511045" w:rsidRDefault="00511045" w:rsidP="00511045">
      <w:pPr>
        <w:spacing w:before="60" w:after="60" w:line="288" w:lineRule="auto"/>
        <w:ind w:left="720" w:firstLine="720"/>
        <w:contextualSpacing/>
        <w:jc w:val="both"/>
        <w:rPr>
          <w:rFonts w:cs="Arial"/>
          <w:i/>
          <w:lang w:val="en-US" w:eastAsia="en-US"/>
        </w:rPr>
      </w:pPr>
    </w:p>
    <w:p w:rsidR="00511045" w:rsidRDefault="00511045" w:rsidP="00511045">
      <w:pPr>
        <w:spacing w:before="60" w:after="60" w:line="288" w:lineRule="auto"/>
        <w:ind w:firstLine="709"/>
        <w:contextualSpacing/>
        <w:jc w:val="both"/>
        <w:rPr>
          <w:rFonts w:cs="Arial"/>
          <w:lang w:val="en-US" w:eastAsia="en-US"/>
        </w:rPr>
      </w:pPr>
      <w:r>
        <w:rPr>
          <w:rFonts w:cs="Arial"/>
          <w:lang w:val="en-US" w:eastAsia="en-US"/>
        </w:rPr>
        <w:t>The EU 2020 targets are focused on:</w:t>
      </w:r>
    </w:p>
    <w:p w:rsidR="00511045" w:rsidRDefault="00511045" w:rsidP="00511045">
      <w:pPr>
        <w:numPr>
          <w:ilvl w:val="0"/>
          <w:numId w:val="79"/>
        </w:numPr>
        <w:spacing w:before="60" w:after="60" w:line="288" w:lineRule="auto"/>
        <w:ind w:left="993" w:hanging="284"/>
        <w:contextualSpacing/>
        <w:jc w:val="both"/>
        <w:rPr>
          <w:rFonts w:cs="Arial"/>
          <w:lang w:val="en-US" w:eastAsia="en-US"/>
        </w:rPr>
      </w:pPr>
      <w:r>
        <w:rPr>
          <w:rFonts w:cs="Arial"/>
          <w:lang w:val="en-US" w:eastAsia="en-US"/>
        </w:rPr>
        <w:t xml:space="preserve">Employment; </w:t>
      </w:r>
    </w:p>
    <w:p w:rsidR="00511045" w:rsidRDefault="00511045" w:rsidP="00511045">
      <w:pPr>
        <w:numPr>
          <w:ilvl w:val="0"/>
          <w:numId w:val="79"/>
        </w:numPr>
        <w:spacing w:before="60" w:after="60" w:line="288" w:lineRule="auto"/>
        <w:ind w:left="993" w:hanging="284"/>
        <w:contextualSpacing/>
        <w:jc w:val="both"/>
        <w:rPr>
          <w:rFonts w:cs="Arial"/>
          <w:lang w:val="en-US" w:eastAsia="en-US"/>
        </w:rPr>
      </w:pPr>
      <w:r>
        <w:rPr>
          <w:rFonts w:cs="Arial"/>
          <w:lang w:val="en-US" w:eastAsia="en-US"/>
        </w:rPr>
        <w:t xml:space="preserve">Research and Development: </w:t>
      </w:r>
    </w:p>
    <w:p w:rsidR="00511045" w:rsidRDefault="00511045" w:rsidP="00511045">
      <w:pPr>
        <w:numPr>
          <w:ilvl w:val="0"/>
          <w:numId w:val="79"/>
        </w:numPr>
        <w:spacing w:before="60" w:after="60" w:line="288" w:lineRule="auto"/>
        <w:ind w:left="993" w:hanging="284"/>
        <w:contextualSpacing/>
        <w:jc w:val="both"/>
        <w:rPr>
          <w:rFonts w:cs="Arial"/>
          <w:lang w:val="en-US" w:eastAsia="en-US"/>
        </w:rPr>
      </w:pPr>
      <w:r>
        <w:rPr>
          <w:rFonts w:cs="Arial"/>
          <w:lang w:val="en-US" w:eastAsia="en-US"/>
        </w:rPr>
        <w:t>Climate change and energy sustainability; </w:t>
      </w:r>
    </w:p>
    <w:p w:rsidR="00511045" w:rsidRDefault="00511045" w:rsidP="00511045">
      <w:pPr>
        <w:numPr>
          <w:ilvl w:val="0"/>
          <w:numId w:val="79"/>
        </w:numPr>
        <w:spacing w:before="60" w:after="60" w:line="288" w:lineRule="auto"/>
        <w:ind w:left="993" w:hanging="284"/>
        <w:contextualSpacing/>
        <w:jc w:val="both"/>
        <w:rPr>
          <w:rFonts w:cs="Arial"/>
          <w:lang w:val="en-US" w:eastAsia="en-US"/>
        </w:rPr>
      </w:pPr>
      <w:r>
        <w:rPr>
          <w:rFonts w:cs="Arial"/>
          <w:lang w:val="en-US" w:eastAsia="en-US"/>
        </w:rPr>
        <w:t xml:space="preserve">Education, and </w:t>
      </w:r>
    </w:p>
    <w:p w:rsidR="00511045" w:rsidRDefault="00511045" w:rsidP="00511045">
      <w:pPr>
        <w:numPr>
          <w:ilvl w:val="0"/>
          <w:numId w:val="79"/>
        </w:numPr>
        <w:spacing w:before="60" w:after="60" w:line="288" w:lineRule="auto"/>
        <w:ind w:left="993" w:hanging="284"/>
        <w:contextualSpacing/>
        <w:jc w:val="both"/>
        <w:rPr>
          <w:rFonts w:cs="Arial"/>
          <w:lang w:val="en-US" w:eastAsia="en-US"/>
        </w:rPr>
      </w:pPr>
      <w:r>
        <w:rPr>
          <w:rFonts w:cs="Arial"/>
          <w:lang w:val="en-US" w:eastAsia="en-US"/>
        </w:rPr>
        <w:t>Fighting poverty and social exclusion.</w:t>
      </w:r>
    </w:p>
    <w:p w:rsidR="00511045" w:rsidRDefault="00511045" w:rsidP="00511045">
      <w:pPr>
        <w:spacing w:before="60" w:after="60" w:line="288" w:lineRule="auto"/>
        <w:ind w:left="720" w:firstLine="720"/>
        <w:contextualSpacing/>
        <w:jc w:val="both"/>
        <w:rPr>
          <w:rFonts w:cs="Arial"/>
          <w:i/>
          <w:lang w:val="en-US" w:eastAsia="en-US"/>
        </w:rPr>
      </w:pPr>
    </w:p>
    <w:p w:rsidR="00511045" w:rsidRDefault="00511045" w:rsidP="00511045">
      <w:pPr>
        <w:spacing w:before="60" w:after="60" w:line="288" w:lineRule="auto"/>
        <w:ind w:left="720" w:firstLine="720"/>
        <w:contextualSpacing/>
        <w:jc w:val="both"/>
        <w:rPr>
          <w:rFonts w:cs="Arial"/>
          <w:i/>
          <w:lang w:val="en-US" w:eastAsia="en-US"/>
        </w:rPr>
      </w:pPr>
    </w:p>
    <w:p w:rsidR="00511045" w:rsidRDefault="00511045" w:rsidP="00511045">
      <w:pPr>
        <w:spacing w:before="60" w:after="60" w:line="288" w:lineRule="auto"/>
        <w:ind w:firstLine="567"/>
        <w:contextualSpacing/>
        <w:jc w:val="both"/>
        <w:rPr>
          <w:rFonts w:cs="Arial"/>
          <w:b/>
          <w:i/>
          <w:lang w:val="en-US" w:eastAsia="en-US"/>
        </w:rPr>
      </w:pPr>
      <w:r>
        <w:rPr>
          <w:rFonts w:cs="Arial"/>
          <w:b/>
          <w:i/>
          <w:lang w:val="en-US" w:eastAsia="en-US"/>
        </w:rPr>
        <w:t>Danube Strategy</w:t>
      </w:r>
    </w:p>
    <w:p w:rsidR="00511045" w:rsidRDefault="00511045" w:rsidP="00511045">
      <w:pPr>
        <w:spacing w:before="60" w:after="60" w:line="288" w:lineRule="auto"/>
        <w:ind w:left="720" w:firstLine="720"/>
        <w:contextualSpacing/>
        <w:jc w:val="both"/>
        <w:rPr>
          <w:rFonts w:cs="Arial"/>
          <w:b/>
          <w:i/>
          <w:lang w:val="en-US" w:eastAsia="en-US"/>
        </w:rPr>
      </w:pPr>
    </w:p>
    <w:p w:rsidR="00511045" w:rsidRDefault="00511045" w:rsidP="00511045">
      <w:pPr>
        <w:jc w:val="both"/>
        <w:rPr>
          <w:rFonts w:cs="Arial"/>
          <w:lang w:eastAsia="en-US"/>
        </w:rPr>
      </w:pPr>
      <w:r>
        <w:rPr>
          <w:rFonts w:cs="Arial"/>
          <w:lang w:eastAsia="en-US"/>
        </w:rPr>
        <w:t xml:space="preserve">In 2011 the European Council, at Romania and Austria proposal, adopted a macro-regional strategy to boost development of the Danube basin region. The strategy aims to create </w:t>
      </w:r>
      <w:r>
        <w:rPr>
          <w:rFonts w:cs="Arial"/>
          <w:lang w:eastAsia="en-US"/>
        </w:rPr>
        <w:lastRenderedPageBreak/>
        <w:t>synergies and coordination between policies and initiatives taking place in the Danube basin region, including in 14 countries, including Romania, Moldova and Ukraine.</w:t>
      </w:r>
    </w:p>
    <w:p w:rsidR="00511045" w:rsidRDefault="00511045" w:rsidP="00511045">
      <w:pPr>
        <w:jc w:val="both"/>
        <w:rPr>
          <w:rFonts w:cs="Arial"/>
          <w:lang w:eastAsia="en-US"/>
        </w:rPr>
      </w:pPr>
      <w:r>
        <w:rPr>
          <w:rFonts w:cs="Arial"/>
          <w:lang w:eastAsia="en-US"/>
        </w:rPr>
        <w:t>The strategy is based on four major pillar:</w:t>
      </w:r>
    </w:p>
    <w:p w:rsidR="00511045" w:rsidRDefault="00511045" w:rsidP="00511045">
      <w:pPr>
        <w:ind w:left="709"/>
        <w:jc w:val="both"/>
        <w:rPr>
          <w:rFonts w:cs="Arial"/>
          <w:lang w:eastAsia="en-US"/>
        </w:rPr>
      </w:pPr>
      <w:r>
        <w:rPr>
          <w:rFonts w:cs="Arial"/>
          <w:lang w:eastAsia="en-US"/>
        </w:rPr>
        <w:t>A. connecting the Danube region;</w:t>
      </w:r>
    </w:p>
    <w:p w:rsidR="00511045" w:rsidRDefault="00511045" w:rsidP="00511045">
      <w:pPr>
        <w:ind w:left="709"/>
        <w:jc w:val="both"/>
        <w:rPr>
          <w:rFonts w:cs="Arial"/>
          <w:lang w:eastAsia="en-US"/>
        </w:rPr>
      </w:pPr>
      <w:r>
        <w:rPr>
          <w:rFonts w:cs="Arial"/>
          <w:lang w:eastAsia="en-US"/>
        </w:rPr>
        <w:t>B. protect the environment in the Danube region;</w:t>
      </w:r>
    </w:p>
    <w:p w:rsidR="00511045" w:rsidRDefault="00511045" w:rsidP="00511045">
      <w:pPr>
        <w:ind w:left="709"/>
        <w:jc w:val="both"/>
        <w:rPr>
          <w:rFonts w:cs="Arial"/>
          <w:lang w:eastAsia="en-US"/>
        </w:rPr>
      </w:pPr>
      <w:r>
        <w:rPr>
          <w:rFonts w:cs="Arial"/>
          <w:lang w:eastAsia="en-US"/>
        </w:rPr>
        <w:t>C. improve prosperity in the Danube region;</w:t>
      </w:r>
    </w:p>
    <w:p w:rsidR="00511045" w:rsidRDefault="00511045" w:rsidP="00511045">
      <w:pPr>
        <w:ind w:left="709"/>
        <w:jc w:val="both"/>
        <w:rPr>
          <w:rFonts w:cs="Arial"/>
          <w:lang w:eastAsia="en-US"/>
        </w:rPr>
      </w:pPr>
      <w:r>
        <w:rPr>
          <w:rFonts w:cs="Arial"/>
          <w:lang w:eastAsia="en-US"/>
        </w:rPr>
        <w:t>D. strengthening the Danube region.</w:t>
      </w:r>
    </w:p>
    <w:p w:rsidR="00511045" w:rsidRDefault="00511045" w:rsidP="00511045">
      <w:pPr>
        <w:jc w:val="both"/>
        <w:rPr>
          <w:rFonts w:cs="Arial"/>
          <w:lang w:eastAsia="en-US"/>
        </w:rPr>
      </w:pPr>
      <w:r>
        <w:rPr>
          <w:rFonts w:cs="Arial"/>
          <w:lang w:eastAsia="en-US"/>
        </w:rPr>
        <w:t>Each pillar of the strategy corresponds to specific areas of action, grouped into 11 priority areas, each priority area is coordinated by 2 states / provinces in the region, namely:</w:t>
      </w:r>
    </w:p>
    <w:p w:rsidR="00511045" w:rsidRPr="00B917E1" w:rsidRDefault="00511045" w:rsidP="00511045">
      <w:pPr>
        <w:jc w:val="both"/>
        <w:rPr>
          <w:rFonts w:cs="Arial"/>
          <w:i/>
          <w:u w:val="single"/>
          <w:lang w:eastAsia="en-US"/>
        </w:rPr>
      </w:pPr>
      <w:r w:rsidRPr="00B917E1">
        <w:rPr>
          <w:rFonts w:cs="Arial"/>
          <w:i/>
          <w:u w:val="single"/>
          <w:lang w:eastAsia="en-US"/>
        </w:rPr>
        <w:t>A. Connecting the Danube Region</w:t>
      </w:r>
    </w:p>
    <w:p w:rsidR="00511045" w:rsidRPr="00B917E1" w:rsidRDefault="00511045" w:rsidP="00511045">
      <w:pPr>
        <w:pStyle w:val="ListParagraph"/>
        <w:numPr>
          <w:ilvl w:val="0"/>
          <w:numId w:val="125"/>
        </w:numPr>
        <w:rPr>
          <w:rFonts w:cs="Arial"/>
          <w:lang w:eastAsia="en-US"/>
        </w:rPr>
      </w:pPr>
      <w:r w:rsidRPr="00B917E1">
        <w:rPr>
          <w:rFonts w:cs="Arial"/>
          <w:lang w:eastAsia="en-US"/>
        </w:rPr>
        <w:t>Improving mobility and multimodality:</w:t>
      </w:r>
    </w:p>
    <w:p w:rsidR="00511045" w:rsidRDefault="00511045" w:rsidP="00511045">
      <w:pPr>
        <w:ind w:left="709"/>
        <w:jc w:val="both"/>
        <w:rPr>
          <w:rFonts w:cs="Arial"/>
          <w:lang w:eastAsia="en-US"/>
        </w:rPr>
      </w:pPr>
      <w:r>
        <w:rPr>
          <w:rFonts w:cs="Arial"/>
          <w:lang w:eastAsia="en-US"/>
        </w:rPr>
        <w:t>a. inland waterways; (</w:t>
      </w:r>
      <w:r w:rsidRPr="00B917E1">
        <w:rPr>
          <w:rFonts w:cs="Arial"/>
          <w:i/>
          <w:lang w:eastAsia="en-US"/>
        </w:rPr>
        <w:t>Austria and Romania</w:t>
      </w:r>
      <w:r>
        <w:rPr>
          <w:rFonts w:cs="Arial"/>
          <w:lang w:eastAsia="en-US"/>
        </w:rPr>
        <w:t>)</w:t>
      </w:r>
    </w:p>
    <w:p w:rsidR="00511045" w:rsidRDefault="00511045" w:rsidP="00511045">
      <w:pPr>
        <w:ind w:left="709"/>
        <w:jc w:val="both"/>
        <w:rPr>
          <w:rFonts w:cs="Arial"/>
          <w:lang w:eastAsia="en-US"/>
        </w:rPr>
      </w:pPr>
      <w:r>
        <w:rPr>
          <w:rFonts w:cs="Arial"/>
          <w:lang w:eastAsia="en-US"/>
        </w:rPr>
        <w:t>b. road, rail and air; (</w:t>
      </w:r>
      <w:r w:rsidRPr="00B917E1">
        <w:rPr>
          <w:rFonts w:cs="Arial"/>
          <w:i/>
          <w:lang w:eastAsia="en-US"/>
        </w:rPr>
        <w:t>Slovenia and Serbia</w:t>
      </w:r>
      <w:r>
        <w:rPr>
          <w:rFonts w:cs="Arial"/>
          <w:lang w:eastAsia="en-US"/>
        </w:rPr>
        <w:t>)</w:t>
      </w:r>
    </w:p>
    <w:p w:rsidR="00511045" w:rsidRPr="00B917E1" w:rsidRDefault="00511045" w:rsidP="00511045">
      <w:pPr>
        <w:pStyle w:val="ListParagraph"/>
        <w:numPr>
          <w:ilvl w:val="0"/>
          <w:numId w:val="125"/>
        </w:numPr>
        <w:rPr>
          <w:rFonts w:cs="Arial"/>
          <w:lang w:eastAsia="en-US"/>
        </w:rPr>
      </w:pPr>
      <w:r>
        <w:rPr>
          <w:rFonts w:cs="Arial"/>
          <w:lang w:eastAsia="en-US"/>
        </w:rPr>
        <w:t>Promote</w:t>
      </w:r>
      <w:r w:rsidRPr="00B917E1">
        <w:rPr>
          <w:rFonts w:cs="Arial"/>
          <w:lang w:eastAsia="en-US"/>
        </w:rPr>
        <w:t xml:space="preserve"> sustainable energy; (</w:t>
      </w:r>
      <w:r w:rsidRPr="00B917E1">
        <w:rPr>
          <w:rFonts w:cs="Arial"/>
          <w:i/>
          <w:lang w:eastAsia="en-US"/>
        </w:rPr>
        <w:t>Hungary and Czech Republic</w:t>
      </w:r>
      <w:r w:rsidRPr="00B917E1">
        <w:rPr>
          <w:rFonts w:cs="Arial"/>
          <w:lang w:eastAsia="en-US"/>
        </w:rPr>
        <w:t>)</w:t>
      </w:r>
    </w:p>
    <w:p w:rsidR="00511045" w:rsidRPr="00B917E1" w:rsidRDefault="00511045" w:rsidP="00511045">
      <w:pPr>
        <w:pStyle w:val="ListParagraph"/>
        <w:numPr>
          <w:ilvl w:val="0"/>
          <w:numId w:val="125"/>
        </w:numPr>
        <w:rPr>
          <w:rFonts w:cs="Arial"/>
          <w:lang w:eastAsia="en-US"/>
        </w:rPr>
      </w:pPr>
      <w:r>
        <w:rPr>
          <w:rFonts w:cs="Arial"/>
          <w:lang w:eastAsia="en-US"/>
        </w:rPr>
        <w:t>P</w:t>
      </w:r>
      <w:r w:rsidRPr="00B917E1">
        <w:rPr>
          <w:rFonts w:cs="Arial"/>
          <w:lang w:eastAsia="en-US"/>
        </w:rPr>
        <w:t>romote culture and tourism, people to people contacts; (</w:t>
      </w:r>
      <w:r w:rsidRPr="00B917E1">
        <w:rPr>
          <w:rFonts w:cs="Arial"/>
          <w:i/>
          <w:lang w:eastAsia="en-US"/>
        </w:rPr>
        <w:t>Romania and Bulgaria</w:t>
      </w:r>
      <w:r w:rsidRPr="00B917E1">
        <w:rPr>
          <w:rFonts w:cs="Arial"/>
          <w:lang w:eastAsia="en-US"/>
        </w:rPr>
        <w:t>)</w:t>
      </w:r>
    </w:p>
    <w:p w:rsidR="00511045" w:rsidRDefault="00511045" w:rsidP="00511045">
      <w:pPr>
        <w:spacing w:before="60" w:after="60" w:line="288" w:lineRule="auto"/>
        <w:jc w:val="both"/>
        <w:rPr>
          <w:rFonts w:cs="Arial"/>
          <w:i/>
          <w:lang w:eastAsia="en-US"/>
        </w:rPr>
      </w:pPr>
    </w:p>
    <w:p w:rsidR="00511045" w:rsidRPr="00B917E1" w:rsidRDefault="00511045" w:rsidP="00511045">
      <w:pPr>
        <w:spacing w:before="60" w:after="60" w:line="288" w:lineRule="auto"/>
        <w:jc w:val="both"/>
        <w:rPr>
          <w:rFonts w:cs="Arial"/>
          <w:i/>
          <w:lang w:eastAsia="en-US"/>
        </w:rPr>
      </w:pPr>
      <w:r w:rsidRPr="00B917E1">
        <w:rPr>
          <w:rFonts w:cs="Arial"/>
          <w:i/>
          <w:lang w:eastAsia="en-US"/>
        </w:rPr>
        <w:t>B. Protecting the environment in the Danube region</w:t>
      </w:r>
    </w:p>
    <w:p w:rsidR="00511045" w:rsidRDefault="00511045" w:rsidP="00511045">
      <w:pPr>
        <w:pStyle w:val="ListParagraph"/>
        <w:numPr>
          <w:ilvl w:val="0"/>
          <w:numId w:val="125"/>
        </w:numPr>
        <w:rPr>
          <w:rFonts w:cs="Arial"/>
          <w:lang w:eastAsia="en-US"/>
        </w:rPr>
      </w:pPr>
      <w:r>
        <w:rPr>
          <w:rFonts w:cs="Arial"/>
          <w:lang w:eastAsia="en-US"/>
        </w:rPr>
        <w:t>restore and maintain water quality; (</w:t>
      </w:r>
      <w:r w:rsidRPr="00B917E1">
        <w:rPr>
          <w:rFonts w:cs="Arial"/>
          <w:i/>
          <w:lang w:eastAsia="en-US"/>
        </w:rPr>
        <w:t>Hungary and Slovakia</w:t>
      </w:r>
      <w:r>
        <w:rPr>
          <w:rFonts w:cs="Arial"/>
          <w:lang w:eastAsia="en-US"/>
        </w:rPr>
        <w:t>)</w:t>
      </w:r>
    </w:p>
    <w:p w:rsidR="00511045" w:rsidRDefault="00511045" w:rsidP="00511045">
      <w:pPr>
        <w:pStyle w:val="ListParagraph"/>
        <w:numPr>
          <w:ilvl w:val="0"/>
          <w:numId w:val="125"/>
        </w:numPr>
        <w:rPr>
          <w:rFonts w:cs="Arial"/>
          <w:lang w:eastAsia="en-US"/>
        </w:rPr>
      </w:pPr>
      <w:r>
        <w:rPr>
          <w:rFonts w:cs="Arial"/>
          <w:lang w:eastAsia="en-US"/>
        </w:rPr>
        <w:t>manage environmental risks; (</w:t>
      </w:r>
      <w:r w:rsidRPr="00B917E1">
        <w:rPr>
          <w:rFonts w:cs="Arial"/>
          <w:i/>
          <w:lang w:eastAsia="en-US"/>
        </w:rPr>
        <w:t>Hungary and Romania</w:t>
      </w:r>
      <w:r>
        <w:rPr>
          <w:rFonts w:cs="Arial"/>
          <w:lang w:eastAsia="en-US"/>
        </w:rPr>
        <w:t>)</w:t>
      </w:r>
    </w:p>
    <w:p w:rsidR="00511045" w:rsidRDefault="00511045" w:rsidP="00511045">
      <w:pPr>
        <w:pStyle w:val="ListParagraph"/>
        <w:numPr>
          <w:ilvl w:val="0"/>
          <w:numId w:val="125"/>
        </w:numPr>
        <w:rPr>
          <w:rFonts w:cs="Arial"/>
          <w:lang w:eastAsia="en-US"/>
        </w:rPr>
      </w:pPr>
      <w:r>
        <w:rPr>
          <w:rFonts w:cs="Arial"/>
          <w:lang w:eastAsia="en-US"/>
        </w:rPr>
        <w:t>preserve biodiversity, landscapes and air and soil quality (</w:t>
      </w:r>
      <w:r w:rsidRPr="00B917E1">
        <w:rPr>
          <w:rFonts w:cs="Arial"/>
          <w:i/>
          <w:lang w:eastAsia="en-US"/>
        </w:rPr>
        <w:t>Bavaria and Croatia</w:t>
      </w:r>
      <w:r>
        <w:rPr>
          <w:rFonts w:cs="Arial"/>
          <w:lang w:eastAsia="en-US"/>
        </w:rPr>
        <w:t>)</w:t>
      </w:r>
    </w:p>
    <w:p w:rsidR="00511045" w:rsidRDefault="00511045" w:rsidP="00511045">
      <w:pPr>
        <w:pStyle w:val="ListParagraph"/>
        <w:rPr>
          <w:rFonts w:cs="Arial"/>
          <w:lang w:eastAsia="en-US"/>
        </w:rPr>
      </w:pPr>
    </w:p>
    <w:p w:rsidR="00511045" w:rsidRPr="00B917E1" w:rsidRDefault="00511045" w:rsidP="00511045">
      <w:pPr>
        <w:spacing w:before="60" w:after="60" w:line="288" w:lineRule="auto"/>
        <w:jc w:val="both"/>
        <w:rPr>
          <w:rFonts w:cs="Arial"/>
          <w:i/>
          <w:lang w:eastAsia="en-US"/>
        </w:rPr>
      </w:pPr>
      <w:r w:rsidRPr="00B917E1">
        <w:rPr>
          <w:rFonts w:cs="Arial"/>
          <w:i/>
          <w:lang w:eastAsia="en-US"/>
        </w:rPr>
        <w:t>C. Building prosperity in the Danube region</w:t>
      </w:r>
    </w:p>
    <w:p w:rsidR="00511045" w:rsidRDefault="00511045" w:rsidP="00511045">
      <w:pPr>
        <w:pStyle w:val="ListParagraph"/>
        <w:numPr>
          <w:ilvl w:val="0"/>
          <w:numId w:val="125"/>
        </w:numPr>
        <w:rPr>
          <w:rFonts w:cs="Arial"/>
          <w:lang w:eastAsia="en-US"/>
        </w:rPr>
      </w:pPr>
      <w:r>
        <w:rPr>
          <w:rFonts w:cs="Arial"/>
          <w:lang w:eastAsia="en-US"/>
        </w:rPr>
        <w:t xml:space="preserve">Develop the knowledge society through research, education and information technologies; (Serbia and Slovakia) </w:t>
      </w:r>
    </w:p>
    <w:p w:rsidR="00511045" w:rsidRDefault="00511045" w:rsidP="00511045">
      <w:pPr>
        <w:pStyle w:val="ListParagraph"/>
        <w:numPr>
          <w:ilvl w:val="0"/>
          <w:numId w:val="125"/>
        </w:numPr>
        <w:rPr>
          <w:rFonts w:cs="Arial"/>
          <w:lang w:eastAsia="en-US"/>
        </w:rPr>
      </w:pPr>
      <w:r>
        <w:rPr>
          <w:rFonts w:cs="Arial"/>
          <w:lang w:eastAsia="en-US"/>
        </w:rPr>
        <w:t>support the competitiveness of enterprises, including cluster development; (</w:t>
      </w:r>
      <w:r w:rsidRPr="00B917E1">
        <w:rPr>
          <w:rFonts w:cs="Arial"/>
          <w:i/>
          <w:lang w:eastAsia="en-US"/>
        </w:rPr>
        <w:t>Baden Württemberg Croatia</w:t>
      </w:r>
      <w:r>
        <w:rPr>
          <w:rFonts w:cs="Arial"/>
          <w:lang w:eastAsia="en-US"/>
        </w:rPr>
        <w:t>)</w:t>
      </w:r>
    </w:p>
    <w:p w:rsidR="00511045" w:rsidRDefault="00511045" w:rsidP="00511045">
      <w:pPr>
        <w:pStyle w:val="ListParagraph"/>
        <w:numPr>
          <w:ilvl w:val="0"/>
          <w:numId w:val="125"/>
        </w:numPr>
        <w:rPr>
          <w:rFonts w:cs="Arial"/>
          <w:lang w:eastAsia="en-US"/>
        </w:rPr>
      </w:pPr>
      <w:r>
        <w:rPr>
          <w:rFonts w:cs="Arial"/>
          <w:lang w:eastAsia="en-US"/>
        </w:rPr>
        <w:t>Investing in people and skills; (</w:t>
      </w:r>
      <w:r w:rsidRPr="00B917E1">
        <w:rPr>
          <w:rFonts w:cs="Arial"/>
          <w:i/>
          <w:lang w:eastAsia="en-US"/>
        </w:rPr>
        <w:t>Austria and Moldova</w:t>
      </w:r>
      <w:r>
        <w:rPr>
          <w:rFonts w:cs="Arial"/>
          <w:lang w:eastAsia="en-US"/>
        </w:rPr>
        <w:t>)</w:t>
      </w:r>
    </w:p>
    <w:p w:rsidR="00511045" w:rsidRDefault="00511045" w:rsidP="00511045">
      <w:pPr>
        <w:pStyle w:val="ListParagraph"/>
        <w:rPr>
          <w:rFonts w:cs="Arial"/>
          <w:lang w:eastAsia="en-US"/>
        </w:rPr>
      </w:pPr>
    </w:p>
    <w:p w:rsidR="00511045" w:rsidRPr="00B917E1" w:rsidRDefault="00511045" w:rsidP="00511045">
      <w:pPr>
        <w:spacing w:before="60" w:after="60" w:line="288" w:lineRule="auto"/>
        <w:jc w:val="both"/>
        <w:rPr>
          <w:rFonts w:cs="Arial"/>
          <w:i/>
          <w:lang w:eastAsia="en-US"/>
        </w:rPr>
      </w:pPr>
      <w:r w:rsidRPr="00B917E1">
        <w:rPr>
          <w:rFonts w:cs="Arial"/>
          <w:i/>
          <w:lang w:eastAsia="en-US"/>
        </w:rPr>
        <w:t>D. Strengthening the Danube Region</w:t>
      </w:r>
    </w:p>
    <w:p w:rsidR="00511045" w:rsidRDefault="00511045" w:rsidP="00511045">
      <w:pPr>
        <w:pStyle w:val="ListParagraph"/>
        <w:numPr>
          <w:ilvl w:val="0"/>
          <w:numId w:val="125"/>
        </w:numPr>
        <w:rPr>
          <w:rFonts w:cs="Arial"/>
          <w:lang w:eastAsia="en-US"/>
        </w:rPr>
      </w:pPr>
      <w:r>
        <w:rPr>
          <w:rFonts w:cs="Arial"/>
          <w:lang w:eastAsia="en-US"/>
        </w:rPr>
        <w:t>Improving institutional capacity and cooperation; (Austria and Slovenia)</w:t>
      </w:r>
    </w:p>
    <w:p w:rsidR="00511045" w:rsidRDefault="00511045" w:rsidP="00511045">
      <w:pPr>
        <w:pStyle w:val="ListParagraph"/>
        <w:rPr>
          <w:rFonts w:cs="Arial"/>
          <w:lang w:eastAsia="en-US"/>
        </w:rPr>
      </w:pPr>
    </w:p>
    <w:p w:rsidR="00511045" w:rsidRDefault="00511045" w:rsidP="00511045">
      <w:pPr>
        <w:spacing w:before="60" w:after="60" w:line="288" w:lineRule="auto"/>
        <w:ind w:firstLine="720"/>
        <w:jc w:val="both"/>
        <w:rPr>
          <w:rFonts w:cs="Arial"/>
          <w:lang w:eastAsia="en-US"/>
        </w:rPr>
      </w:pPr>
      <w:r>
        <w:rPr>
          <w:rFonts w:cs="Arial"/>
          <w:lang w:eastAsia="en-US"/>
        </w:rPr>
        <w:t>Work together to promote security and tackle organized crime and serious crime issues. (</w:t>
      </w:r>
      <w:r w:rsidRPr="00B917E1">
        <w:rPr>
          <w:rFonts w:cs="Arial"/>
          <w:i/>
          <w:lang w:eastAsia="en-US"/>
        </w:rPr>
        <w:t>Bavaria and Bulgaria</w:t>
      </w:r>
      <w:r>
        <w:rPr>
          <w:rFonts w:cs="Arial"/>
          <w:lang w:eastAsia="en-US"/>
        </w:rPr>
        <w:t>). Most of ENI CBC's strategic thematic objectives, excluding social inclusion and local government are well represented in this strategy. Among the priority axes related also to matters / activities of the CBC Programme shall include:</w:t>
      </w:r>
    </w:p>
    <w:p w:rsidR="00511045" w:rsidRDefault="00511045" w:rsidP="00511045">
      <w:pPr>
        <w:pStyle w:val="ListParagraph"/>
        <w:numPr>
          <w:ilvl w:val="0"/>
          <w:numId w:val="125"/>
        </w:numPr>
        <w:rPr>
          <w:rFonts w:cs="Arial"/>
          <w:lang w:eastAsia="en-US"/>
        </w:rPr>
      </w:pPr>
      <w:r>
        <w:rPr>
          <w:rFonts w:cs="Arial"/>
          <w:lang w:eastAsia="en-US"/>
        </w:rPr>
        <w:t>connectivity (intermodal transport, culture and tourism, energy networks);</w:t>
      </w:r>
    </w:p>
    <w:p w:rsidR="00511045" w:rsidRDefault="00511045" w:rsidP="00511045">
      <w:pPr>
        <w:pStyle w:val="ListParagraph"/>
        <w:numPr>
          <w:ilvl w:val="0"/>
          <w:numId w:val="125"/>
        </w:numPr>
        <w:rPr>
          <w:rFonts w:cs="Arial"/>
          <w:lang w:eastAsia="en-US"/>
        </w:rPr>
      </w:pPr>
      <w:r>
        <w:rPr>
          <w:rFonts w:cs="Arial"/>
          <w:lang w:eastAsia="en-US"/>
        </w:rPr>
        <w:t>Environmental protection (water management, biodiversity protection and risk management);</w:t>
      </w:r>
    </w:p>
    <w:p w:rsidR="00511045" w:rsidRDefault="00511045" w:rsidP="00511045">
      <w:pPr>
        <w:pStyle w:val="ListParagraph"/>
        <w:numPr>
          <w:ilvl w:val="0"/>
          <w:numId w:val="125"/>
        </w:numPr>
        <w:rPr>
          <w:rFonts w:cs="Arial"/>
          <w:lang w:eastAsia="en-US"/>
        </w:rPr>
      </w:pPr>
      <w:r>
        <w:rPr>
          <w:rFonts w:cs="Arial"/>
          <w:lang w:eastAsia="en-US"/>
        </w:rPr>
        <w:t>Increasing prosperity of the Danube region (education, research, competitiveness);</w:t>
      </w:r>
    </w:p>
    <w:p w:rsidR="00511045" w:rsidRDefault="00511045" w:rsidP="00511045">
      <w:pPr>
        <w:pStyle w:val="ListParagraph"/>
        <w:numPr>
          <w:ilvl w:val="0"/>
          <w:numId w:val="125"/>
        </w:numPr>
        <w:rPr>
          <w:rFonts w:cs="Arial"/>
          <w:lang w:eastAsia="en-US"/>
        </w:rPr>
      </w:pPr>
      <w:r>
        <w:rPr>
          <w:rFonts w:cs="Arial"/>
          <w:lang w:eastAsia="en-US"/>
        </w:rPr>
        <w:t>Improvement of governance (institutional capacity and internal security).</w:t>
      </w:r>
    </w:p>
    <w:p w:rsidR="00511045" w:rsidRDefault="00511045" w:rsidP="00511045">
      <w:pPr>
        <w:spacing w:before="60" w:after="60" w:line="288" w:lineRule="auto"/>
        <w:ind w:firstLine="720"/>
        <w:jc w:val="both"/>
        <w:rPr>
          <w:rFonts w:cs="Arial"/>
          <w:lang w:eastAsia="en-US"/>
        </w:rPr>
      </w:pPr>
      <w:r>
        <w:rPr>
          <w:rFonts w:cs="Arial"/>
          <w:lang w:eastAsia="en-US"/>
        </w:rPr>
        <w:t>Given the cross-country and regional dimension of the Danube Strategy is needed an integrated approach to border Cooperation Programme to support joint complementary measures.</w:t>
      </w:r>
    </w:p>
    <w:p w:rsidR="00511045" w:rsidRDefault="00511045" w:rsidP="00511045">
      <w:pPr>
        <w:spacing w:before="60" w:after="60" w:line="288" w:lineRule="auto"/>
        <w:ind w:firstLine="709"/>
        <w:contextualSpacing/>
        <w:jc w:val="both"/>
        <w:rPr>
          <w:rFonts w:cs="Arial"/>
          <w:lang w:val="en-US" w:eastAsia="en-US"/>
        </w:rPr>
      </w:pPr>
      <w:r>
        <w:rPr>
          <w:rFonts w:cs="Arial"/>
          <w:lang w:val="en-US" w:eastAsia="en-US"/>
        </w:rPr>
        <w:t xml:space="preserve">.  </w:t>
      </w:r>
    </w:p>
    <w:p w:rsidR="00511045" w:rsidRDefault="00511045" w:rsidP="00511045">
      <w:pPr>
        <w:spacing w:before="60" w:after="60" w:line="288" w:lineRule="auto"/>
        <w:ind w:left="720" w:firstLine="720"/>
        <w:contextualSpacing/>
        <w:jc w:val="both"/>
        <w:rPr>
          <w:rFonts w:cs="Arial"/>
          <w:i/>
          <w:lang w:val="en-US" w:eastAsia="en-US"/>
        </w:rPr>
      </w:pPr>
    </w:p>
    <w:p w:rsidR="00511045" w:rsidRDefault="00511045" w:rsidP="00511045">
      <w:pPr>
        <w:spacing w:before="60" w:after="60" w:line="288" w:lineRule="auto"/>
        <w:ind w:left="720" w:hanging="11"/>
        <w:contextualSpacing/>
        <w:jc w:val="both"/>
        <w:rPr>
          <w:rFonts w:cs="Arial"/>
          <w:b/>
          <w:i/>
          <w:lang w:val="en-US" w:eastAsia="en-US"/>
        </w:rPr>
      </w:pPr>
      <w:r>
        <w:rPr>
          <w:rFonts w:cs="Arial"/>
          <w:b/>
          <w:i/>
          <w:lang w:val="en-US" w:eastAsia="en-US"/>
        </w:rPr>
        <w:t>Eastern Partnership </w:t>
      </w:r>
    </w:p>
    <w:p w:rsidR="00511045" w:rsidRDefault="00511045" w:rsidP="00511045">
      <w:pPr>
        <w:spacing w:before="60" w:after="60" w:line="288" w:lineRule="auto"/>
        <w:ind w:left="720" w:firstLine="720"/>
        <w:contextualSpacing/>
        <w:jc w:val="both"/>
        <w:rPr>
          <w:rFonts w:cs="Arial"/>
          <w:b/>
          <w:i/>
          <w:lang w:val="en-US" w:eastAsia="en-US"/>
        </w:rPr>
      </w:pPr>
    </w:p>
    <w:p w:rsidR="00511045" w:rsidRDefault="00511045" w:rsidP="00511045">
      <w:pPr>
        <w:spacing w:before="60" w:after="60" w:line="288" w:lineRule="auto"/>
        <w:ind w:firstLine="709"/>
        <w:contextualSpacing/>
        <w:jc w:val="both"/>
        <w:rPr>
          <w:rFonts w:cs="Arial"/>
          <w:lang w:val="en-US" w:eastAsia="en-US"/>
        </w:rPr>
      </w:pPr>
      <w:r>
        <w:rPr>
          <w:rFonts w:cs="Arial"/>
          <w:lang w:val="en-US" w:eastAsia="en-US"/>
        </w:rPr>
        <w:lastRenderedPageBreak/>
        <w:t xml:space="preserve">Representing the Eastern dimension of the European Neighbourhood Policy, this initiative was launched at the Prague summit in 2009 and was reaffirmed in 2011 and subsequently in 2013. It aims to deepen and strengthen relations between the European Union and its six Eastern neighbours, Armenia, Azerbaijan, Belarus, Georgia, Republic of Moldova and Ukraine. </w:t>
      </w:r>
    </w:p>
    <w:p w:rsidR="00511045" w:rsidRDefault="00511045" w:rsidP="00511045">
      <w:pPr>
        <w:spacing w:before="60" w:after="60" w:line="288" w:lineRule="auto"/>
        <w:ind w:firstLine="709"/>
        <w:contextualSpacing/>
        <w:jc w:val="both"/>
        <w:rPr>
          <w:rFonts w:cs="Arial"/>
          <w:lang w:val="en-US" w:eastAsia="en-US"/>
        </w:rPr>
      </w:pPr>
      <w:r>
        <w:rPr>
          <w:rFonts w:cs="Arial"/>
          <w:lang w:val="en-US" w:eastAsia="en-US"/>
        </w:rPr>
        <w:t xml:space="preserve">The EaP is focused on several Flagship Initiatives as follows: </w:t>
      </w:r>
    </w:p>
    <w:p w:rsidR="00511045" w:rsidRDefault="00511045" w:rsidP="00511045">
      <w:pPr>
        <w:numPr>
          <w:ilvl w:val="0"/>
          <w:numId w:val="81"/>
        </w:numPr>
        <w:spacing w:before="60" w:after="60" w:line="288" w:lineRule="auto"/>
        <w:ind w:left="993" w:hanging="284"/>
        <w:contextualSpacing/>
        <w:jc w:val="both"/>
        <w:rPr>
          <w:rFonts w:cs="Arial"/>
          <w:lang w:val="en-US" w:eastAsia="en-US"/>
        </w:rPr>
      </w:pPr>
      <w:r>
        <w:rPr>
          <w:rFonts w:cs="Arial"/>
          <w:lang w:val="en-US" w:eastAsia="en-US"/>
        </w:rPr>
        <w:t xml:space="preserve">Integrated Border Management Programme; </w:t>
      </w:r>
    </w:p>
    <w:p w:rsidR="00511045" w:rsidRDefault="00511045" w:rsidP="00511045">
      <w:pPr>
        <w:numPr>
          <w:ilvl w:val="0"/>
          <w:numId w:val="81"/>
        </w:numPr>
        <w:spacing w:before="60" w:after="60" w:line="288" w:lineRule="auto"/>
        <w:ind w:left="993" w:hanging="284"/>
        <w:contextualSpacing/>
        <w:jc w:val="both"/>
        <w:rPr>
          <w:rFonts w:cs="Arial"/>
          <w:lang w:val="en-US" w:eastAsia="en-US"/>
        </w:rPr>
      </w:pPr>
      <w:r>
        <w:rPr>
          <w:rFonts w:cs="Arial"/>
          <w:lang w:val="en-US" w:eastAsia="en-US"/>
        </w:rPr>
        <w:t xml:space="preserve">Small and Medium-size Enterprise (SME); </w:t>
      </w:r>
    </w:p>
    <w:p w:rsidR="00511045" w:rsidRDefault="00511045" w:rsidP="00511045">
      <w:pPr>
        <w:numPr>
          <w:ilvl w:val="0"/>
          <w:numId w:val="81"/>
        </w:numPr>
        <w:spacing w:before="60" w:after="60" w:line="288" w:lineRule="auto"/>
        <w:ind w:left="993" w:hanging="284"/>
        <w:contextualSpacing/>
        <w:jc w:val="both"/>
        <w:rPr>
          <w:rFonts w:cs="Arial"/>
          <w:lang w:val="en-US" w:eastAsia="en-US"/>
        </w:rPr>
      </w:pPr>
      <w:r>
        <w:rPr>
          <w:rFonts w:cs="Arial"/>
          <w:lang w:val="en-US" w:eastAsia="en-US"/>
        </w:rPr>
        <w:t xml:space="preserve">Regional energy markets and energy efficiency; </w:t>
      </w:r>
    </w:p>
    <w:p w:rsidR="00511045" w:rsidRDefault="00511045" w:rsidP="00511045">
      <w:pPr>
        <w:numPr>
          <w:ilvl w:val="0"/>
          <w:numId w:val="81"/>
        </w:numPr>
        <w:spacing w:before="60" w:after="60" w:line="288" w:lineRule="auto"/>
        <w:ind w:left="993" w:hanging="284"/>
        <w:contextualSpacing/>
        <w:jc w:val="both"/>
        <w:rPr>
          <w:rFonts w:cs="Arial"/>
          <w:lang w:val="en-US" w:eastAsia="en-US"/>
        </w:rPr>
      </w:pPr>
      <w:r>
        <w:rPr>
          <w:rFonts w:cs="Arial"/>
          <w:lang w:val="en-US" w:eastAsia="en-US"/>
        </w:rPr>
        <w:t xml:space="preserve">Diversification of energy supply; </w:t>
      </w:r>
    </w:p>
    <w:p w:rsidR="00511045" w:rsidRDefault="00511045" w:rsidP="00511045">
      <w:pPr>
        <w:numPr>
          <w:ilvl w:val="0"/>
          <w:numId w:val="81"/>
        </w:numPr>
        <w:spacing w:before="60" w:after="60" w:line="288" w:lineRule="auto"/>
        <w:ind w:left="993" w:hanging="284"/>
        <w:contextualSpacing/>
        <w:jc w:val="both"/>
        <w:rPr>
          <w:rFonts w:cs="Arial"/>
          <w:lang w:val="en-US" w:eastAsia="en-US"/>
        </w:rPr>
      </w:pPr>
      <w:r>
        <w:rPr>
          <w:rFonts w:cs="Arial"/>
          <w:lang w:val="en-US" w:eastAsia="en-US"/>
        </w:rPr>
        <w:t xml:space="preserve">Prevention of, preparedness for and response to natural and man-made disasters; </w:t>
      </w:r>
    </w:p>
    <w:p w:rsidR="00511045" w:rsidRDefault="00511045" w:rsidP="00511045">
      <w:pPr>
        <w:numPr>
          <w:ilvl w:val="0"/>
          <w:numId w:val="81"/>
        </w:numPr>
        <w:spacing w:before="60" w:after="60" w:line="288" w:lineRule="auto"/>
        <w:ind w:left="993" w:hanging="284"/>
        <w:contextualSpacing/>
        <w:jc w:val="both"/>
        <w:rPr>
          <w:rFonts w:cs="Arial"/>
          <w:lang w:val="en-US" w:eastAsia="en-US"/>
        </w:rPr>
      </w:pPr>
      <w:r>
        <w:rPr>
          <w:rFonts w:cs="Arial"/>
          <w:lang w:val="en-US" w:eastAsia="en-US"/>
        </w:rPr>
        <w:t xml:space="preserve"> Good environmental governance. </w:t>
      </w:r>
    </w:p>
    <w:p w:rsidR="00511045" w:rsidRDefault="00511045" w:rsidP="00511045">
      <w:pPr>
        <w:autoSpaceDE w:val="0"/>
        <w:autoSpaceDN w:val="0"/>
        <w:adjustRightInd w:val="0"/>
        <w:spacing w:before="60" w:after="60" w:line="288" w:lineRule="auto"/>
        <w:ind w:firstLine="709"/>
        <w:contextualSpacing/>
        <w:jc w:val="both"/>
        <w:rPr>
          <w:rFonts w:eastAsia="EUAlbertina-Regular-Identity-H" w:cs="Arial"/>
          <w:lang w:val="en-GB" w:eastAsia="en-US"/>
        </w:rPr>
      </w:pPr>
    </w:p>
    <w:p w:rsidR="00511045" w:rsidRDefault="00511045" w:rsidP="00511045">
      <w:pPr>
        <w:autoSpaceDE w:val="0"/>
        <w:autoSpaceDN w:val="0"/>
        <w:adjustRightInd w:val="0"/>
        <w:spacing w:before="60" w:after="60" w:line="288" w:lineRule="auto"/>
        <w:ind w:firstLine="709"/>
        <w:contextualSpacing/>
        <w:jc w:val="both"/>
        <w:rPr>
          <w:rFonts w:eastAsia="EUAlbertina-Regular-Identity-H" w:cs="Arial"/>
          <w:b/>
          <w:lang w:val="en-GB" w:eastAsia="en-US"/>
        </w:rPr>
      </w:pPr>
      <w:r>
        <w:rPr>
          <w:rFonts w:eastAsia="EUAlbertina-Regular-Identity-H" w:cs="Arial"/>
          <w:lang w:val="en" w:eastAsia="en-US"/>
        </w:rPr>
        <w:t>The implementation of the Programme Romania-Ukraine thematic objectives should take into consideration the EU Directives, Decisions and Regulations on air quality, surface water and groundwater, soil and subsoil, climate change, health, biodiversity, conservation, resource efficiency or the national legislation in force (Romania or Ukraine) if this is less restrictive.</w:t>
      </w:r>
    </w:p>
    <w:p w:rsidR="00511045" w:rsidRDefault="00511045" w:rsidP="00511045">
      <w:pPr>
        <w:autoSpaceDE w:val="0"/>
        <w:autoSpaceDN w:val="0"/>
        <w:adjustRightInd w:val="0"/>
        <w:spacing w:before="60" w:after="60" w:line="288" w:lineRule="auto"/>
        <w:contextualSpacing/>
        <w:jc w:val="both"/>
        <w:rPr>
          <w:rFonts w:eastAsia="EUAlbertina-Regular-Identity-H" w:cs="Arial"/>
          <w:b/>
          <w:lang w:val="en-GB" w:eastAsia="en-US"/>
        </w:rPr>
      </w:pPr>
    </w:p>
    <w:p w:rsidR="00511045" w:rsidRDefault="00511045" w:rsidP="00511045">
      <w:pPr>
        <w:spacing w:before="60" w:after="60" w:line="288" w:lineRule="auto"/>
        <w:ind w:firstLine="709"/>
        <w:contextualSpacing/>
        <w:jc w:val="both"/>
        <w:rPr>
          <w:rFonts w:eastAsia="Calibri" w:cs="Arial"/>
          <w:lang w:eastAsia="en-US"/>
        </w:rPr>
      </w:pPr>
      <w:r>
        <w:rPr>
          <w:rFonts w:eastAsia="Calibri" w:cs="Arial"/>
          <w:lang w:eastAsia="en-US"/>
        </w:rPr>
        <w:t>The development of the program indicative actions will consider the measures necessary to fulfill the Convention - United Nations Framework on Climate Change and Kyoto Protocol. It also will take into account any other national or European policy or strategy on adaptation and mitigation of climate change.</w:t>
      </w:r>
    </w:p>
    <w:p w:rsidR="00511045" w:rsidRDefault="00511045" w:rsidP="00511045">
      <w:pPr>
        <w:spacing w:before="60" w:after="60" w:line="288" w:lineRule="auto"/>
        <w:ind w:firstLine="709"/>
        <w:contextualSpacing/>
        <w:jc w:val="both"/>
        <w:rPr>
          <w:rFonts w:eastAsia="Calibri" w:cs="Arial"/>
          <w:lang w:eastAsia="en-US"/>
        </w:rPr>
      </w:pPr>
      <w:r>
        <w:rPr>
          <w:rFonts w:eastAsia="Calibri" w:cs="Arial"/>
          <w:lang w:eastAsia="en-US"/>
        </w:rPr>
        <w:t xml:space="preserve">The projects promoted throught the programme indicative activities will be in line with the legal framework and provisions of the Romania-Ukraine bilateral water management, namely the </w:t>
      </w:r>
      <w:r w:rsidRPr="00B917E1">
        <w:rPr>
          <w:rFonts w:eastAsia="Calibri" w:cs="Arial"/>
          <w:i/>
          <w:lang w:eastAsia="en-US"/>
        </w:rPr>
        <w:t>Agreement between the Government of Romania and the Government of Ukraine on cooperation border water management,</w:t>
      </w:r>
      <w:r>
        <w:rPr>
          <w:rFonts w:eastAsia="Calibri" w:cs="Arial"/>
          <w:lang w:eastAsia="en-US"/>
        </w:rPr>
        <w:t xml:space="preserve"> signed on 30 September 1997 in Galati and ratified by Law no. 16/1999.</w:t>
      </w:r>
    </w:p>
    <w:p w:rsidR="00511045" w:rsidRDefault="00511045" w:rsidP="00511045">
      <w:pPr>
        <w:rPr>
          <w:rFonts w:eastAsia="EUAlbertina-Regular-Identity-H" w:cs="Arial"/>
          <w:b/>
          <w:lang w:val="en-GB" w:eastAsia="en-US"/>
        </w:rPr>
      </w:pPr>
      <w:r>
        <w:rPr>
          <w:rFonts w:eastAsia="EUAlbertina-Regular-Identity-H" w:cs="Arial"/>
          <w:b/>
          <w:lang w:val="en-GB" w:eastAsia="en-US"/>
        </w:rPr>
        <w:br w:type="page"/>
      </w:r>
    </w:p>
    <w:p w:rsidR="00511045" w:rsidRDefault="00511045" w:rsidP="00511045">
      <w:pPr>
        <w:autoSpaceDE w:val="0"/>
        <w:autoSpaceDN w:val="0"/>
        <w:adjustRightInd w:val="0"/>
        <w:spacing w:before="60" w:after="60" w:line="288" w:lineRule="auto"/>
        <w:contextualSpacing/>
        <w:jc w:val="both"/>
        <w:rPr>
          <w:rFonts w:eastAsia="EUAlbertina-Regular-Identity-H" w:cs="Arial"/>
          <w:b/>
          <w:lang w:val="en-GB" w:eastAsia="en-US"/>
        </w:rPr>
      </w:pPr>
    </w:p>
    <w:p w:rsidR="00511045" w:rsidRDefault="00511045" w:rsidP="00511045">
      <w:pPr>
        <w:pStyle w:val="Title"/>
        <w:numPr>
          <w:ilvl w:val="0"/>
          <w:numId w:val="6"/>
        </w:numPr>
        <w:jc w:val="left"/>
        <w:rPr>
          <w:rFonts w:ascii="Arial" w:hAnsi="Arial" w:cs="Arial"/>
          <w:sz w:val="24"/>
          <w:szCs w:val="24"/>
          <w:lang w:val="en-GB"/>
        </w:rPr>
      </w:pPr>
      <w:bookmarkStart w:id="41" w:name="_Toc419704937"/>
      <w:r>
        <w:rPr>
          <w:rFonts w:ascii="Arial" w:hAnsi="Arial" w:cs="Arial"/>
          <w:sz w:val="24"/>
          <w:szCs w:val="24"/>
          <w:lang w:val="en-GB"/>
        </w:rPr>
        <w:t>THE LIKELY SIGNIFICANT EFFECTS ON THE ENVIRONMENT, INCLUDING ON ISSUES SUCH AS BIODIVERSITY, POPULATION, HUMANHEALTH, FAUNA, FLORA, SOIL, WATER, AIR, CLIMATIC FACTORS, MATERIAL ASSETS, CULTURAL HERITAGE INCLUDING ARCHITECTURAL AND ARCHAEOLOGICAL HERITAGE, LANDSCAPE AND THE INTERRELATIONSHIP BETWEEN THE ABOVE FACTORS</w:t>
      </w:r>
      <w:bookmarkEnd w:id="41"/>
    </w:p>
    <w:p w:rsidR="00511045" w:rsidRDefault="00511045" w:rsidP="00511045">
      <w:pPr>
        <w:rPr>
          <w:b/>
          <w:lang w:val="en-GB"/>
        </w:rPr>
      </w:pPr>
    </w:p>
    <w:p w:rsidR="00511045" w:rsidRDefault="00511045" w:rsidP="00511045">
      <w:pPr>
        <w:spacing w:before="60" w:after="60" w:line="288" w:lineRule="auto"/>
        <w:jc w:val="both"/>
        <w:rPr>
          <w:rFonts w:cs="Arial"/>
          <w:b/>
          <w:u w:val="single"/>
          <w:lang w:val="en-GB" w:eastAsia="en-US"/>
        </w:rPr>
      </w:pPr>
      <w:r>
        <w:rPr>
          <w:rFonts w:cs="Arial"/>
          <w:b/>
          <w:lang w:val="en-GB" w:eastAsia="en-US"/>
        </w:rPr>
        <w:t>TO2 - SUPPORT TO EDUCATION, RESEARCH, TECHNOLOGICAL DEVELOPMENT &amp; INNOVATION</w:t>
      </w:r>
    </w:p>
    <w:p w:rsidR="00511045" w:rsidRDefault="00511045" w:rsidP="00511045">
      <w:pPr>
        <w:spacing w:before="60" w:after="60" w:line="288" w:lineRule="auto"/>
        <w:jc w:val="both"/>
        <w:rPr>
          <w:rFonts w:cs="Arial"/>
          <w:b/>
          <w:lang w:val="en-GB" w:eastAsia="en-US"/>
        </w:rPr>
      </w:pPr>
      <w:r>
        <w:rPr>
          <w:rFonts w:cs="Arial"/>
          <w:b/>
          <w:bCs/>
          <w:i/>
          <w:iCs/>
          <w:lang w:val="en-GB" w:eastAsia="en-US"/>
        </w:rPr>
        <w:t>Objective 1</w:t>
      </w:r>
      <w:r>
        <w:rPr>
          <w:rFonts w:cs="Arial"/>
          <w:b/>
          <w:bCs/>
          <w:iCs/>
          <w:lang w:val="en-GB" w:eastAsia="en-US"/>
        </w:rPr>
        <w:t xml:space="preserve">:  </w:t>
      </w:r>
      <w:r w:rsidRPr="00CF4CA5">
        <w:rPr>
          <w:rFonts w:cs="Arial"/>
          <w:i/>
          <w:lang w:val="en-GB" w:eastAsia="en-US"/>
        </w:rPr>
        <w:t xml:space="preserve">Develop education and support research and innovation at the level of the Programme area by facilitating the cooperation at local, regional and central level </w:t>
      </w:r>
      <w:r>
        <w:rPr>
          <w:rFonts w:cs="Arial"/>
          <w:b/>
          <w:bCs/>
          <w:iCs/>
          <w:lang w:val="en-GB" w:eastAsia="en-US"/>
        </w:rPr>
        <w:t xml:space="preserve">Priority 1.1 – Institutional cooperation in the educational field for increasing access to education and quality of education </w:t>
      </w:r>
    </w:p>
    <w:tbl>
      <w:tblPr>
        <w:tblW w:w="9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5116"/>
        <w:gridCol w:w="1780"/>
        <w:gridCol w:w="2271"/>
      </w:tblGrid>
      <w:tr w:rsidR="00511045" w:rsidTr="002E01ED">
        <w:trPr>
          <w:jc w:val="center"/>
        </w:trPr>
        <w:tc>
          <w:tcPr>
            <w:tcW w:w="571" w:type="dxa"/>
            <w:shd w:val="clear" w:color="auto" w:fill="auto"/>
            <w:vAlign w:val="center"/>
          </w:tcPr>
          <w:p w:rsidR="00511045" w:rsidRDefault="00511045" w:rsidP="002E01ED">
            <w:pPr>
              <w:rPr>
                <w:b/>
                <w:sz w:val="22"/>
                <w:szCs w:val="22"/>
                <w:lang w:val="en-GB" w:eastAsia="en-US"/>
              </w:rPr>
            </w:pPr>
            <w:bookmarkStart w:id="42" w:name="_Toc413833669"/>
            <w:bookmarkStart w:id="43" w:name="_Toc414266793"/>
            <w:r>
              <w:rPr>
                <w:b/>
                <w:sz w:val="22"/>
                <w:szCs w:val="22"/>
                <w:lang w:val="en-GB" w:eastAsia="en-US"/>
              </w:rPr>
              <w:t>No. crt.</w:t>
            </w:r>
            <w:bookmarkEnd w:id="42"/>
            <w:bookmarkEnd w:id="43"/>
          </w:p>
        </w:tc>
        <w:tc>
          <w:tcPr>
            <w:tcW w:w="5116" w:type="dxa"/>
            <w:shd w:val="clear" w:color="auto" w:fill="auto"/>
            <w:vAlign w:val="center"/>
          </w:tcPr>
          <w:p w:rsidR="00511045" w:rsidRDefault="00511045" w:rsidP="002E01ED">
            <w:pPr>
              <w:rPr>
                <w:b/>
                <w:sz w:val="22"/>
                <w:szCs w:val="22"/>
                <w:lang w:val="en-GB" w:eastAsia="en-US"/>
              </w:rPr>
            </w:pPr>
            <w:bookmarkStart w:id="44" w:name="_Toc413833670"/>
            <w:bookmarkStart w:id="45" w:name="_Toc414266794"/>
            <w:r>
              <w:rPr>
                <w:b/>
                <w:sz w:val="22"/>
                <w:szCs w:val="22"/>
                <w:lang w:val="en-GB" w:eastAsia="en-US"/>
              </w:rPr>
              <w:t xml:space="preserve">Indicative activities </w:t>
            </w:r>
            <w:bookmarkEnd w:id="44"/>
            <w:bookmarkEnd w:id="45"/>
          </w:p>
        </w:tc>
        <w:tc>
          <w:tcPr>
            <w:tcW w:w="1780" w:type="dxa"/>
            <w:shd w:val="clear" w:color="auto" w:fill="auto"/>
            <w:vAlign w:val="center"/>
          </w:tcPr>
          <w:p w:rsidR="00511045" w:rsidRDefault="00511045" w:rsidP="002E01ED">
            <w:pPr>
              <w:rPr>
                <w:b/>
                <w:sz w:val="22"/>
                <w:szCs w:val="22"/>
                <w:lang w:val="en-GB" w:eastAsia="en-US"/>
              </w:rPr>
            </w:pPr>
            <w:bookmarkStart w:id="46" w:name="_Toc413833671"/>
            <w:bookmarkStart w:id="47" w:name="_Toc414266795"/>
            <w:r>
              <w:rPr>
                <w:b/>
                <w:sz w:val="22"/>
                <w:szCs w:val="22"/>
                <w:lang w:val="en-GB" w:eastAsia="en-US"/>
              </w:rPr>
              <w:t xml:space="preserve">Environmental aspects </w:t>
            </w:r>
            <w:bookmarkEnd w:id="46"/>
            <w:bookmarkEnd w:id="47"/>
            <w:r>
              <w:rPr>
                <w:b/>
                <w:sz w:val="22"/>
                <w:szCs w:val="22"/>
                <w:lang w:val="en-GB" w:eastAsia="en-US"/>
              </w:rPr>
              <w:t>and</w:t>
            </w:r>
          </w:p>
          <w:p w:rsidR="00511045" w:rsidRDefault="00511045" w:rsidP="002E01ED">
            <w:pPr>
              <w:rPr>
                <w:b/>
                <w:sz w:val="22"/>
                <w:szCs w:val="22"/>
                <w:lang w:val="en-GB" w:eastAsia="en-US"/>
              </w:rPr>
            </w:pPr>
            <w:bookmarkStart w:id="48" w:name="_Toc413833672"/>
            <w:bookmarkStart w:id="49" w:name="_Toc414266796"/>
            <w:r>
              <w:rPr>
                <w:b/>
                <w:sz w:val="22"/>
                <w:szCs w:val="22"/>
                <w:lang w:val="en-GB" w:eastAsia="en-US"/>
              </w:rPr>
              <w:t xml:space="preserve">objective </w:t>
            </w:r>
            <w:bookmarkEnd w:id="48"/>
            <w:bookmarkEnd w:id="49"/>
            <w:r>
              <w:rPr>
                <w:b/>
                <w:sz w:val="22"/>
                <w:szCs w:val="22"/>
                <w:lang w:val="en-GB" w:eastAsia="en-US"/>
              </w:rPr>
              <w:t>considered</w:t>
            </w:r>
          </w:p>
        </w:tc>
        <w:tc>
          <w:tcPr>
            <w:tcW w:w="2271" w:type="dxa"/>
            <w:shd w:val="clear" w:color="auto" w:fill="auto"/>
            <w:vAlign w:val="center"/>
          </w:tcPr>
          <w:p w:rsidR="00511045" w:rsidRDefault="00511045" w:rsidP="002E01ED">
            <w:pPr>
              <w:rPr>
                <w:b/>
                <w:sz w:val="22"/>
                <w:szCs w:val="22"/>
                <w:lang w:val="en-GB" w:eastAsia="en-US"/>
              </w:rPr>
            </w:pPr>
            <w:bookmarkStart w:id="50" w:name="_Toc413833677"/>
            <w:bookmarkStart w:id="51" w:name="_Toc414266801"/>
            <w:r>
              <w:rPr>
                <w:b/>
                <w:sz w:val="22"/>
                <w:szCs w:val="22"/>
                <w:lang w:val="en-GB" w:eastAsia="en-US"/>
              </w:rPr>
              <w:t>Potential</w:t>
            </w:r>
            <w:bookmarkStart w:id="52" w:name="_Toc413833676"/>
            <w:bookmarkStart w:id="53" w:name="_Toc414266800"/>
            <w:bookmarkEnd w:id="50"/>
            <w:bookmarkEnd w:id="51"/>
            <w:r>
              <w:rPr>
                <w:b/>
                <w:sz w:val="22"/>
                <w:szCs w:val="22"/>
                <w:lang w:val="en-GB" w:eastAsia="en-US"/>
              </w:rPr>
              <w:t xml:space="preserve"> impact</w:t>
            </w:r>
            <w:bookmarkEnd w:id="52"/>
            <w:bookmarkEnd w:id="53"/>
          </w:p>
          <w:p w:rsidR="00511045" w:rsidRDefault="00511045" w:rsidP="002E01ED">
            <w:pPr>
              <w:rPr>
                <w:b/>
                <w:sz w:val="22"/>
                <w:szCs w:val="22"/>
                <w:lang w:val="en-GB" w:eastAsia="en-US"/>
              </w:rPr>
            </w:pP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54" w:name="_Toc413833678"/>
            <w:bookmarkStart w:id="55" w:name="_Toc414266802"/>
            <w:r>
              <w:rPr>
                <w:sz w:val="22"/>
                <w:szCs w:val="22"/>
                <w:lang w:val="en-GB" w:eastAsia="en-US"/>
              </w:rPr>
              <w:t>1.</w:t>
            </w:r>
            <w:bookmarkEnd w:id="54"/>
            <w:bookmarkEnd w:id="55"/>
          </w:p>
        </w:tc>
        <w:tc>
          <w:tcPr>
            <w:tcW w:w="5116" w:type="dxa"/>
            <w:shd w:val="clear" w:color="auto" w:fill="auto"/>
          </w:tcPr>
          <w:p w:rsidR="00511045" w:rsidRDefault="00511045" w:rsidP="002E01ED">
            <w:pPr>
              <w:jc w:val="both"/>
              <w:rPr>
                <w:rFonts w:cs="Arial"/>
                <w:sz w:val="22"/>
                <w:szCs w:val="22"/>
                <w:lang w:val="en-GB"/>
              </w:rPr>
            </w:pPr>
            <w:r>
              <w:rPr>
                <w:rFonts w:cs="Arial"/>
                <w:sz w:val="22"/>
                <w:szCs w:val="22"/>
                <w:lang w:val="en-GB"/>
              </w:rPr>
              <w:t xml:space="preserve">Joint planning and joint development of educational strategies; </w:t>
            </w:r>
          </w:p>
        </w:tc>
        <w:tc>
          <w:tcPr>
            <w:tcW w:w="1780" w:type="dxa"/>
            <w:shd w:val="clear" w:color="auto" w:fill="auto"/>
            <w:vAlign w:val="center"/>
          </w:tcPr>
          <w:p w:rsidR="00511045" w:rsidRDefault="00511045" w:rsidP="002E01ED">
            <w:pPr>
              <w:rPr>
                <w:sz w:val="22"/>
                <w:szCs w:val="22"/>
                <w:lang w:val="en-GB" w:eastAsia="en-US"/>
              </w:rPr>
            </w:pPr>
            <w:r>
              <w:rPr>
                <w:sz w:val="22"/>
                <w:szCs w:val="22"/>
                <w:lang w:val="en-GB" w:eastAsia="en-US"/>
              </w:rPr>
              <w:t>Is not the case</w:t>
            </w:r>
          </w:p>
        </w:tc>
        <w:tc>
          <w:tcPr>
            <w:tcW w:w="2271" w:type="dxa"/>
            <w:shd w:val="clear" w:color="auto" w:fill="auto"/>
            <w:vAlign w:val="center"/>
          </w:tcPr>
          <w:p w:rsidR="00511045" w:rsidRDefault="00511045" w:rsidP="002E01ED">
            <w:pPr>
              <w:jc w:val="center"/>
              <w:rPr>
                <w:sz w:val="22"/>
                <w:szCs w:val="22"/>
                <w:lang w:val="en-GB" w:eastAsia="en-US"/>
              </w:rPr>
            </w:pPr>
            <w:bookmarkStart w:id="56" w:name="_Toc413833680"/>
            <w:bookmarkStart w:id="57" w:name="_Toc414266804"/>
            <w:r>
              <w:rPr>
                <w:sz w:val="22"/>
                <w:szCs w:val="22"/>
                <w:lang w:val="en-GB" w:eastAsia="en-US"/>
              </w:rPr>
              <w:t>Indirect</w:t>
            </w:r>
            <w:bookmarkEnd w:id="56"/>
            <w:bookmarkEnd w:id="57"/>
            <w:r>
              <w:rPr>
                <w:sz w:val="22"/>
                <w:szCs w:val="22"/>
                <w:lang w:val="en-GB" w:eastAsia="en-US"/>
              </w:rPr>
              <w:t>ly</w:t>
            </w:r>
          </w:p>
        </w:tc>
      </w:tr>
      <w:tr w:rsidR="00511045" w:rsidTr="002E01ED">
        <w:trPr>
          <w:jc w:val="center"/>
        </w:trPr>
        <w:tc>
          <w:tcPr>
            <w:tcW w:w="571" w:type="dxa"/>
            <w:vMerge w:val="restart"/>
            <w:shd w:val="clear" w:color="auto" w:fill="auto"/>
          </w:tcPr>
          <w:p w:rsidR="00511045" w:rsidRDefault="00511045" w:rsidP="002E01ED">
            <w:pPr>
              <w:rPr>
                <w:sz w:val="22"/>
                <w:szCs w:val="22"/>
                <w:lang w:val="en-GB" w:eastAsia="en-US"/>
              </w:rPr>
            </w:pPr>
            <w:bookmarkStart w:id="58" w:name="_Toc413833681"/>
            <w:bookmarkStart w:id="59" w:name="_Toc414266805"/>
            <w:r>
              <w:rPr>
                <w:sz w:val="22"/>
                <w:szCs w:val="22"/>
                <w:lang w:val="en-GB" w:eastAsia="en-US"/>
              </w:rPr>
              <w:t>2.</w:t>
            </w:r>
            <w:bookmarkEnd w:id="58"/>
            <w:bookmarkEnd w:id="59"/>
          </w:p>
        </w:tc>
        <w:tc>
          <w:tcPr>
            <w:tcW w:w="5116" w:type="dxa"/>
            <w:shd w:val="clear" w:color="auto" w:fill="auto"/>
          </w:tcPr>
          <w:p w:rsidR="00511045" w:rsidRDefault="00511045" w:rsidP="002E01ED">
            <w:pPr>
              <w:jc w:val="both"/>
              <w:rPr>
                <w:rFonts w:cs="Arial"/>
                <w:sz w:val="22"/>
                <w:szCs w:val="22"/>
                <w:lang w:val="en-GB"/>
              </w:rPr>
            </w:pPr>
            <w:r>
              <w:rPr>
                <w:rFonts w:cs="Arial"/>
                <w:sz w:val="22"/>
                <w:szCs w:val="22"/>
                <w:lang w:val="en-GB"/>
              </w:rPr>
              <w:t>Exchanges of experience, teacher exchanges, transfer of good practices between institutions from both sides of the border for increasing the effectiveness of education through the diversification of professional training programs for employees in the education system in areas such as:</w:t>
            </w:r>
          </w:p>
        </w:tc>
        <w:tc>
          <w:tcPr>
            <w:tcW w:w="1780" w:type="dxa"/>
            <w:shd w:val="clear" w:color="auto" w:fill="auto"/>
          </w:tcPr>
          <w:p w:rsidR="00511045" w:rsidRDefault="00511045" w:rsidP="002E01ED">
            <w:pPr>
              <w:rPr>
                <w:sz w:val="22"/>
                <w:szCs w:val="22"/>
                <w:lang w:val="en-GB" w:eastAsia="en-US"/>
              </w:rPr>
            </w:pPr>
          </w:p>
        </w:tc>
        <w:tc>
          <w:tcPr>
            <w:tcW w:w="2271" w:type="dxa"/>
            <w:shd w:val="clear" w:color="auto" w:fill="auto"/>
          </w:tcPr>
          <w:p w:rsidR="00511045" w:rsidRDefault="00511045" w:rsidP="002E01ED">
            <w:pPr>
              <w:rPr>
                <w:sz w:val="22"/>
                <w:szCs w:val="22"/>
                <w:lang w:val="en-GB" w:eastAsia="en-US"/>
              </w:rPr>
            </w:pPr>
          </w:p>
        </w:tc>
      </w:tr>
      <w:tr w:rsidR="00511045" w:rsidTr="002E01ED">
        <w:trPr>
          <w:jc w:val="center"/>
        </w:trPr>
        <w:tc>
          <w:tcPr>
            <w:tcW w:w="571" w:type="dxa"/>
            <w:vMerge/>
            <w:shd w:val="clear" w:color="auto" w:fill="auto"/>
          </w:tcPr>
          <w:p w:rsidR="00511045" w:rsidRDefault="00511045" w:rsidP="002E01ED">
            <w:pPr>
              <w:rPr>
                <w:sz w:val="22"/>
                <w:szCs w:val="22"/>
                <w:lang w:val="en-GB" w:eastAsia="en-US"/>
              </w:rPr>
            </w:pPr>
          </w:p>
        </w:tc>
        <w:tc>
          <w:tcPr>
            <w:tcW w:w="5116" w:type="dxa"/>
            <w:shd w:val="clear" w:color="auto" w:fill="auto"/>
          </w:tcPr>
          <w:p w:rsidR="00511045" w:rsidRDefault="00511045" w:rsidP="002E01ED">
            <w:pPr>
              <w:jc w:val="both"/>
              <w:rPr>
                <w:rFonts w:cs="Arial"/>
                <w:sz w:val="22"/>
                <w:szCs w:val="22"/>
                <w:lang w:val="en-GB"/>
              </w:rPr>
            </w:pPr>
            <w:r>
              <w:rPr>
                <w:rFonts w:cs="Arial"/>
                <w:sz w:val="22"/>
                <w:szCs w:val="22"/>
                <w:lang w:val="en-GB"/>
              </w:rPr>
              <w:t>- School development, school management, developing the relation between schools and communities;</w:t>
            </w:r>
          </w:p>
        </w:tc>
        <w:tc>
          <w:tcPr>
            <w:tcW w:w="1780" w:type="dxa"/>
            <w:shd w:val="clear" w:color="auto" w:fill="auto"/>
            <w:vAlign w:val="center"/>
          </w:tcPr>
          <w:p w:rsidR="00511045" w:rsidRDefault="00511045" w:rsidP="002E01ED">
            <w:pPr>
              <w:rPr>
                <w:sz w:val="22"/>
                <w:szCs w:val="22"/>
                <w:lang w:val="en-GB" w:eastAsia="en-US"/>
              </w:rPr>
            </w:pPr>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rPr>
          <w:jc w:val="center"/>
        </w:trPr>
        <w:tc>
          <w:tcPr>
            <w:tcW w:w="571" w:type="dxa"/>
            <w:vMerge/>
            <w:shd w:val="clear" w:color="auto" w:fill="auto"/>
          </w:tcPr>
          <w:p w:rsidR="00511045" w:rsidRDefault="00511045" w:rsidP="002E01ED">
            <w:pPr>
              <w:rPr>
                <w:sz w:val="22"/>
                <w:szCs w:val="22"/>
                <w:lang w:val="en-GB" w:eastAsia="en-US"/>
              </w:rPr>
            </w:pPr>
          </w:p>
        </w:tc>
        <w:tc>
          <w:tcPr>
            <w:tcW w:w="5116" w:type="dxa"/>
            <w:shd w:val="clear" w:color="auto" w:fill="auto"/>
          </w:tcPr>
          <w:p w:rsidR="00511045" w:rsidRDefault="00511045" w:rsidP="002E01ED">
            <w:pPr>
              <w:tabs>
                <w:tab w:val="left" w:pos="0"/>
              </w:tabs>
              <w:ind w:left="-13"/>
              <w:jc w:val="both"/>
              <w:rPr>
                <w:rFonts w:cs="Arial"/>
                <w:sz w:val="22"/>
                <w:szCs w:val="22"/>
                <w:lang w:val="en-GB"/>
              </w:rPr>
            </w:pPr>
            <w:r>
              <w:rPr>
                <w:rFonts w:cs="Arial"/>
                <w:sz w:val="22"/>
                <w:szCs w:val="22"/>
                <w:lang w:val="en-GB"/>
              </w:rPr>
              <w:t xml:space="preserve">- Developing and applying innovative educational methods, for increasing teaching skills  to facilitate and motivate students to perform; </w:t>
            </w:r>
          </w:p>
        </w:tc>
        <w:tc>
          <w:tcPr>
            <w:tcW w:w="1780" w:type="dxa"/>
            <w:shd w:val="clear" w:color="auto" w:fill="auto"/>
            <w:vAlign w:val="center"/>
          </w:tcPr>
          <w:p w:rsidR="00511045" w:rsidRDefault="00511045" w:rsidP="002E01ED">
            <w:pPr>
              <w:rPr>
                <w:sz w:val="22"/>
                <w:szCs w:val="22"/>
                <w:lang w:val="en-GB" w:eastAsia="en-US"/>
              </w:rPr>
            </w:pPr>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60" w:name="_Toc413833687"/>
            <w:bookmarkStart w:id="61" w:name="_Toc414266811"/>
            <w:r>
              <w:rPr>
                <w:sz w:val="22"/>
                <w:szCs w:val="22"/>
                <w:lang w:val="en-GB" w:eastAsia="en-US"/>
              </w:rPr>
              <w:t>3.</w:t>
            </w:r>
            <w:bookmarkEnd w:id="60"/>
            <w:bookmarkEnd w:id="61"/>
          </w:p>
        </w:tc>
        <w:tc>
          <w:tcPr>
            <w:tcW w:w="5116" w:type="dxa"/>
            <w:shd w:val="clear" w:color="auto" w:fill="auto"/>
          </w:tcPr>
          <w:p w:rsidR="00511045" w:rsidRDefault="00511045" w:rsidP="002E01ED">
            <w:pPr>
              <w:jc w:val="both"/>
              <w:rPr>
                <w:rFonts w:cs="Arial"/>
                <w:sz w:val="22"/>
                <w:szCs w:val="22"/>
                <w:lang w:val="en-GB"/>
              </w:rPr>
            </w:pPr>
            <w:r>
              <w:rPr>
                <w:rFonts w:cs="Arial"/>
                <w:sz w:val="22"/>
                <w:szCs w:val="22"/>
                <w:lang w:val="en-GB"/>
              </w:rPr>
              <w:t>Developing specific joint programs of entrepreneurship education, programmes that stimulate creativity, innovation and active citizenship;</w:t>
            </w:r>
          </w:p>
        </w:tc>
        <w:tc>
          <w:tcPr>
            <w:tcW w:w="1780" w:type="dxa"/>
            <w:shd w:val="clear" w:color="auto" w:fill="auto"/>
            <w:vAlign w:val="center"/>
          </w:tcPr>
          <w:p w:rsidR="00511045" w:rsidRDefault="00511045" w:rsidP="002E01ED">
            <w:pPr>
              <w:rPr>
                <w:sz w:val="22"/>
                <w:szCs w:val="22"/>
                <w:lang w:val="en-GB" w:eastAsia="en-US"/>
              </w:rPr>
            </w:pPr>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62" w:name="_Toc413833691"/>
            <w:bookmarkStart w:id="63" w:name="_Toc414266815"/>
            <w:r>
              <w:rPr>
                <w:sz w:val="22"/>
                <w:szCs w:val="22"/>
                <w:lang w:val="en-GB" w:eastAsia="en-US"/>
              </w:rPr>
              <w:t>4.</w:t>
            </w:r>
            <w:bookmarkEnd w:id="62"/>
            <w:bookmarkEnd w:id="63"/>
          </w:p>
        </w:tc>
        <w:tc>
          <w:tcPr>
            <w:tcW w:w="5116" w:type="dxa"/>
            <w:shd w:val="clear" w:color="auto" w:fill="auto"/>
          </w:tcPr>
          <w:p w:rsidR="00511045" w:rsidRDefault="00511045" w:rsidP="002E01ED">
            <w:pPr>
              <w:jc w:val="both"/>
              <w:rPr>
                <w:rFonts w:cs="Arial"/>
                <w:sz w:val="22"/>
                <w:szCs w:val="22"/>
                <w:lang w:val="en-GB"/>
              </w:rPr>
            </w:pPr>
            <w:r>
              <w:rPr>
                <w:rFonts w:cs="Arial"/>
                <w:sz w:val="22"/>
                <w:szCs w:val="22"/>
                <w:lang w:val="en-GB"/>
              </w:rPr>
              <w:t>Rehabilitation/modernization/ extension/ equipment procurement for the educational infrastructure to provide the necessary material preconditions of a quality educational process and increase the participation in the educational processes;</w:t>
            </w:r>
          </w:p>
        </w:tc>
        <w:tc>
          <w:tcPr>
            <w:tcW w:w="1780" w:type="dxa"/>
            <w:shd w:val="clear" w:color="auto" w:fill="auto"/>
          </w:tcPr>
          <w:p w:rsidR="00511045" w:rsidRDefault="00511045" w:rsidP="002E01ED">
            <w:pPr>
              <w:rPr>
                <w:sz w:val="22"/>
                <w:szCs w:val="22"/>
                <w:lang w:val="en-GB" w:eastAsia="en-US"/>
              </w:rPr>
            </w:pPr>
            <w:bookmarkStart w:id="64" w:name="_Toc413833692"/>
            <w:bookmarkStart w:id="65" w:name="_Toc414266816"/>
            <w:r>
              <w:rPr>
                <w:sz w:val="22"/>
                <w:szCs w:val="22"/>
                <w:lang w:val="en-GB" w:eastAsia="en-US"/>
              </w:rPr>
              <w:t xml:space="preserve">Efficiency </w:t>
            </w:r>
            <w:bookmarkEnd w:id="64"/>
            <w:bookmarkEnd w:id="65"/>
            <w:r>
              <w:rPr>
                <w:sz w:val="22"/>
                <w:szCs w:val="22"/>
                <w:lang w:val="en-GB" w:eastAsia="en-US"/>
              </w:rPr>
              <w:t>uses of resources</w:t>
            </w:r>
          </w:p>
          <w:p w:rsidR="00511045" w:rsidRDefault="00511045" w:rsidP="002E01ED">
            <w:pPr>
              <w:rPr>
                <w:sz w:val="22"/>
                <w:szCs w:val="22"/>
                <w:lang w:val="en-GB" w:eastAsia="en-US"/>
              </w:rPr>
            </w:pPr>
            <w:r>
              <w:rPr>
                <w:sz w:val="22"/>
                <w:szCs w:val="22"/>
                <w:lang w:val="en-GB" w:eastAsia="en-US"/>
              </w:rPr>
              <w:t>Waste management</w:t>
            </w:r>
          </w:p>
          <w:p w:rsidR="00511045" w:rsidRDefault="00511045" w:rsidP="002E01ED">
            <w:pPr>
              <w:rPr>
                <w:sz w:val="22"/>
                <w:szCs w:val="22"/>
                <w:lang w:val="en-GB" w:eastAsia="en-US"/>
              </w:rPr>
            </w:pPr>
          </w:p>
        </w:tc>
        <w:tc>
          <w:tcPr>
            <w:tcW w:w="2271" w:type="dxa"/>
            <w:shd w:val="clear" w:color="auto" w:fill="auto"/>
          </w:tcPr>
          <w:p w:rsidR="00511045" w:rsidRDefault="00511045" w:rsidP="002E01ED">
            <w:pPr>
              <w:rPr>
                <w:sz w:val="22"/>
                <w:szCs w:val="22"/>
                <w:lang w:val="en-GB" w:eastAsia="en-US"/>
              </w:rPr>
            </w:pPr>
            <w:bookmarkStart w:id="66" w:name="_Toc413833694"/>
            <w:bookmarkStart w:id="67" w:name="_Toc414266818"/>
            <w:r>
              <w:rPr>
                <w:sz w:val="22"/>
                <w:szCs w:val="22"/>
                <w:lang w:val="en-GB" w:eastAsia="en-US"/>
              </w:rPr>
              <w:t>Positiv</w:t>
            </w:r>
            <w:bookmarkEnd w:id="66"/>
            <w:bookmarkEnd w:id="67"/>
            <w:r>
              <w:rPr>
                <w:sz w:val="22"/>
                <w:szCs w:val="22"/>
                <w:lang w:val="en-GB" w:eastAsia="en-US"/>
              </w:rPr>
              <w:t>e</w:t>
            </w:r>
          </w:p>
          <w:p w:rsidR="00511045" w:rsidRDefault="00511045" w:rsidP="002E01ED">
            <w:pPr>
              <w:rPr>
                <w:sz w:val="22"/>
                <w:szCs w:val="22"/>
                <w:lang w:val="en-GB" w:eastAsia="en-US"/>
              </w:rPr>
            </w:pPr>
            <w:bookmarkStart w:id="68" w:name="_Toc413833695"/>
            <w:bookmarkStart w:id="69" w:name="_Toc414266819"/>
            <w:r>
              <w:rPr>
                <w:sz w:val="22"/>
                <w:szCs w:val="22"/>
                <w:lang w:val="en-GB" w:eastAsia="en-US"/>
              </w:rPr>
              <w:t>Reduced consumption of power raw material, hazardous substances</w:t>
            </w:r>
            <w:bookmarkStart w:id="70" w:name="_Toc413833696"/>
            <w:bookmarkStart w:id="71" w:name="_Toc414266820"/>
            <w:bookmarkEnd w:id="68"/>
            <w:bookmarkEnd w:id="69"/>
          </w:p>
          <w:p w:rsidR="00511045" w:rsidRDefault="00511045" w:rsidP="002E01ED">
            <w:pPr>
              <w:rPr>
                <w:sz w:val="22"/>
                <w:szCs w:val="22"/>
                <w:lang w:val="en-GB" w:eastAsia="en-US"/>
              </w:rPr>
            </w:pPr>
            <w:r>
              <w:rPr>
                <w:sz w:val="22"/>
                <w:szCs w:val="22"/>
                <w:lang w:val="en-GB" w:eastAsia="en-US"/>
              </w:rPr>
              <w:t xml:space="preserve">Resulted waste reused/ recycling </w:t>
            </w:r>
            <w:bookmarkEnd w:id="70"/>
            <w:bookmarkEnd w:id="71"/>
          </w:p>
        </w:tc>
      </w:tr>
      <w:tr w:rsidR="00511045" w:rsidTr="002E01ED">
        <w:trPr>
          <w:jc w:val="center"/>
        </w:trPr>
        <w:tc>
          <w:tcPr>
            <w:tcW w:w="571" w:type="dxa"/>
            <w:vMerge w:val="restart"/>
            <w:shd w:val="clear" w:color="auto" w:fill="auto"/>
          </w:tcPr>
          <w:p w:rsidR="00511045" w:rsidRDefault="00511045" w:rsidP="002E01ED">
            <w:pPr>
              <w:rPr>
                <w:sz w:val="22"/>
                <w:szCs w:val="22"/>
                <w:lang w:val="en-GB" w:eastAsia="en-US"/>
              </w:rPr>
            </w:pPr>
            <w:bookmarkStart w:id="72" w:name="_Toc413833697"/>
            <w:bookmarkStart w:id="73" w:name="_Toc414266821"/>
            <w:r>
              <w:rPr>
                <w:sz w:val="22"/>
                <w:szCs w:val="22"/>
                <w:lang w:val="en-GB" w:eastAsia="en-US"/>
              </w:rPr>
              <w:t>5.</w:t>
            </w:r>
            <w:bookmarkEnd w:id="72"/>
            <w:bookmarkEnd w:id="73"/>
          </w:p>
        </w:tc>
        <w:tc>
          <w:tcPr>
            <w:tcW w:w="5116" w:type="dxa"/>
            <w:shd w:val="clear" w:color="auto" w:fill="auto"/>
          </w:tcPr>
          <w:p w:rsidR="00511045" w:rsidRDefault="00511045" w:rsidP="002E01ED">
            <w:pPr>
              <w:jc w:val="both"/>
              <w:rPr>
                <w:rFonts w:cs="Arial"/>
                <w:sz w:val="22"/>
                <w:szCs w:val="22"/>
                <w:lang w:val="en-GB"/>
              </w:rPr>
            </w:pPr>
            <w:r>
              <w:rPr>
                <w:rFonts w:cs="Arial"/>
                <w:sz w:val="22"/>
                <w:szCs w:val="22"/>
                <w:lang w:val="en-GB"/>
              </w:rPr>
              <w:t>Development and implementation of partnerships between education institutions from both sides of the border to:</w:t>
            </w:r>
          </w:p>
        </w:tc>
        <w:tc>
          <w:tcPr>
            <w:tcW w:w="1780" w:type="dxa"/>
            <w:shd w:val="clear" w:color="auto" w:fill="auto"/>
          </w:tcPr>
          <w:p w:rsidR="00511045" w:rsidRDefault="00511045" w:rsidP="002E01ED">
            <w:pPr>
              <w:rPr>
                <w:sz w:val="22"/>
                <w:szCs w:val="22"/>
                <w:lang w:val="en-GB" w:eastAsia="en-US"/>
              </w:rPr>
            </w:pPr>
          </w:p>
        </w:tc>
        <w:tc>
          <w:tcPr>
            <w:tcW w:w="2271" w:type="dxa"/>
            <w:shd w:val="clear" w:color="auto" w:fill="auto"/>
          </w:tcPr>
          <w:p w:rsidR="00511045" w:rsidRDefault="00511045" w:rsidP="002E01ED">
            <w:pPr>
              <w:rPr>
                <w:sz w:val="22"/>
                <w:szCs w:val="22"/>
                <w:lang w:val="en-GB" w:eastAsia="en-US"/>
              </w:rPr>
            </w:pPr>
          </w:p>
        </w:tc>
      </w:tr>
      <w:tr w:rsidR="00511045" w:rsidTr="002E01ED">
        <w:trPr>
          <w:jc w:val="center"/>
        </w:trPr>
        <w:tc>
          <w:tcPr>
            <w:tcW w:w="571" w:type="dxa"/>
            <w:vMerge/>
            <w:shd w:val="clear" w:color="auto" w:fill="auto"/>
          </w:tcPr>
          <w:p w:rsidR="00511045" w:rsidRDefault="00511045" w:rsidP="002E01ED">
            <w:pPr>
              <w:rPr>
                <w:sz w:val="22"/>
                <w:szCs w:val="22"/>
                <w:lang w:val="en-GB" w:eastAsia="en-US"/>
              </w:rPr>
            </w:pPr>
          </w:p>
        </w:tc>
        <w:tc>
          <w:tcPr>
            <w:tcW w:w="5116" w:type="dxa"/>
            <w:shd w:val="clear" w:color="auto" w:fill="auto"/>
          </w:tcPr>
          <w:p w:rsidR="00511045" w:rsidRDefault="00511045" w:rsidP="002E01ED">
            <w:pPr>
              <w:jc w:val="both"/>
              <w:rPr>
                <w:rFonts w:cs="Arial"/>
                <w:sz w:val="22"/>
                <w:szCs w:val="22"/>
                <w:lang w:val="en-GB"/>
              </w:rPr>
            </w:pPr>
            <w:r>
              <w:rPr>
                <w:rFonts w:cs="Arial"/>
                <w:sz w:val="22"/>
                <w:szCs w:val="22"/>
                <w:lang w:val="en-GB"/>
              </w:rPr>
              <w:t xml:space="preserve">- Prevent and correct early school leaving phenomenon through integrated programs (including awareness campaigns) for prevention of school dropout, encourage school attendance and reintegration of those who have left school </w:t>
            </w:r>
            <w:r>
              <w:rPr>
                <w:rFonts w:cs="Arial"/>
                <w:sz w:val="22"/>
                <w:szCs w:val="22"/>
                <w:lang w:val="en-GB"/>
              </w:rPr>
              <w:lastRenderedPageBreak/>
              <w:t>early;</w:t>
            </w:r>
          </w:p>
        </w:tc>
        <w:tc>
          <w:tcPr>
            <w:tcW w:w="1780" w:type="dxa"/>
            <w:shd w:val="clear" w:color="auto" w:fill="auto"/>
            <w:vAlign w:val="center"/>
          </w:tcPr>
          <w:p w:rsidR="00511045" w:rsidRDefault="00511045" w:rsidP="002E01ED">
            <w:pPr>
              <w:jc w:val="center"/>
            </w:pPr>
            <w:r>
              <w:rPr>
                <w:sz w:val="22"/>
                <w:szCs w:val="22"/>
                <w:lang w:val="en-GB" w:eastAsia="en-US"/>
              </w:rPr>
              <w:lastRenderedPageBreak/>
              <w:t>Is not the case</w:t>
            </w:r>
          </w:p>
        </w:tc>
        <w:tc>
          <w:tcPr>
            <w:tcW w:w="2271" w:type="dxa"/>
            <w:shd w:val="clear" w:color="auto" w:fill="auto"/>
            <w:vAlign w:val="center"/>
          </w:tcPr>
          <w:p w:rsidR="00511045" w:rsidRDefault="00511045" w:rsidP="002E01ED">
            <w:pPr>
              <w:jc w:val="center"/>
              <w:rPr>
                <w:sz w:val="22"/>
                <w:szCs w:val="22"/>
                <w:lang w:val="en-GB" w:eastAsia="en-US"/>
              </w:rPr>
            </w:pPr>
            <w:bookmarkStart w:id="74" w:name="_Toc413833700"/>
            <w:bookmarkStart w:id="75" w:name="_Toc414266824"/>
            <w:r>
              <w:rPr>
                <w:sz w:val="22"/>
                <w:szCs w:val="22"/>
                <w:lang w:val="en-GB" w:eastAsia="en-US"/>
              </w:rPr>
              <w:t>Indirect</w:t>
            </w:r>
            <w:bookmarkEnd w:id="74"/>
            <w:bookmarkEnd w:id="75"/>
          </w:p>
        </w:tc>
      </w:tr>
      <w:tr w:rsidR="00511045" w:rsidTr="002E01ED">
        <w:trPr>
          <w:jc w:val="center"/>
        </w:trPr>
        <w:tc>
          <w:tcPr>
            <w:tcW w:w="571" w:type="dxa"/>
            <w:vMerge/>
            <w:shd w:val="clear" w:color="auto" w:fill="auto"/>
          </w:tcPr>
          <w:p w:rsidR="00511045" w:rsidRDefault="00511045" w:rsidP="002E01ED">
            <w:pPr>
              <w:rPr>
                <w:sz w:val="22"/>
                <w:szCs w:val="22"/>
                <w:lang w:val="en-GB" w:eastAsia="en-US"/>
              </w:rPr>
            </w:pPr>
          </w:p>
        </w:tc>
        <w:tc>
          <w:tcPr>
            <w:tcW w:w="5116" w:type="dxa"/>
            <w:shd w:val="clear" w:color="auto" w:fill="auto"/>
          </w:tcPr>
          <w:p w:rsidR="00511045" w:rsidRDefault="00511045" w:rsidP="002E01ED">
            <w:pPr>
              <w:jc w:val="both"/>
              <w:rPr>
                <w:rFonts w:cs="Arial"/>
                <w:i/>
                <w:sz w:val="22"/>
                <w:szCs w:val="22"/>
                <w:lang w:val="en-GB"/>
              </w:rPr>
            </w:pPr>
            <w:r>
              <w:rPr>
                <w:rFonts w:cs="Arial"/>
                <w:sz w:val="22"/>
                <w:szCs w:val="22"/>
                <w:lang w:val="en-GB"/>
              </w:rPr>
              <w:t xml:space="preserve">Develop after school programs and extra-curricular activities; </w:t>
            </w:r>
          </w:p>
        </w:tc>
        <w:tc>
          <w:tcPr>
            <w:tcW w:w="1780" w:type="dxa"/>
            <w:shd w:val="clear" w:color="auto" w:fill="auto"/>
          </w:tcPr>
          <w:p w:rsidR="00511045" w:rsidRDefault="00511045" w:rsidP="002E01ED">
            <w:r>
              <w:rPr>
                <w:sz w:val="22"/>
                <w:szCs w:val="22"/>
                <w:lang w:val="en-GB" w:eastAsia="en-US"/>
              </w:rPr>
              <w:t>Is not the case</w:t>
            </w:r>
          </w:p>
        </w:tc>
        <w:tc>
          <w:tcPr>
            <w:tcW w:w="2271" w:type="dxa"/>
            <w:shd w:val="clear" w:color="auto" w:fill="auto"/>
            <w:vAlign w:val="center"/>
          </w:tcPr>
          <w:p w:rsidR="00511045" w:rsidRDefault="00511045" w:rsidP="002E01ED">
            <w:pPr>
              <w:jc w:val="center"/>
              <w:rPr>
                <w:sz w:val="22"/>
                <w:szCs w:val="22"/>
                <w:lang w:val="en-GB" w:eastAsia="en-US"/>
              </w:rPr>
            </w:pPr>
            <w:r>
              <w:rPr>
                <w:sz w:val="22"/>
                <w:szCs w:val="22"/>
                <w:lang w:val="en-GB" w:eastAsia="en-US"/>
              </w:rPr>
              <w:t>Indirectly</w:t>
            </w:r>
          </w:p>
        </w:tc>
      </w:tr>
      <w:tr w:rsidR="00511045" w:rsidTr="002E01ED">
        <w:trPr>
          <w:jc w:val="center"/>
        </w:trPr>
        <w:tc>
          <w:tcPr>
            <w:tcW w:w="571" w:type="dxa"/>
            <w:vMerge w:val="restart"/>
            <w:shd w:val="clear" w:color="auto" w:fill="auto"/>
          </w:tcPr>
          <w:p w:rsidR="00511045" w:rsidRDefault="00511045" w:rsidP="002E01ED">
            <w:pPr>
              <w:rPr>
                <w:sz w:val="22"/>
                <w:szCs w:val="22"/>
                <w:lang w:val="en-GB" w:eastAsia="en-US"/>
              </w:rPr>
            </w:pPr>
            <w:bookmarkStart w:id="76" w:name="_Toc413833703"/>
            <w:bookmarkStart w:id="77" w:name="_Toc414266827"/>
            <w:r>
              <w:rPr>
                <w:sz w:val="22"/>
                <w:szCs w:val="22"/>
                <w:lang w:val="en-GB" w:eastAsia="en-US"/>
              </w:rPr>
              <w:t>6.</w:t>
            </w:r>
            <w:bookmarkEnd w:id="76"/>
            <w:bookmarkEnd w:id="77"/>
          </w:p>
        </w:tc>
        <w:tc>
          <w:tcPr>
            <w:tcW w:w="5116" w:type="dxa"/>
            <w:shd w:val="clear" w:color="auto" w:fill="auto"/>
          </w:tcPr>
          <w:p w:rsidR="00511045" w:rsidRDefault="00511045" w:rsidP="002E01ED">
            <w:pPr>
              <w:jc w:val="both"/>
              <w:rPr>
                <w:rFonts w:cs="Arial"/>
                <w:sz w:val="22"/>
                <w:szCs w:val="22"/>
                <w:lang w:val="en-GB"/>
              </w:rPr>
            </w:pPr>
            <w:r>
              <w:rPr>
                <w:rFonts w:cs="Arial"/>
                <w:sz w:val="22"/>
                <w:szCs w:val="22"/>
                <w:lang w:val="en-GB"/>
              </w:rPr>
              <w:t>Development and implementation of joint actions in support of disadvantaged groups, e.g.:</w:t>
            </w:r>
          </w:p>
        </w:tc>
        <w:tc>
          <w:tcPr>
            <w:tcW w:w="1780" w:type="dxa"/>
            <w:shd w:val="clear" w:color="auto" w:fill="auto"/>
          </w:tcPr>
          <w:p w:rsidR="00511045" w:rsidRDefault="00511045" w:rsidP="002E01ED">
            <w:r>
              <w:rPr>
                <w:sz w:val="22"/>
                <w:szCs w:val="22"/>
                <w:lang w:val="en-GB" w:eastAsia="en-US"/>
              </w:rPr>
              <w:t>Is not the case</w:t>
            </w:r>
          </w:p>
        </w:tc>
        <w:tc>
          <w:tcPr>
            <w:tcW w:w="2271" w:type="dxa"/>
            <w:shd w:val="clear" w:color="auto" w:fill="auto"/>
          </w:tcPr>
          <w:p w:rsidR="00511045" w:rsidRDefault="00511045" w:rsidP="002E01ED">
            <w:pPr>
              <w:rPr>
                <w:sz w:val="22"/>
                <w:szCs w:val="22"/>
                <w:lang w:val="en-GB" w:eastAsia="en-US"/>
              </w:rPr>
            </w:pPr>
          </w:p>
        </w:tc>
      </w:tr>
      <w:tr w:rsidR="00511045" w:rsidTr="002E01ED">
        <w:trPr>
          <w:jc w:val="center"/>
        </w:trPr>
        <w:tc>
          <w:tcPr>
            <w:tcW w:w="571" w:type="dxa"/>
            <w:vMerge/>
            <w:shd w:val="clear" w:color="auto" w:fill="auto"/>
          </w:tcPr>
          <w:p w:rsidR="00511045" w:rsidRDefault="00511045" w:rsidP="002E01ED">
            <w:pPr>
              <w:rPr>
                <w:sz w:val="22"/>
                <w:szCs w:val="22"/>
                <w:lang w:val="en-GB" w:eastAsia="en-US"/>
              </w:rPr>
            </w:pPr>
          </w:p>
        </w:tc>
        <w:tc>
          <w:tcPr>
            <w:tcW w:w="5116" w:type="dxa"/>
            <w:shd w:val="clear" w:color="auto" w:fill="auto"/>
          </w:tcPr>
          <w:p w:rsidR="00511045" w:rsidRDefault="00511045" w:rsidP="002E01ED">
            <w:pPr>
              <w:jc w:val="both"/>
              <w:rPr>
                <w:rFonts w:cs="Arial"/>
                <w:sz w:val="22"/>
                <w:szCs w:val="22"/>
                <w:lang w:val="en-GB"/>
              </w:rPr>
            </w:pPr>
            <w:r>
              <w:rPr>
                <w:rFonts w:cs="Arial"/>
                <w:sz w:val="22"/>
                <w:szCs w:val="22"/>
                <w:lang w:val="en-GB"/>
              </w:rPr>
              <w:t>Integrated support actions addressing children and youth with parents living abroad (which may include inter alia guidance, counselling, after school programmes, educational and cultural activities);</w:t>
            </w:r>
          </w:p>
        </w:tc>
        <w:tc>
          <w:tcPr>
            <w:tcW w:w="1780" w:type="dxa"/>
            <w:shd w:val="clear" w:color="auto" w:fill="auto"/>
          </w:tcPr>
          <w:p w:rsidR="00511045" w:rsidRDefault="00511045" w:rsidP="002E01ED">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rPr>
          <w:jc w:val="center"/>
        </w:trPr>
        <w:tc>
          <w:tcPr>
            <w:tcW w:w="571" w:type="dxa"/>
            <w:vMerge/>
            <w:shd w:val="clear" w:color="auto" w:fill="auto"/>
          </w:tcPr>
          <w:p w:rsidR="00511045" w:rsidRDefault="00511045" w:rsidP="002E01ED">
            <w:pPr>
              <w:rPr>
                <w:sz w:val="22"/>
                <w:szCs w:val="22"/>
                <w:lang w:val="en-GB" w:eastAsia="en-US"/>
              </w:rPr>
            </w:pPr>
          </w:p>
        </w:tc>
        <w:tc>
          <w:tcPr>
            <w:tcW w:w="5116" w:type="dxa"/>
            <w:shd w:val="clear" w:color="auto" w:fill="auto"/>
          </w:tcPr>
          <w:p w:rsidR="00511045" w:rsidRDefault="00511045" w:rsidP="002E01ED">
            <w:pPr>
              <w:jc w:val="both"/>
              <w:rPr>
                <w:rFonts w:cs="Arial"/>
                <w:sz w:val="22"/>
                <w:szCs w:val="22"/>
                <w:lang w:val="en-GB"/>
              </w:rPr>
            </w:pPr>
            <w:r>
              <w:rPr>
                <w:rFonts w:cs="Arial"/>
                <w:sz w:val="22"/>
                <w:szCs w:val="22"/>
                <w:lang w:val="en-GB"/>
              </w:rPr>
              <w:t>Support actions meant to facilitate the social and work integration of people (children, youth and adults) with disabilities*</w:t>
            </w:r>
          </w:p>
        </w:tc>
        <w:tc>
          <w:tcPr>
            <w:tcW w:w="1780" w:type="dxa"/>
            <w:shd w:val="clear" w:color="auto" w:fill="auto"/>
          </w:tcPr>
          <w:p w:rsidR="00511045" w:rsidRDefault="00511045" w:rsidP="002E01ED">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78" w:name="_Toc413833708"/>
            <w:bookmarkStart w:id="79" w:name="_Toc414266832"/>
            <w:r>
              <w:rPr>
                <w:sz w:val="22"/>
                <w:szCs w:val="22"/>
                <w:lang w:val="en-GB" w:eastAsia="en-US"/>
              </w:rPr>
              <w:t>7.</w:t>
            </w:r>
            <w:bookmarkEnd w:id="78"/>
            <w:bookmarkEnd w:id="79"/>
          </w:p>
        </w:tc>
        <w:tc>
          <w:tcPr>
            <w:tcW w:w="5116" w:type="dxa"/>
            <w:shd w:val="clear" w:color="auto" w:fill="auto"/>
          </w:tcPr>
          <w:p w:rsidR="00511045" w:rsidRDefault="00511045" w:rsidP="002E01ED">
            <w:pPr>
              <w:jc w:val="both"/>
              <w:rPr>
                <w:rFonts w:cs="Arial"/>
                <w:sz w:val="22"/>
                <w:szCs w:val="22"/>
                <w:lang w:val="en-GB"/>
              </w:rPr>
            </w:pPr>
            <w:r>
              <w:rPr>
                <w:rFonts w:cs="Arial"/>
                <w:sz w:val="22"/>
                <w:szCs w:val="22"/>
                <w:lang w:val="en-GB"/>
              </w:rPr>
              <w:t>Joint support actions for youth for the prevention of drug use, human trafficking, alcohol abuse, etc.</w:t>
            </w:r>
          </w:p>
        </w:tc>
        <w:tc>
          <w:tcPr>
            <w:tcW w:w="1780" w:type="dxa"/>
            <w:shd w:val="clear" w:color="auto" w:fill="auto"/>
          </w:tcPr>
          <w:p w:rsidR="00511045" w:rsidRDefault="00511045" w:rsidP="002E01ED">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80" w:name="_Toc413833711"/>
            <w:bookmarkStart w:id="81" w:name="_Toc414266835"/>
            <w:r>
              <w:rPr>
                <w:sz w:val="22"/>
                <w:szCs w:val="22"/>
                <w:lang w:val="en-GB" w:eastAsia="en-US"/>
              </w:rPr>
              <w:t>8.</w:t>
            </w:r>
            <w:bookmarkEnd w:id="80"/>
            <w:bookmarkEnd w:id="81"/>
          </w:p>
        </w:tc>
        <w:tc>
          <w:tcPr>
            <w:tcW w:w="5116" w:type="dxa"/>
            <w:shd w:val="clear" w:color="auto" w:fill="auto"/>
          </w:tcPr>
          <w:p w:rsidR="00511045" w:rsidRDefault="00511045" w:rsidP="002E01ED">
            <w:pPr>
              <w:rPr>
                <w:sz w:val="22"/>
                <w:szCs w:val="22"/>
                <w:lang w:val="en-GB"/>
              </w:rPr>
            </w:pPr>
            <w:r>
              <w:rPr>
                <w:rFonts w:cs="Arial"/>
                <w:sz w:val="22"/>
                <w:szCs w:val="22"/>
                <w:lang w:val="en-GB"/>
              </w:rPr>
              <w:t>Development and implementation of cross border actions for enhancing/improving/facilitating job qualifications and competences</w:t>
            </w:r>
          </w:p>
        </w:tc>
        <w:tc>
          <w:tcPr>
            <w:tcW w:w="1780" w:type="dxa"/>
            <w:shd w:val="clear" w:color="auto" w:fill="auto"/>
          </w:tcPr>
          <w:p w:rsidR="00511045" w:rsidRDefault="00511045" w:rsidP="002E01ED">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bl>
    <w:p w:rsidR="00511045" w:rsidRDefault="00511045" w:rsidP="00511045">
      <w:pPr>
        <w:rPr>
          <w:b/>
          <w:lang w:val="en-GB"/>
        </w:rPr>
      </w:pPr>
    </w:p>
    <w:p w:rsidR="00511045" w:rsidRDefault="00511045" w:rsidP="00511045">
      <w:pPr>
        <w:rPr>
          <w:b/>
          <w:bCs/>
          <w:iCs/>
          <w:lang w:val="en-GB" w:eastAsia="en-US"/>
        </w:rPr>
      </w:pPr>
      <w:r>
        <w:rPr>
          <w:b/>
          <w:lang w:val="en-GB" w:eastAsia="en-US"/>
        </w:rPr>
        <w:t>Priority 1.2 – Promotion and support to research and innovation</w:t>
      </w:r>
    </w:p>
    <w:tbl>
      <w:tblPr>
        <w:tblW w:w="9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5126"/>
        <w:gridCol w:w="1770"/>
        <w:gridCol w:w="2271"/>
      </w:tblGrid>
      <w:tr w:rsidR="00511045" w:rsidTr="002E01ED">
        <w:trPr>
          <w:jc w:val="center"/>
        </w:trPr>
        <w:tc>
          <w:tcPr>
            <w:tcW w:w="571" w:type="dxa"/>
            <w:shd w:val="clear" w:color="auto" w:fill="auto"/>
            <w:vAlign w:val="center"/>
          </w:tcPr>
          <w:p w:rsidR="00511045" w:rsidRDefault="00511045" w:rsidP="002E01ED">
            <w:pPr>
              <w:rPr>
                <w:b/>
                <w:sz w:val="22"/>
                <w:szCs w:val="22"/>
                <w:lang w:val="en-GB" w:eastAsia="en-US"/>
              </w:rPr>
            </w:pPr>
            <w:r>
              <w:rPr>
                <w:b/>
                <w:sz w:val="22"/>
                <w:szCs w:val="22"/>
                <w:lang w:val="en-GB" w:eastAsia="en-US"/>
              </w:rPr>
              <w:t>No. crt.</w:t>
            </w:r>
          </w:p>
        </w:tc>
        <w:tc>
          <w:tcPr>
            <w:tcW w:w="5126" w:type="dxa"/>
            <w:shd w:val="clear" w:color="auto" w:fill="auto"/>
            <w:vAlign w:val="center"/>
          </w:tcPr>
          <w:p w:rsidR="00511045" w:rsidRDefault="00511045" w:rsidP="002E01ED">
            <w:pPr>
              <w:rPr>
                <w:b/>
                <w:sz w:val="22"/>
                <w:szCs w:val="22"/>
                <w:lang w:val="en-GB" w:eastAsia="en-US"/>
              </w:rPr>
            </w:pPr>
            <w:r>
              <w:rPr>
                <w:b/>
                <w:sz w:val="22"/>
                <w:szCs w:val="22"/>
                <w:lang w:val="en-GB" w:eastAsia="en-US"/>
              </w:rPr>
              <w:t xml:space="preserve">Indicative activities </w:t>
            </w:r>
          </w:p>
        </w:tc>
        <w:tc>
          <w:tcPr>
            <w:tcW w:w="1770" w:type="dxa"/>
            <w:shd w:val="clear" w:color="auto" w:fill="auto"/>
            <w:vAlign w:val="center"/>
          </w:tcPr>
          <w:p w:rsidR="00511045" w:rsidRDefault="00511045" w:rsidP="002E01ED">
            <w:pPr>
              <w:rPr>
                <w:b/>
                <w:sz w:val="22"/>
                <w:szCs w:val="22"/>
                <w:lang w:val="en-GB" w:eastAsia="en-US"/>
              </w:rPr>
            </w:pPr>
            <w:r>
              <w:rPr>
                <w:b/>
                <w:sz w:val="22"/>
                <w:szCs w:val="22"/>
                <w:lang w:val="en-GB" w:eastAsia="en-US"/>
              </w:rPr>
              <w:t>Environmental aspects and</w:t>
            </w:r>
          </w:p>
          <w:p w:rsidR="00511045" w:rsidRDefault="00511045" w:rsidP="002E01ED">
            <w:pPr>
              <w:rPr>
                <w:b/>
                <w:sz w:val="22"/>
                <w:szCs w:val="22"/>
                <w:lang w:val="en-GB" w:eastAsia="en-US"/>
              </w:rPr>
            </w:pPr>
            <w:r>
              <w:rPr>
                <w:b/>
                <w:sz w:val="22"/>
                <w:szCs w:val="22"/>
                <w:lang w:val="en-GB" w:eastAsia="en-US"/>
              </w:rPr>
              <w:t>objective considered</w:t>
            </w:r>
          </w:p>
        </w:tc>
        <w:tc>
          <w:tcPr>
            <w:tcW w:w="2271" w:type="dxa"/>
            <w:shd w:val="clear" w:color="auto" w:fill="auto"/>
            <w:vAlign w:val="center"/>
          </w:tcPr>
          <w:p w:rsidR="00511045" w:rsidRDefault="00511045" w:rsidP="002E01ED">
            <w:pPr>
              <w:rPr>
                <w:b/>
                <w:sz w:val="22"/>
                <w:szCs w:val="22"/>
                <w:lang w:val="en-GB" w:eastAsia="en-US"/>
              </w:rPr>
            </w:pPr>
            <w:r>
              <w:rPr>
                <w:b/>
                <w:sz w:val="22"/>
                <w:szCs w:val="22"/>
                <w:lang w:val="en-GB" w:eastAsia="en-US"/>
              </w:rPr>
              <w:t>Potential impact</w:t>
            </w:r>
          </w:p>
          <w:p w:rsidR="00511045" w:rsidRDefault="00511045" w:rsidP="002E01ED">
            <w:pPr>
              <w:rPr>
                <w:b/>
                <w:sz w:val="22"/>
                <w:szCs w:val="22"/>
                <w:lang w:val="en-GB" w:eastAsia="en-US"/>
              </w:rPr>
            </w:pP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82" w:name="_Toc413833723"/>
            <w:bookmarkStart w:id="83" w:name="_Toc414266847"/>
            <w:r>
              <w:rPr>
                <w:sz w:val="22"/>
                <w:szCs w:val="22"/>
                <w:lang w:val="en-GB" w:eastAsia="en-US"/>
              </w:rPr>
              <w:t>1.</w:t>
            </w:r>
            <w:bookmarkEnd w:id="82"/>
            <w:bookmarkEnd w:id="83"/>
          </w:p>
        </w:tc>
        <w:tc>
          <w:tcPr>
            <w:tcW w:w="5126" w:type="dxa"/>
            <w:shd w:val="clear" w:color="auto" w:fill="auto"/>
          </w:tcPr>
          <w:p w:rsidR="00511045" w:rsidRDefault="00511045" w:rsidP="002E01ED">
            <w:pPr>
              <w:jc w:val="both"/>
              <w:rPr>
                <w:rFonts w:cs="Arial"/>
                <w:sz w:val="22"/>
                <w:szCs w:val="22"/>
                <w:lang w:val="en-GB"/>
              </w:rPr>
            </w:pPr>
            <w:r>
              <w:rPr>
                <w:rFonts w:cs="Arial"/>
                <w:sz w:val="22"/>
                <w:szCs w:val="22"/>
                <w:lang w:val="en-GB"/>
              </w:rPr>
              <w:t xml:space="preserve">Development of partnerships/networking between universities for joint development of theoretical research  </w:t>
            </w:r>
          </w:p>
        </w:tc>
        <w:tc>
          <w:tcPr>
            <w:tcW w:w="1770" w:type="dxa"/>
            <w:shd w:val="clear" w:color="auto" w:fill="auto"/>
            <w:vAlign w:val="center"/>
          </w:tcPr>
          <w:p w:rsidR="00511045" w:rsidRDefault="00511045" w:rsidP="002E01ED">
            <w:pPr>
              <w:jc w:val="center"/>
            </w:pPr>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84" w:name="_Toc413833726"/>
            <w:bookmarkStart w:id="85" w:name="_Toc414266850"/>
            <w:r>
              <w:rPr>
                <w:sz w:val="22"/>
                <w:szCs w:val="22"/>
                <w:lang w:val="en-GB" w:eastAsia="en-US"/>
              </w:rPr>
              <w:t>2.</w:t>
            </w:r>
            <w:bookmarkEnd w:id="84"/>
            <w:bookmarkEnd w:id="85"/>
          </w:p>
        </w:tc>
        <w:tc>
          <w:tcPr>
            <w:tcW w:w="5126" w:type="dxa"/>
            <w:shd w:val="clear" w:color="auto" w:fill="auto"/>
          </w:tcPr>
          <w:p w:rsidR="00511045" w:rsidRDefault="00511045" w:rsidP="002E01ED">
            <w:pPr>
              <w:jc w:val="both"/>
              <w:rPr>
                <w:rFonts w:cs="Arial"/>
                <w:sz w:val="22"/>
                <w:szCs w:val="22"/>
                <w:lang w:val="en-GB"/>
              </w:rPr>
            </w:pPr>
            <w:r>
              <w:rPr>
                <w:rFonts w:cs="Arial"/>
                <w:sz w:val="22"/>
                <w:szCs w:val="22"/>
                <w:lang w:val="en-GB"/>
              </w:rPr>
              <w:t>Joint research actions and studies (including related equipment procurement) in the field of environment (climate change challenges, preservation of biodiversity, renewable energy and resource efficiency, etc.).</w:t>
            </w:r>
          </w:p>
        </w:tc>
        <w:tc>
          <w:tcPr>
            <w:tcW w:w="1770" w:type="dxa"/>
            <w:shd w:val="clear" w:color="auto" w:fill="auto"/>
            <w:vAlign w:val="center"/>
          </w:tcPr>
          <w:p w:rsidR="00511045" w:rsidRDefault="00511045" w:rsidP="002E01ED">
            <w:pPr>
              <w:jc w:val="center"/>
            </w:pPr>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86" w:name="_Toc413833729"/>
            <w:bookmarkStart w:id="87" w:name="_Toc414266853"/>
            <w:r>
              <w:rPr>
                <w:sz w:val="22"/>
                <w:szCs w:val="22"/>
                <w:lang w:val="en-GB" w:eastAsia="en-US"/>
              </w:rPr>
              <w:t>3.</w:t>
            </w:r>
            <w:bookmarkEnd w:id="86"/>
            <w:bookmarkEnd w:id="87"/>
          </w:p>
        </w:tc>
        <w:tc>
          <w:tcPr>
            <w:tcW w:w="5126" w:type="dxa"/>
            <w:shd w:val="clear" w:color="auto" w:fill="auto"/>
          </w:tcPr>
          <w:p w:rsidR="00511045" w:rsidRDefault="00511045" w:rsidP="002E01ED">
            <w:pPr>
              <w:jc w:val="both"/>
              <w:rPr>
                <w:rFonts w:cs="Arial"/>
                <w:sz w:val="22"/>
                <w:szCs w:val="22"/>
                <w:lang w:val="en-GB"/>
              </w:rPr>
            </w:pPr>
            <w:r>
              <w:rPr>
                <w:rFonts w:cs="Arial"/>
                <w:sz w:val="22"/>
                <w:szCs w:val="22"/>
                <w:lang w:val="en-GB"/>
              </w:rPr>
              <w:t>Promotion and support for research and innovation through rehabilitation/</w:t>
            </w:r>
          </w:p>
          <w:p w:rsidR="00511045" w:rsidRDefault="00511045" w:rsidP="002E01ED">
            <w:pPr>
              <w:jc w:val="both"/>
              <w:rPr>
                <w:rFonts w:cs="Arial"/>
                <w:sz w:val="22"/>
                <w:szCs w:val="22"/>
                <w:lang w:val="en-GB"/>
              </w:rPr>
            </w:pPr>
            <w:r>
              <w:rPr>
                <w:rFonts w:cs="Arial"/>
                <w:sz w:val="22"/>
                <w:szCs w:val="22"/>
                <w:lang w:val="en-GB"/>
              </w:rPr>
              <w:t xml:space="preserve">modernization/extension of the specific infrastructure including the procurement of related equipment. </w:t>
            </w:r>
          </w:p>
        </w:tc>
        <w:tc>
          <w:tcPr>
            <w:tcW w:w="1770" w:type="dxa"/>
            <w:shd w:val="clear" w:color="auto" w:fill="auto"/>
          </w:tcPr>
          <w:p w:rsidR="00511045" w:rsidRDefault="00511045" w:rsidP="002E01ED">
            <w:pPr>
              <w:rPr>
                <w:sz w:val="22"/>
                <w:szCs w:val="22"/>
                <w:lang w:val="en-GB" w:eastAsia="en-US"/>
              </w:rPr>
            </w:pPr>
            <w:r>
              <w:rPr>
                <w:sz w:val="22"/>
                <w:szCs w:val="22"/>
                <w:lang w:val="en-GB" w:eastAsia="en-US"/>
              </w:rPr>
              <w:t>Efficiency Waste management</w:t>
            </w:r>
          </w:p>
          <w:p w:rsidR="00511045" w:rsidRDefault="00511045" w:rsidP="002E01ED">
            <w:pPr>
              <w:rPr>
                <w:sz w:val="22"/>
                <w:szCs w:val="22"/>
                <w:lang w:val="en-GB" w:eastAsia="en-US"/>
              </w:rPr>
            </w:pPr>
          </w:p>
        </w:tc>
        <w:tc>
          <w:tcPr>
            <w:tcW w:w="2271" w:type="dxa"/>
            <w:shd w:val="clear" w:color="auto" w:fill="auto"/>
          </w:tcPr>
          <w:p w:rsidR="00511045" w:rsidRDefault="00511045" w:rsidP="002E01ED">
            <w:pPr>
              <w:rPr>
                <w:sz w:val="22"/>
                <w:szCs w:val="22"/>
                <w:lang w:val="en-GB" w:eastAsia="en-US"/>
              </w:rPr>
            </w:pPr>
            <w:r>
              <w:rPr>
                <w:sz w:val="22"/>
                <w:szCs w:val="22"/>
                <w:lang w:val="en-GB" w:eastAsia="en-US"/>
              </w:rPr>
              <w:t>Positive</w:t>
            </w:r>
          </w:p>
          <w:p w:rsidR="00511045" w:rsidRDefault="00511045" w:rsidP="002E01ED">
            <w:pPr>
              <w:rPr>
                <w:sz w:val="22"/>
                <w:szCs w:val="22"/>
                <w:lang w:val="en-GB" w:eastAsia="en-US"/>
              </w:rPr>
            </w:pPr>
            <w:r>
              <w:rPr>
                <w:sz w:val="22"/>
                <w:szCs w:val="22"/>
                <w:lang w:val="en-GB" w:eastAsia="en-US"/>
              </w:rPr>
              <w:t>Reduced consumption of power raw material, hazardous substances</w:t>
            </w:r>
          </w:p>
          <w:p w:rsidR="00511045" w:rsidRDefault="00511045" w:rsidP="002E01ED">
            <w:pPr>
              <w:rPr>
                <w:sz w:val="22"/>
                <w:szCs w:val="22"/>
                <w:lang w:val="en-GB" w:eastAsia="en-US"/>
              </w:rPr>
            </w:pPr>
          </w:p>
        </w:tc>
      </w:tr>
    </w:tbl>
    <w:p w:rsidR="00511045" w:rsidRDefault="00511045" w:rsidP="00511045">
      <w:pPr>
        <w:rPr>
          <w:rFonts w:eastAsia="EUAlbertina-Regular-Identity-H"/>
          <w:b/>
          <w:i/>
          <w:iCs/>
          <w:lang w:val="en-GB" w:eastAsia="en-US"/>
        </w:rPr>
      </w:pPr>
    </w:p>
    <w:p w:rsidR="00511045" w:rsidRDefault="00511045" w:rsidP="00511045">
      <w:pPr>
        <w:spacing w:before="60" w:after="60" w:line="288" w:lineRule="auto"/>
        <w:jc w:val="both"/>
        <w:rPr>
          <w:rFonts w:cs="Arial"/>
          <w:b/>
          <w:lang w:val="en-GB" w:eastAsia="en-US"/>
        </w:rPr>
      </w:pPr>
      <w:r>
        <w:rPr>
          <w:rFonts w:cs="Arial"/>
          <w:b/>
          <w:lang w:val="en-GB" w:eastAsia="en-US"/>
        </w:rPr>
        <w:t>TO3 - PROMOTION OF THE LOCAL CULTURE AND PRESERVATION OF HISTORICAL HERITAGE</w:t>
      </w:r>
    </w:p>
    <w:p w:rsidR="00511045" w:rsidRDefault="00511045" w:rsidP="00511045">
      <w:pPr>
        <w:spacing w:before="60" w:after="60" w:line="288" w:lineRule="auto"/>
        <w:jc w:val="both"/>
        <w:rPr>
          <w:rFonts w:cs="Arial"/>
          <w:bCs/>
          <w:i/>
          <w:lang w:val="en-GB" w:eastAsia="en-US"/>
        </w:rPr>
      </w:pPr>
      <w:r>
        <w:rPr>
          <w:rFonts w:cs="Arial"/>
          <w:b/>
          <w:bCs/>
          <w:i/>
          <w:iCs/>
          <w:lang w:val="en-GB" w:eastAsia="en-US"/>
        </w:rPr>
        <w:t xml:space="preserve">Objective 2:  </w:t>
      </w:r>
      <w:r w:rsidRPr="00A3279F">
        <w:rPr>
          <w:rFonts w:cs="Arial"/>
          <w:bCs/>
          <w:i/>
          <w:lang w:val="en-GB" w:eastAsia="en-US"/>
        </w:rPr>
        <w:t>Preservation of the cultural and historical heritage in the eligible area, support the development of local culture, specific cultural identities and the cultural dialog contributing to an enhanced attractiveness of the eligible area.</w:t>
      </w:r>
    </w:p>
    <w:p w:rsidR="00511045" w:rsidRDefault="00511045" w:rsidP="00511045">
      <w:pPr>
        <w:spacing w:before="60" w:after="60" w:line="288" w:lineRule="auto"/>
        <w:jc w:val="both"/>
        <w:rPr>
          <w:rFonts w:cs="Arial"/>
          <w:b/>
          <w:bCs/>
          <w:lang w:val="en-GB" w:eastAsia="en-US"/>
        </w:rPr>
      </w:pPr>
      <w:r>
        <w:rPr>
          <w:rFonts w:cs="Arial"/>
          <w:b/>
          <w:bCs/>
          <w:lang w:val="en-GB" w:eastAsia="en-US"/>
        </w:rPr>
        <w:t xml:space="preserve">Priority 2.1 – Preservation and promotion of the cultural and historical heritage  </w:t>
      </w:r>
    </w:p>
    <w:tbl>
      <w:tblPr>
        <w:tblW w:w="9738"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5118"/>
        <w:gridCol w:w="1778"/>
        <w:gridCol w:w="2271"/>
      </w:tblGrid>
      <w:tr w:rsidR="00511045" w:rsidTr="002E01ED">
        <w:tc>
          <w:tcPr>
            <w:tcW w:w="571" w:type="dxa"/>
            <w:shd w:val="clear" w:color="auto" w:fill="auto"/>
            <w:vAlign w:val="center"/>
          </w:tcPr>
          <w:p w:rsidR="00511045" w:rsidRDefault="00511045" w:rsidP="002E01ED">
            <w:pPr>
              <w:rPr>
                <w:b/>
                <w:sz w:val="22"/>
                <w:szCs w:val="22"/>
                <w:lang w:val="en-GB" w:eastAsia="en-US"/>
              </w:rPr>
            </w:pPr>
            <w:r>
              <w:rPr>
                <w:b/>
                <w:sz w:val="22"/>
                <w:szCs w:val="22"/>
                <w:lang w:val="en-GB" w:eastAsia="en-US"/>
              </w:rPr>
              <w:t>No. crt.</w:t>
            </w:r>
          </w:p>
        </w:tc>
        <w:tc>
          <w:tcPr>
            <w:tcW w:w="5118" w:type="dxa"/>
            <w:shd w:val="clear" w:color="auto" w:fill="auto"/>
            <w:vAlign w:val="center"/>
          </w:tcPr>
          <w:p w:rsidR="00511045" w:rsidRDefault="00511045" w:rsidP="002E01ED">
            <w:pPr>
              <w:rPr>
                <w:b/>
                <w:sz w:val="22"/>
                <w:szCs w:val="22"/>
                <w:lang w:val="en-GB" w:eastAsia="en-US"/>
              </w:rPr>
            </w:pPr>
            <w:r>
              <w:rPr>
                <w:b/>
                <w:sz w:val="22"/>
                <w:szCs w:val="22"/>
                <w:lang w:val="en-GB" w:eastAsia="en-US"/>
              </w:rPr>
              <w:t xml:space="preserve">Indicative activities </w:t>
            </w:r>
          </w:p>
        </w:tc>
        <w:tc>
          <w:tcPr>
            <w:tcW w:w="1778" w:type="dxa"/>
            <w:shd w:val="clear" w:color="auto" w:fill="auto"/>
            <w:vAlign w:val="center"/>
          </w:tcPr>
          <w:p w:rsidR="00511045" w:rsidRDefault="00511045" w:rsidP="002E01ED">
            <w:pPr>
              <w:rPr>
                <w:b/>
                <w:sz w:val="22"/>
                <w:szCs w:val="22"/>
                <w:lang w:val="en-GB" w:eastAsia="en-US"/>
              </w:rPr>
            </w:pPr>
            <w:r>
              <w:rPr>
                <w:b/>
                <w:sz w:val="22"/>
                <w:szCs w:val="22"/>
                <w:lang w:val="en-GB" w:eastAsia="en-US"/>
              </w:rPr>
              <w:t>Environmental aspects and</w:t>
            </w:r>
          </w:p>
          <w:p w:rsidR="00511045" w:rsidRDefault="00511045" w:rsidP="002E01ED">
            <w:pPr>
              <w:rPr>
                <w:b/>
                <w:sz w:val="22"/>
                <w:szCs w:val="22"/>
                <w:lang w:val="en-GB" w:eastAsia="en-US"/>
              </w:rPr>
            </w:pPr>
            <w:r>
              <w:rPr>
                <w:b/>
                <w:sz w:val="22"/>
                <w:szCs w:val="22"/>
                <w:lang w:val="en-GB" w:eastAsia="en-US"/>
              </w:rPr>
              <w:t>objective considered</w:t>
            </w:r>
          </w:p>
        </w:tc>
        <w:tc>
          <w:tcPr>
            <w:tcW w:w="2271" w:type="dxa"/>
            <w:shd w:val="clear" w:color="auto" w:fill="auto"/>
            <w:vAlign w:val="center"/>
          </w:tcPr>
          <w:p w:rsidR="00511045" w:rsidRDefault="00511045" w:rsidP="002E01ED">
            <w:pPr>
              <w:rPr>
                <w:b/>
                <w:sz w:val="22"/>
                <w:szCs w:val="22"/>
                <w:lang w:val="en-GB" w:eastAsia="en-US"/>
              </w:rPr>
            </w:pPr>
            <w:r>
              <w:rPr>
                <w:b/>
                <w:sz w:val="22"/>
                <w:szCs w:val="22"/>
                <w:lang w:val="en-GB" w:eastAsia="en-US"/>
              </w:rPr>
              <w:t>Potential impact</w:t>
            </w:r>
          </w:p>
          <w:p w:rsidR="00511045" w:rsidRDefault="00511045" w:rsidP="002E01ED">
            <w:pPr>
              <w:rPr>
                <w:b/>
                <w:sz w:val="22"/>
                <w:szCs w:val="22"/>
                <w:lang w:val="en-GB" w:eastAsia="en-US"/>
              </w:rPr>
            </w:pPr>
          </w:p>
        </w:tc>
      </w:tr>
      <w:tr w:rsidR="00511045" w:rsidTr="002E01ED">
        <w:tc>
          <w:tcPr>
            <w:tcW w:w="571" w:type="dxa"/>
            <w:shd w:val="clear" w:color="auto" w:fill="auto"/>
          </w:tcPr>
          <w:p w:rsidR="00511045" w:rsidRDefault="00511045" w:rsidP="002E01ED">
            <w:pPr>
              <w:rPr>
                <w:sz w:val="22"/>
                <w:szCs w:val="22"/>
                <w:lang w:val="en-GB" w:eastAsia="en-US"/>
              </w:rPr>
            </w:pPr>
            <w:bookmarkStart w:id="88" w:name="_Toc413833750"/>
            <w:bookmarkStart w:id="89" w:name="_Toc414266874"/>
            <w:r>
              <w:rPr>
                <w:sz w:val="22"/>
                <w:szCs w:val="22"/>
                <w:lang w:val="en-GB" w:eastAsia="en-US"/>
              </w:rPr>
              <w:t>1.</w:t>
            </w:r>
            <w:bookmarkEnd w:id="88"/>
            <w:bookmarkEnd w:id="89"/>
          </w:p>
        </w:tc>
        <w:tc>
          <w:tcPr>
            <w:tcW w:w="5118" w:type="dxa"/>
            <w:shd w:val="clear" w:color="auto" w:fill="auto"/>
          </w:tcPr>
          <w:p w:rsidR="00511045" w:rsidRDefault="00511045" w:rsidP="002E01ED">
            <w:pPr>
              <w:jc w:val="both"/>
              <w:rPr>
                <w:rFonts w:cs="Arial"/>
                <w:bCs/>
                <w:sz w:val="22"/>
                <w:szCs w:val="22"/>
                <w:lang w:val="en-GB"/>
              </w:rPr>
            </w:pPr>
            <w:r>
              <w:rPr>
                <w:rFonts w:eastAsia="EUAlbertina-Regular-Identity-H" w:cs="Arial"/>
                <w:bCs/>
                <w:sz w:val="22"/>
                <w:szCs w:val="22"/>
                <w:lang w:val="en-GB"/>
              </w:rPr>
              <w:t xml:space="preserve">Restoration, conservation, consolidation, protection, security of cultural and historical monuments (including the corresponding access roads), museums, objects and art collections and </w:t>
            </w:r>
            <w:r>
              <w:rPr>
                <w:rFonts w:eastAsia="EUAlbertina-Regular-Identity-H" w:cs="Arial"/>
                <w:bCs/>
                <w:sz w:val="22"/>
                <w:szCs w:val="22"/>
                <w:lang w:val="en-GB"/>
              </w:rPr>
              <w:lastRenderedPageBreak/>
              <w:t xml:space="preserve">their joint promotion based on relevant cross-border strategies/concepts; </w:t>
            </w:r>
          </w:p>
        </w:tc>
        <w:tc>
          <w:tcPr>
            <w:tcW w:w="1778" w:type="dxa"/>
            <w:shd w:val="clear" w:color="auto" w:fill="auto"/>
          </w:tcPr>
          <w:p w:rsidR="00511045" w:rsidRDefault="00511045" w:rsidP="002E01ED">
            <w:pPr>
              <w:rPr>
                <w:sz w:val="22"/>
                <w:szCs w:val="22"/>
                <w:lang w:val="en-GB" w:eastAsia="en-US"/>
              </w:rPr>
            </w:pPr>
            <w:r>
              <w:rPr>
                <w:sz w:val="22"/>
                <w:szCs w:val="22"/>
                <w:lang w:val="en-GB" w:eastAsia="en-US"/>
              </w:rPr>
              <w:lastRenderedPageBreak/>
              <w:t>Biodiversity</w:t>
            </w:r>
            <w:bookmarkStart w:id="90" w:name="_Toc413833756"/>
            <w:bookmarkStart w:id="91" w:name="_Toc414266880"/>
            <w:r>
              <w:rPr>
                <w:sz w:val="22"/>
                <w:szCs w:val="22"/>
                <w:lang w:val="en-GB" w:eastAsia="en-US"/>
              </w:rPr>
              <w:t xml:space="preserve"> </w:t>
            </w:r>
            <w:bookmarkEnd w:id="90"/>
            <w:bookmarkEnd w:id="91"/>
          </w:p>
          <w:p w:rsidR="00511045" w:rsidRDefault="00511045" w:rsidP="002E01ED">
            <w:pPr>
              <w:rPr>
                <w:sz w:val="22"/>
                <w:szCs w:val="22"/>
                <w:lang w:val="en-GB" w:eastAsia="en-US"/>
              </w:rPr>
            </w:pPr>
            <w:r>
              <w:rPr>
                <w:sz w:val="22"/>
                <w:szCs w:val="22"/>
                <w:lang w:val="en-GB" w:eastAsia="en-US"/>
              </w:rPr>
              <w:t>Cultural heritage</w:t>
            </w:r>
          </w:p>
        </w:tc>
        <w:tc>
          <w:tcPr>
            <w:tcW w:w="2271" w:type="dxa"/>
            <w:shd w:val="clear" w:color="auto" w:fill="auto"/>
          </w:tcPr>
          <w:p w:rsidR="00511045" w:rsidRDefault="00511045" w:rsidP="002E01ED">
            <w:pPr>
              <w:rPr>
                <w:sz w:val="22"/>
                <w:szCs w:val="22"/>
                <w:lang w:val="fr-FR" w:eastAsia="en-US"/>
              </w:rPr>
            </w:pPr>
            <w:r>
              <w:rPr>
                <w:sz w:val="22"/>
                <w:szCs w:val="22"/>
                <w:lang w:val="fr-FR" w:eastAsia="en-US"/>
              </w:rPr>
              <w:t>Positive</w:t>
            </w:r>
            <w:bookmarkStart w:id="92" w:name="_Toc413833759"/>
            <w:bookmarkStart w:id="93" w:name="_Toc414266883"/>
            <w:r>
              <w:rPr>
                <w:sz w:val="22"/>
                <w:szCs w:val="22"/>
                <w:lang w:val="fr-FR" w:eastAsia="en-US"/>
              </w:rPr>
              <w:t xml:space="preserve"> </w:t>
            </w:r>
          </w:p>
          <w:p w:rsidR="00511045" w:rsidRDefault="00511045" w:rsidP="002E01ED">
            <w:pPr>
              <w:rPr>
                <w:sz w:val="22"/>
                <w:szCs w:val="22"/>
                <w:lang w:val="en-US" w:eastAsia="en-US"/>
              </w:rPr>
            </w:pPr>
            <w:r>
              <w:rPr>
                <w:sz w:val="22"/>
                <w:szCs w:val="22"/>
                <w:lang w:val="en-US" w:eastAsia="en-US"/>
              </w:rPr>
              <w:t xml:space="preserve">The technolgies should have a minimum </w:t>
            </w:r>
            <w:bookmarkEnd w:id="92"/>
            <w:bookmarkEnd w:id="93"/>
            <w:r>
              <w:rPr>
                <w:sz w:val="22"/>
                <w:szCs w:val="22"/>
                <w:lang w:val="en-US" w:eastAsia="en-US"/>
              </w:rPr>
              <w:t>impact</w:t>
            </w:r>
          </w:p>
        </w:tc>
      </w:tr>
      <w:tr w:rsidR="00511045" w:rsidTr="002E01ED">
        <w:tc>
          <w:tcPr>
            <w:tcW w:w="571" w:type="dxa"/>
            <w:shd w:val="clear" w:color="auto" w:fill="auto"/>
          </w:tcPr>
          <w:p w:rsidR="00511045" w:rsidRDefault="00511045" w:rsidP="002E01ED">
            <w:pPr>
              <w:rPr>
                <w:sz w:val="22"/>
                <w:szCs w:val="22"/>
                <w:lang w:val="en-GB" w:eastAsia="en-US"/>
              </w:rPr>
            </w:pPr>
            <w:bookmarkStart w:id="94" w:name="_Toc413833760"/>
            <w:bookmarkStart w:id="95" w:name="_Toc414266884"/>
            <w:r>
              <w:rPr>
                <w:sz w:val="22"/>
                <w:szCs w:val="22"/>
                <w:lang w:val="en-GB" w:eastAsia="en-US"/>
              </w:rPr>
              <w:lastRenderedPageBreak/>
              <w:t>2.</w:t>
            </w:r>
            <w:bookmarkEnd w:id="94"/>
            <w:bookmarkEnd w:id="95"/>
          </w:p>
        </w:tc>
        <w:tc>
          <w:tcPr>
            <w:tcW w:w="5118" w:type="dxa"/>
            <w:shd w:val="clear" w:color="auto" w:fill="auto"/>
          </w:tcPr>
          <w:p w:rsidR="00511045" w:rsidRDefault="00511045" w:rsidP="002E01ED">
            <w:pPr>
              <w:jc w:val="both"/>
              <w:rPr>
                <w:rFonts w:cs="Arial"/>
                <w:bCs/>
                <w:sz w:val="22"/>
                <w:szCs w:val="22"/>
                <w:lang w:val="en-GB"/>
              </w:rPr>
            </w:pPr>
            <w:r>
              <w:rPr>
                <w:rFonts w:eastAsia="EUAlbertina-Regular-Identity-H" w:cs="Arial"/>
                <w:bCs/>
                <w:sz w:val="22"/>
                <w:szCs w:val="22"/>
                <w:lang w:val="en-GB"/>
              </w:rPr>
              <w:t xml:space="preserve">Preservation, security, and joint valorisation of cultural and historical monuments and objects;   </w:t>
            </w:r>
          </w:p>
        </w:tc>
        <w:tc>
          <w:tcPr>
            <w:tcW w:w="1778" w:type="dxa"/>
            <w:shd w:val="clear" w:color="auto" w:fill="auto"/>
          </w:tcPr>
          <w:p w:rsidR="00511045" w:rsidRDefault="00511045" w:rsidP="002E01ED">
            <w:pPr>
              <w:rPr>
                <w:sz w:val="22"/>
                <w:szCs w:val="22"/>
                <w:lang w:val="en-GB" w:eastAsia="en-US"/>
              </w:rPr>
            </w:pPr>
            <w:r>
              <w:rPr>
                <w:sz w:val="22"/>
                <w:szCs w:val="22"/>
                <w:lang w:val="en-GB" w:eastAsia="en-US"/>
              </w:rPr>
              <w:t xml:space="preserve">Biodiversity </w:t>
            </w:r>
          </w:p>
          <w:p w:rsidR="00511045" w:rsidRDefault="00511045" w:rsidP="002E01ED">
            <w:pPr>
              <w:rPr>
                <w:sz w:val="22"/>
                <w:szCs w:val="22"/>
                <w:lang w:val="en-GB" w:eastAsia="en-US"/>
              </w:rPr>
            </w:pPr>
            <w:r>
              <w:rPr>
                <w:sz w:val="22"/>
                <w:szCs w:val="22"/>
                <w:lang w:val="en-GB" w:eastAsia="en-US"/>
              </w:rPr>
              <w:t>Cultural heritage</w:t>
            </w:r>
            <w:r w:rsidDel="00A3279F">
              <w:rPr>
                <w:sz w:val="22"/>
                <w:szCs w:val="22"/>
                <w:lang w:val="en-GB" w:eastAsia="en-US"/>
              </w:rPr>
              <w:t xml:space="preserve"> </w:t>
            </w:r>
          </w:p>
        </w:tc>
        <w:tc>
          <w:tcPr>
            <w:tcW w:w="2271" w:type="dxa"/>
            <w:shd w:val="clear" w:color="auto" w:fill="auto"/>
          </w:tcPr>
          <w:p w:rsidR="00511045" w:rsidRDefault="00511045" w:rsidP="002E01ED">
            <w:pPr>
              <w:rPr>
                <w:sz w:val="22"/>
                <w:szCs w:val="22"/>
                <w:lang w:val="en-GB" w:eastAsia="en-US"/>
              </w:rPr>
            </w:pPr>
            <w:r>
              <w:rPr>
                <w:sz w:val="22"/>
                <w:szCs w:val="22"/>
                <w:lang w:val="en-GB" w:eastAsia="en-US"/>
              </w:rPr>
              <w:t>Positive</w:t>
            </w:r>
          </w:p>
          <w:p w:rsidR="00511045" w:rsidRDefault="00511045" w:rsidP="002E01ED">
            <w:pPr>
              <w:rPr>
                <w:sz w:val="22"/>
                <w:szCs w:val="22"/>
                <w:lang w:val="en-GB" w:eastAsia="en-US"/>
              </w:rPr>
            </w:pPr>
            <w:r>
              <w:rPr>
                <w:sz w:val="22"/>
                <w:szCs w:val="22"/>
                <w:lang w:val="en-GB" w:eastAsia="en-US"/>
              </w:rPr>
              <w:t>Reduced consumption of power raw material, hazardous substances</w:t>
            </w:r>
          </w:p>
          <w:p w:rsidR="00511045" w:rsidRDefault="00511045" w:rsidP="002E01ED">
            <w:pPr>
              <w:rPr>
                <w:sz w:val="22"/>
                <w:szCs w:val="22"/>
                <w:lang w:val="en-GB" w:eastAsia="en-US"/>
              </w:rPr>
            </w:pPr>
          </w:p>
        </w:tc>
      </w:tr>
      <w:tr w:rsidR="00511045" w:rsidTr="002E01ED">
        <w:tc>
          <w:tcPr>
            <w:tcW w:w="571" w:type="dxa"/>
            <w:shd w:val="clear" w:color="auto" w:fill="auto"/>
          </w:tcPr>
          <w:p w:rsidR="00511045" w:rsidRDefault="00511045" w:rsidP="002E01ED">
            <w:pPr>
              <w:rPr>
                <w:sz w:val="22"/>
                <w:szCs w:val="22"/>
                <w:lang w:val="en-GB" w:eastAsia="en-US"/>
              </w:rPr>
            </w:pPr>
            <w:bookmarkStart w:id="96" w:name="_Toc413833766"/>
            <w:bookmarkStart w:id="97" w:name="_Toc414266890"/>
            <w:r>
              <w:rPr>
                <w:sz w:val="22"/>
                <w:szCs w:val="22"/>
                <w:lang w:val="en-GB" w:eastAsia="en-US"/>
              </w:rPr>
              <w:t>3.</w:t>
            </w:r>
            <w:bookmarkEnd w:id="96"/>
            <w:bookmarkEnd w:id="97"/>
          </w:p>
        </w:tc>
        <w:tc>
          <w:tcPr>
            <w:tcW w:w="5118" w:type="dxa"/>
            <w:shd w:val="clear" w:color="auto" w:fill="auto"/>
          </w:tcPr>
          <w:p w:rsidR="00511045" w:rsidRDefault="00511045" w:rsidP="002E01ED">
            <w:pPr>
              <w:jc w:val="both"/>
              <w:rPr>
                <w:rFonts w:cs="Arial"/>
                <w:bCs/>
                <w:sz w:val="22"/>
                <w:szCs w:val="22"/>
                <w:lang w:val="en-GB"/>
              </w:rPr>
            </w:pPr>
            <w:r>
              <w:rPr>
                <w:rFonts w:eastAsia="EUAlbertina-Regular-Identity-H" w:cs="Arial"/>
                <w:bCs/>
                <w:sz w:val="22"/>
                <w:szCs w:val="22"/>
                <w:lang w:val="en-GB"/>
              </w:rPr>
              <w:t xml:space="preserve">Cultural institutions networks aiming at the promotion of the cultural and historical heritage </w:t>
            </w:r>
          </w:p>
        </w:tc>
        <w:tc>
          <w:tcPr>
            <w:tcW w:w="1778" w:type="dxa"/>
            <w:shd w:val="clear" w:color="auto" w:fill="auto"/>
            <w:vAlign w:val="center"/>
          </w:tcPr>
          <w:p w:rsidR="00511045" w:rsidRDefault="00511045" w:rsidP="002E01ED">
            <w:pPr>
              <w:jc w:val="center"/>
            </w:pPr>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c>
          <w:tcPr>
            <w:tcW w:w="571" w:type="dxa"/>
            <w:shd w:val="clear" w:color="auto" w:fill="auto"/>
          </w:tcPr>
          <w:p w:rsidR="00511045" w:rsidRDefault="00511045" w:rsidP="002E01ED">
            <w:pPr>
              <w:rPr>
                <w:sz w:val="22"/>
                <w:szCs w:val="22"/>
                <w:lang w:val="en-GB" w:eastAsia="en-US"/>
              </w:rPr>
            </w:pPr>
            <w:bookmarkStart w:id="98" w:name="_Toc413833769"/>
            <w:bookmarkStart w:id="99" w:name="_Toc414266893"/>
            <w:r>
              <w:rPr>
                <w:sz w:val="22"/>
                <w:szCs w:val="22"/>
                <w:lang w:val="en-GB" w:eastAsia="en-US"/>
              </w:rPr>
              <w:t>4.</w:t>
            </w:r>
            <w:bookmarkEnd w:id="98"/>
            <w:bookmarkEnd w:id="99"/>
          </w:p>
        </w:tc>
        <w:tc>
          <w:tcPr>
            <w:tcW w:w="5118" w:type="dxa"/>
            <w:shd w:val="clear" w:color="auto" w:fill="auto"/>
          </w:tcPr>
          <w:p w:rsidR="00511045" w:rsidRDefault="00511045" w:rsidP="002E01ED">
            <w:pPr>
              <w:jc w:val="both"/>
              <w:rPr>
                <w:rFonts w:cs="Arial"/>
                <w:bCs/>
                <w:sz w:val="22"/>
                <w:szCs w:val="22"/>
                <w:lang w:val="en-GB"/>
              </w:rPr>
            </w:pPr>
            <w:r>
              <w:rPr>
                <w:rFonts w:eastAsia="EUAlbertina-Regular-Identity-H" w:cs="Arial"/>
                <w:bCs/>
                <w:sz w:val="22"/>
                <w:szCs w:val="22"/>
                <w:lang w:val="en-GB"/>
              </w:rPr>
              <w:t>Support for specific and traditional craftsman activities</w:t>
            </w:r>
            <w:r>
              <w:rPr>
                <w:rFonts w:eastAsia="EUAlbertina-Regular-Identity-H" w:cs="Arial"/>
                <w:b/>
                <w:bCs/>
                <w:sz w:val="22"/>
                <w:szCs w:val="22"/>
                <w:lang w:val="en-GB"/>
              </w:rPr>
              <w:t xml:space="preserve">, </w:t>
            </w:r>
            <w:r>
              <w:rPr>
                <w:rFonts w:eastAsia="EUAlbertina-Regular-Identity-H" w:cs="Arial"/>
                <w:bCs/>
                <w:sz w:val="22"/>
                <w:szCs w:val="22"/>
                <w:lang w:val="en-GB"/>
              </w:rPr>
              <w:t xml:space="preserve">important for preserving local culture and identity. </w:t>
            </w:r>
          </w:p>
        </w:tc>
        <w:tc>
          <w:tcPr>
            <w:tcW w:w="1778" w:type="dxa"/>
            <w:shd w:val="clear" w:color="auto" w:fill="auto"/>
            <w:vAlign w:val="center"/>
          </w:tcPr>
          <w:p w:rsidR="00511045" w:rsidRDefault="00511045" w:rsidP="002E01ED">
            <w:pPr>
              <w:jc w:val="center"/>
            </w:pPr>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c>
          <w:tcPr>
            <w:tcW w:w="571" w:type="dxa"/>
            <w:shd w:val="clear" w:color="auto" w:fill="auto"/>
          </w:tcPr>
          <w:p w:rsidR="00511045" w:rsidRDefault="00511045" w:rsidP="002E01ED">
            <w:pPr>
              <w:rPr>
                <w:sz w:val="22"/>
                <w:szCs w:val="22"/>
                <w:lang w:val="en-GB" w:eastAsia="en-US"/>
              </w:rPr>
            </w:pPr>
            <w:bookmarkStart w:id="100" w:name="_Toc413833772"/>
            <w:bookmarkStart w:id="101" w:name="_Toc414266896"/>
            <w:r>
              <w:rPr>
                <w:sz w:val="22"/>
                <w:szCs w:val="22"/>
                <w:lang w:val="en-GB" w:eastAsia="en-US"/>
              </w:rPr>
              <w:t>5.</w:t>
            </w:r>
            <w:bookmarkEnd w:id="100"/>
            <w:bookmarkEnd w:id="101"/>
          </w:p>
        </w:tc>
        <w:tc>
          <w:tcPr>
            <w:tcW w:w="5118" w:type="dxa"/>
            <w:shd w:val="clear" w:color="auto" w:fill="auto"/>
          </w:tcPr>
          <w:p w:rsidR="00511045" w:rsidRDefault="00511045" w:rsidP="002E01ED">
            <w:pPr>
              <w:jc w:val="both"/>
              <w:rPr>
                <w:rFonts w:cs="Arial"/>
                <w:bCs/>
                <w:sz w:val="22"/>
                <w:szCs w:val="22"/>
                <w:lang w:val="en-GB"/>
              </w:rPr>
            </w:pPr>
            <w:r>
              <w:rPr>
                <w:rFonts w:eastAsia="EUAlbertina-Regular-Identity-H" w:cs="Arial"/>
                <w:bCs/>
                <w:sz w:val="22"/>
                <w:szCs w:val="22"/>
                <w:lang w:val="en-GB"/>
              </w:rPr>
              <w:t>Promotion of specific and traditional activities in the eligible area (including cross border cultural events);</w:t>
            </w:r>
          </w:p>
        </w:tc>
        <w:tc>
          <w:tcPr>
            <w:tcW w:w="1778" w:type="dxa"/>
            <w:shd w:val="clear" w:color="auto" w:fill="auto"/>
            <w:vAlign w:val="center"/>
          </w:tcPr>
          <w:p w:rsidR="00511045" w:rsidRDefault="00511045" w:rsidP="002E01ED">
            <w:pPr>
              <w:jc w:val="center"/>
            </w:pPr>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c>
          <w:tcPr>
            <w:tcW w:w="571" w:type="dxa"/>
            <w:shd w:val="clear" w:color="auto" w:fill="auto"/>
          </w:tcPr>
          <w:p w:rsidR="00511045" w:rsidRDefault="00511045" w:rsidP="002E01ED">
            <w:pPr>
              <w:rPr>
                <w:sz w:val="22"/>
                <w:szCs w:val="22"/>
                <w:lang w:val="en-GB" w:eastAsia="en-US"/>
              </w:rPr>
            </w:pPr>
            <w:bookmarkStart w:id="102" w:name="_Toc413833775"/>
            <w:bookmarkStart w:id="103" w:name="_Toc414266899"/>
            <w:r>
              <w:rPr>
                <w:sz w:val="22"/>
                <w:szCs w:val="22"/>
                <w:lang w:val="en-GB" w:eastAsia="en-US"/>
              </w:rPr>
              <w:t>6.</w:t>
            </w:r>
            <w:bookmarkEnd w:id="102"/>
            <w:bookmarkEnd w:id="103"/>
          </w:p>
        </w:tc>
        <w:tc>
          <w:tcPr>
            <w:tcW w:w="5118" w:type="dxa"/>
            <w:shd w:val="clear" w:color="auto" w:fill="auto"/>
          </w:tcPr>
          <w:p w:rsidR="00511045" w:rsidRDefault="00511045" w:rsidP="002E01ED">
            <w:pPr>
              <w:jc w:val="both"/>
              <w:rPr>
                <w:rFonts w:cs="Arial"/>
                <w:bCs/>
                <w:sz w:val="22"/>
                <w:szCs w:val="22"/>
                <w:lang w:val="en-GB"/>
              </w:rPr>
            </w:pPr>
            <w:r>
              <w:rPr>
                <w:rFonts w:eastAsia="EUAlbertina-Regular-Identity-H" w:cs="Arial"/>
                <w:bCs/>
                <w:sz w:val="22"/>
                <w:szCs w:val="22"/>
                <w:lang w:val="en-GB"/>
              </w:rPr>
              <w:t xml:space="preserve">Preserving, promoting and developing the cultural and historical heritage, mainly through cultural events with a cross-border dimension; </w:t>
            </w:r>
          </w:p>
        </w:tc>
        <w:tc>
          <w:tcPr>
            <w:tcW w:w="1778" w:type="dxa"/>
            <w:shd w:val="clear" w:color="auto" w:fill="auto"/>
            <w:vAlign w:val="center"/>
          </w:tcPr>
          <w:p w:rsidR="00511045" w:rsidRDefault="00511045" w:rsidP="002E01ED">
            <w:pPr>
              <w:jc w:val="center"/>
            </w:pPr>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c>
          <w:tcPr>
            <w:tcW w:w="571" w:type="dxa"/>
            <w:shd w:val="clear" w:color="auto" w:fill="auto"/>
          </w:tcPr>
          <w:p w:rsidR="00511045" w:rsidRDefault="00511045" w:rsidP="002E01ED">
            <w:pPr>
              <w:rPr>
                <w:sz w:val="22"/>
                <w:szCs w:val="22"/>
                <w:lang w:val="en-GB" w:eastAsia="en-US"/>
              </w:rPr>
            </w:pPr>
            <w:bookmarkStart w:id="104" w:name="_Toc413833778"/>
            <w:bookmarkStart w:id="105" w:name="_Toc414266902"/>
            <w:r>
              <w:rPr>
                <w:sz w:val="22"/>
                <w:szCs w:val="22"/>
                <w:lang w:val="en-GB" w:eastAsia="en-US"/>
              </w:rPr>
              <w:t>7.</w:t>
            </w:r>
            <w:bookmarkEnd w:id="104"/>
            <w:bookmarkEnd w:id="105"/>
          </w:p>
        </w:tc>
        <w:tc>
          <w:tcPr>
            <w:tcW w:w="5118" w:type="dxa"/>
            <w:shd w:val="clear" w:color="auto" w:fill="auto"/>
          </w:tcPr>
          <w:p w:rsidR="00511045" w:rsidRDefault="00511045" w:rsidP="002E01ED">
            <w:pPr>
              <w:jc w:val="both"/>
              <w:rPr>
                <w:rFonts w:cs="Arial"/>
                <w:bCs/>
                <w:sz w:val="22"/>
                <w:szCs w:val="22"/>
                <w:lang w:val="en-GB"/>
              </w:rPr>
            </w:pPr>
            <w:r>
              <w:rPr>
                <w:rFonts w:eastAsia="EUAlbertina-Regular-Identity-H" w:cs="Arial"/>
                <w:bCs/>
                <w:sz w:val="22"/>
                <w:szCs w:val="22"/>
                <w:lang w:val="en-GB"/>
              </w:rPr>
              <w:t>Valorisation of the historical and cultural heritage through developing joint promotion strategies, common tourism products and services.</w:t>
            </w:r>
          </w:p>
        </w:tc>
        <w:tc>
          <w:tcPr>
            <w:tcW w:w="1778" w:type="dxa"/>
            <w:shd w:val="clear" w:color="auto" w:fill="auto"/>
            <w:vAlign w:val="center"/>
          </w:tcPr>
          <w:p w:rsidR="00511045" w:rsidRDefault="00511045" w:rsidP="002E01ED">
            <w:pPr>
              <w:jc w:val="center"/>
            </w:pPr>
            <w:r>
              <w:rPr>
                <w:sz w:val="22"/>
                <w:szCs w:val="22"/>
                <w:lang w:val="en-GB" w:eastAsia="en-US"/>
              </w:rPr>
              <w:t>Is not the case</w:t>
            </w:r>
          </w:p>
        </w:tc>
        <w:tc>
          <w:tcPr>
            <w:tcW w:w="2271" w:type="dxa"/>
            <w:shd w:val="clear" w:color="auto" w:fill="auto"/>
            <w:vAlign w:val="center"/>
          </w:tcPr>
          <w:p w:rsidR="00511045" w:rsidRDefault="00511045" w:rsidP="002E01ED">
            <w:pPr>
              <w:jc w:val="center"/>
            </w:pPr>
            <w:r>
              <w:rPr>
                <w:sz w:val="22"/>
                <w:szCs w:val="22"/>
                <w:lang w:val="en-GB" w:eastAsia="en-US"/>
              </w:rPr>
              <w:t>Indirectly</w:t>
            </w:r>
          </w:p>
        </w:tc>
      </w:tr>
    </w:tbl>
    <w:p w:rsidR="00511045" w:rsidRDefault="00511045" w:rsidP="00511045">
      <w:pPr>
        <w:spacing w:before="60" w:after="60" w:line="288" w:lineRule="auto"/>
        <w:ind w:left="720"/>
        <w:jc w:val="both"/>
        <w:rPr>
          <w:rFonts w:eastAsia="EUAlbertina-Regular-Identity-H"/>
          <w:bCs/>
          <w:lang w:val="en-GB" w:eastAsia="en-US"/>
        </w:rPr>
      </w:pPr>
    </w:p>
    <w:p w:rsidR="00511045" w:rsidRDefault="00511045" w:rsidP="00511045">
      <w:pPr>
        <w:spacing w:before="60" w:after="60" w:line="288" w:lineRule="auto"/>
        <w:jc w:val="both"/>
        <w:rPr>
          <w:rFonts w:cs="Arial"/>
          <w:b/>
          <w:lang w:val="en-GB" w:eastAsia="en-US"/>
        </w:rPr>
      </w:pPr>
      <w:r>
        <w:rPr>
          <w:rFonts w:cs="Arial"/>
          <w:b/>
          <w:lang w:val="en-GB" w:eastAsia="en-US"/>
        </w:rPr>
        <w:t>TO7 - IMPROVEMENT OF ACCESSIBILITY TO THE REGIONS, DEVELOPMENT OF TRANSPORT AND COMMON NETWORKS AND SYSTEMS</w:t>
      </w:r>
    </w:p>
    <w:p w:rsidR="00511045" w:rsidRDefault="00511045" w:rsidP="00511045">
      <w:pPr>
        <w:spacing w:before="60" w:after="60" w:line="288" w:lineRule="auto"/>
        <w:jc w:val="both"/>
        <w:rPr>
          <w:rFonts w:cs="Arial"/>
          <w:i/>
          <w:lang w:val="en-GB" w:eastAsia="en-US"/>
        </w:rPr>
      </w:pPr>
      <w:r>
        <w:rPr>
          <w:rFonts w:cs="Arial"/>
          <w:b/>
          <w:bCs/>
          <w:i/>
          <w:iCs/>
          <w:lang w:val="en-GB" w:eastAsia="en-US"/>
        </w:rPr>
        <w:t>Objective 3:</w:t>
      </w:r>
      <w:r>
        <w:rPr>
          <w:rFonts w:cs="Arial"/>
          <w:b/>
          <w:bCs/>
          <w:iCs/>
          <w:lang w:val="en-GB" w:eastAsia="en-US"/>
        </w:rPr>
        <w:t xml:space="preserve">  </w:t>
      </w:r>
      <w:r>
        <w:rPr>
          <w:rFonts w:cs="Arial"/>
          <w:i/>
          <w:lang w:val="en-GB" w:eastAsia="en-US"/>
        </w:rPr>
        <w:t>Improve public transport services, infrastructure and ITC cooperation and networking</w:t>
      </w:r>
    </w:p>
    <w:p w:rsidR="00511045" w:rsidRDefault="00511045" w:rsidP="00511045">
      <w:pPr>
        <w:spacing w:before="60" w:after="60" w:line="288" w:lineRule="auto"/>
        <w:jc w:val="both"/>
        <w:rPr>
          <w:rFonts w:cs="Arial"/>
          <w:b/>
          <w:lang w:val="en-GB" w:eastAsia="en-US"/>
        </w:rPr>
      </w:pPr>
      <w:r>
        <w:rPr>
          <w:rFonts w:cs="Arial"/>
          <w:b/>
          <w:bCs/>
          <w:lang w:val="en-GB" w:eastAsia="en-US"/>
        </w:rPr>
        <w:t>Priority 3.1 – Development of cross border transport infrastructure and ICT tools</w:t>
      </w:r>
    </w:p>
    <w:tbl>
      <w:tblPr>
        <w:tblW w:w="9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5749"/>
        <w:gridCol w:w="1800"/>
        <w:gridCol w:w="1618"/>
      </w:tblGrid>
      <w:tr w:rsidR="00511045" w:rsidTr="002E01ED">
        <w:trPr>
          <w:jc w:val="center"/>
        </w:trPr>
        <w:tc>
          <w:tcPr>
            <w:tcW w:w="571" w:type="dxa"/>
            <w:shd w:val="clear" w:color="auto" w:fill="auto"/>
            <w:vAlign w:val="center"/>
          </w:tcPr>
          <w:p w:rsidR="00511045" w:rsidRDefault="00511045" w:rsidP="002E01ED">
            <w:pPr>
              <w:rPr>
                <w:b/>
                <w:sz w:val="22"/>
                <w:szCs w:val="22"/>
                <w:lang w:val="en-GB" w:eastAsia="en-US"/>
              </w:rPr>
            </w:pPr>
            <w:r>
              <w:rPr>
                <w:b/>
                <w:sz w:val="22"/>
                <w:szCs w:val="22"/>
                <w:lang w:val="en-GB" w:eastAsia="en-US"/>
              </w:rPr>
              <w:t>No. crt.</w:t>
            </w:r>
          </w:p>
        </w:tc>
        <w:tc>
          <w:tcPr>
            <w:tcW w:w="5749" w:type="dxa"/>
            <w:shd w:val="clear" w:color="auto" w:fill="auto"/>
            <w:vAlign w:val="center"/>
          </w:tcPr>
          <w:p w:rsidR="00511045" w:rsidRDefault="00511045" w:rsidP="002E01ED">
            <w:pPr>
              <w:rPr>
                <w:b/>
                <w:sz w:val="22"/>
                <w:szCs w:val="22"/>
                <w:lang w:val="en-GB" w:eastAsia="en-US"/>
              </w:rPr>
            </w:pPr>
            <w:r>
              <w:rPr>
                <w:b/>
                <w:sz w:val="22"/>
                <w:szCs w:val="22"/>
                <w:lang w:val="en-GB" w:eastAsia="en-US"/>
              </w:rPr>
              <w:t xml:space="preserve">Indicative activities </w:t>
            </w:r>
          </w:p>
        </w:tc>
        <w:tc>
          <w:tcPr>
            <w:tcW w:w="1800" w:type="dxa"/>
            <w:shd w:val="clear" w:color="auto" w:fill="auto"/>
            <w:vAlign w:val="center"/>
          </w:tcPr>
          <w:p w:rsidR="00511045" w:rsidRDefault="00511045" w:rsidP="002E01ED">
            <w:pPr>
              <w:rPr>
                <w:b/>
                <w:sz w:val="22"/>
                <w:szCs w:val="22"/>
                <w:lang w:val="en-GB" w:eastAsia="en-US"/>
              </w:rPr>
            </w:pPr>
            <w:r>
              <w:rPr>
                <w:b/>
                <w:sz w:val="22"/>
                <w:szCs w:val="22"/>
                <w:lang w:val="en-GB" w:eastAsia="en-US"/>
              </w:rPr>
              <w:t>Environmental aspects and</w:t>
            </w:r>
          </w:p>
          <w:p w:rsidR="00511045" w:rsidRDefault="00511045" w:rsidP="002E01ED">
            <w:pPr>
              <w:rPr>
                <w:b/>
                <w:sz w:val="22"/>
                <w:szCs w:val="22"/>
                <w:lang w:val="en-GB" w:eastAsia="en-US"/>
              </w:rPr>
            </w:pPr>
            <w:r>
              <w:rPr>
                <w:b/>
                <w:sz w:val="22"/>
                <w:szCs w:val="22"/>
                <w:lang w:val="en-GB" w:eastAsia="en-US"/>
              </w:rPr>
              <w:t>objective considered</w:t>
            </w:r>
          </w:p>
        </w:tc>
        <w:tc>
          <w:tcPr>
            <w:tcW w:w="1618" w:type="dxa"/>
            <w:shd w:val="clear" w:color="auto" w:fill="auto"/>
            <w:vAlign w:val="center"/>
          </w:tcPr>
          <w:p w:rsidR="00511045" w:rsidRDefault="00511045" w:rsidP="002E01ED">
            <w:pPr>
              <w:rPr>
                <w:b/>
                <w:sz w:val="22"/>
                <w:szCs w:val="22"/>
                <w:lang w:val="en-GB" w:eastAsia="en-US"/>
              </w:rPr>
            </w:pPr>
            <w:r>
              <w:rPr>
                <w:b/>
                <w:sz w:val="22"/>
                <w:szCs w:val="22"/>
                <w:lang w:val="en-GB" w:eastAsia="en-US"/>
              </w:rPr>
              <w:t>Potential impact</w:t>
            </w:r>
          </w:p>
          <w:p w:rsidR="00511045" w:rsidRDefault="00511045" w:rsidP="002E01ED">
            <w:pPr>
              <w:rPr>
                <w:b/>
                <w:sz w:val="22"/>
                <w:szCs w:val="22"/>
                <w:lang w:val="en-GB" w:eastAsia="en-US"/>
              </w:rPr>
            </w:pP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106" w:name="_Toc413833790"/>
            <w:bookmarkStart w:id="107" w:name="_Toc414266914"/>
            <w:r>
              <w:rPr>
                <w:sz w:val="22"/>
                <w:szCs w:val="22"/>
                <w:lang w:val="en-GB" w:eastAsia="en-US"/>
              </w:rPr>
              <w:t>1.</w:t>
            </w:r>
            <w:bookmarkEnd w:id="106"/>
            <w:bookmarkEnd w:id="107"/>
          </w:p>
        </w:tc>
        <w:tc>
          <w:tcPr>
            <w:tcW w:w="5749" w:type="dxa"/>
            <w:shd w:val="clear" w:color="auto" w:fill="auto"/>
          </w:tcPr>
          <w:p w:rsidR="00511045" w:rsidRDefault="00511045" w:rsidP="002E01ED">
            <w:pPr>
              <w:jc w:val="both"/>
              <w:rPr>
                <w:rFonts w:cs="Arial"/>
                <w:sz w:val="22"/>
                <w:szCs w:val="22"/>
                <w:lang w:val="en-GB"/>
              </w:rPr>
            </w:pPr>
            <w:r>
              <w:rPr>
                <w:rFonts w:eastAsia="EUAlbertina-Regular-Identity-H" w:cs="Arial"/>
                <w:sz w:val="22"/>
                <w:szCs w:val="22"/>
                <w:lang w:val="en-GB"/>
              </w:rPr>
              <w:t xml:space="preserve">Reconstruction, rehabilitation, modernization  of cross-border transport systems </w:t>
            </w:r>
          </w:p>
        </w:tc>
        <w:tc>
          <w:tcPr>
            <w:tcW w:w="1800" w:type="dxa"/>
            <w:shd w:val="clear" w:color="auto" w:fill="auto"/>
          </w:tcPr>
          <w:p w:rsidR="00511045" w:rsidRDefault="00511045" w:rsidP="002E01ED">
            <w:pPr>
              <w:rPr>
                <w:sz w:val="22"/>
                <w:szCs w:val="22"/>
                <w:lang w:val="en-GB" w:eastAsia="en-US"/>
              </w:rPr>
            </w:pPr>
            <w:r>
              <w:rPr>
                <w:sz w:val="22"/>
                <w:szCs w:val="22"/>
                <w:lang w:val="en-GB" w:eastAsia="en-US"/>
              </w:rPr>
              <w:t>Air</w:t>
            </w:r>
          </w:p>
          <w:p w:rsidR="00511045" w:rsidRDefault="00511045" w:rsidP="002E01ED">
            <w:pPr>
              <w:rPr>
                <w:sz w:val="22"/>
                <w:szCs w:val="22"/>
                <w:lang w:val="en-GB" w:eastAsia="en-US"/>
              </w:rPr>
            </w:pPr>
            <w:r>
              <w:rPr>
                <w:sz w:val="22"/>
                <w:szCs w:val="22"/>
                <w:lang w:val="en-GB" w:eastAsia="en-US"/>
              </w:rPr>
              <w:t>Water</w:t>
            </w:r>
          </w:p>
          <w:p w:rsidR="00511045" w:rsidRDefault="00511045" w:rsidP="002E01ED">
            <w:pPr>
              <w:rPr>
                <w:sz w:val="22"/>
                <w:szCs w:val="22"/>
                <w:lang w:val="en-GB" w:eastAsia="en-US"/>
              </w:rPr>
            </w:pPr>
            <w:r>
              <w:rPr>
                <w:sz w:val="22"/>
                <w:szCs w:val="22"/>
                <w:lang w:val="en-GB" w:eastAsia="en-US"/>
              </w:rPr>
              <w:t>Soil</w:t>
            </w:r>
          </w:p>
          <w:p w:rsidR="00511045" w:rsidRDefault="00511045" w:rsidP="002E01ED">
            <w:pPr>
              <w:rPr>
                <w:sz w:val="22"/>
                <w:szCs w:val="22"/>
                <w:lang w:val="en-GB" w:eastAsia="en-US"/>
              </w:rPr>
            </w:pPr>
            <w:r>
              <w:rPr>
                <w:sz w:val="22"/>
                <w:szCs w:val="22"/>
                <w:lang w:val="en-GB" w:eastAsia="en-US"/>
              </w:rPr>
              <w:t>Waste</w:t>
            </w:r>
          </w:p>
          <w:p w:rsidR="00511045" w:rsidRDefault="00511045" w:rsidP="002E01ED">
            <w:pPr>
              <w:rPr>
                <w:sz w:val="22"/>
                <w:szCs w:val="22"/>
                <w:lang w:val="en-GB" w:eastAsia="en-US"/>
              </w:rPr>
            </w:pPr>
            <w:r>
              <w:rPr>
                <w:sz w:val="22"/>
                <w:szCs w:val="22"/>
                <w:lang w:val="en-GB" w:eastAsia="en-US"/>
              </w:rPr>
              <w:t>Management Biodiversity</w:t>
            </w:r>
          </w:p>
        </w:tc>
        <w:tc>
          <w:tcPr>
            <w:tcW w:w="1618" w:type="dxa"/>
            <w:shd w:val="clear" w:color="auto" w:fill="auto"/>
          </w:tcPr>
          <w:p w:rsidR="00511045" w:rsidRDefault="00511045" w:rsidP="002E01ED">
            <w:pPr>
              <w:rPr>
                <w:sz w:val="22"/>
                <w:szCs w:val="22"/>
                <w:lang w:val="en-GB" w:eastAsia="en-US"/>
              </w:rPr>
            </w:pPr>
            <w:r>
              <w:rPr>
                <w:sz w:val="22"/>
                <w:szCs w:val="22"/>
                <w:lang w:val="en-GB" w:eastAsia="en-US"/>
              </w:rPr>
              <w:t>Positive</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108" w:name="_Toc413833797"/>
            <w:bookmarkStart w:id="109" w:name="_Toc414266921"/>
            <w:r>
              <w:rPr>
                <w:sz w:val="22"/>
                <w:szCs w:val="22"/>
                <w:lang w:val="en-GB" w:eastAsia="en-US"/>
              </w:rPr>
              <w:t>2.</w:t>
            </w:r>
            <w:bookmarkEnd w:id="108"/>
            <w:bookmarkEnd w:id="109"/>
          </w:p>
        </w:tc>
        <w:tc>
          <w:tcPr>
            <w:tcW w:w="5749" w:type="dxa"/>
            <w:shd w:val="clear" w:color="auto" w:fill="auto"/>
          </w:tcPr>
          <w:p w:rsidR="00511045" w:rsidRDefault="00511045" w:rsidP="002E01ED">
            <w:pPr>
              <w:jc w:val="both"/>
              <w:rPr>
                <w:rFonts w:cs="Arial"/>
                <w:sz w:val="22"/>
                <w:szCs w:val="22"/>
                <w:lang w:val="en-GB"/>
              </w:rPr>
            </w:pPr>
            <w:r>
              <w:rPr>
                <w:rFonts w:eastAsia="EUAlbertina-Regular-Identity-H" w:cs="Arial"/>
                <w:sz w:val="22"/>
                <w:szCs w:val="22"/>
                <w:lang w:val="en-GB"/>
              </w:rPr>
              <w:t>Development of  environmentally friendly (carbon-proofed) cross-border transport initiatives and innovative solutions ;</w:t>
            </w:r>
          </w:p>
        </w:tc>
        <w:tc>
          <w:tcPr>
            <w:tcW w:w="1800" w:type="dxa"/>
            <w:shd w:val="clear" w:color="auto" w:fill="auto"/>
          </w:tcPr>
          <w:p w:rsidR="00511045" w:rsidRDefault="00511045" w:rsidP="002E01ED">
            <w:pPr>
              <w:rPr>
                <w:sz w:val="22"/>
                <w:szCs w:val="22"/>
                <w:lang w:val="en-GB" w:eastAsia="en-US"/>
              </w:rPr>
            </w:pPr>
            <w:r>
              <w:rPr>
                <w:sz w:val="22"/>
                <w:szCs w:val="22"/>
                <w:lang w:val="en-GB" w:eastAsia="en-US"/>
              </w:rPr>
              <w:t>Air</w:t>
            </w:r>
          </w:p>
          <w:p w:rsidR="00511045" w:rsidRDefault="00511045" w:rsidP="002E01ED">
            <w:pPr>
              <w:rPr>
                <w:sz w:val="22"/>
                <w:szCs w:val="22"/>
                <w:lang w:val="en-GB" w:eastAsia="en-US"/>
              </w:rPr>
            </w:pPr>
            <w:r>
              <w:rPr>
                <w:sz w:val="22"/>
                <w:szCs w:val="22"/>
                <w:lang w:val="en-GB" w:eastAsia="en-US"/>
              </w:rPr>
              <w:t>Water</w:t>
            </w:r>
          </w:p>
          <w:p w:rsidR="00511045" w:rsidRDefault="00511045" w:rsidP="002E01ED">
            <w:pPr>
              <w:rPr>
                <w:sz w:val="22"/>
                <w:szCs w:val="22"/>
                <w:lang w:val="en-GB" w:eastAsia="en-US"/>
              </w:rPr>
            </w:pPr>
            <w:r>
              <w:rPr>
                <w:sz w:val="22"/>
                <w:szCs w:val="22"/>
                <w:lang w:val="en-GB" w:eastAsia="en-US"/>
              </w:rPr>
              <w:t>Soil</w:t>
            </w:r>
          </w:p>
          <w:p w:rsidR="00511045" w:rsidRDefault="00511045" w:rsidP="002E01ED">
            <w:pPr>
              <w:rPr>
                <w:sz w:val="22"/>
                <w:szCs w:val="22"/>
                <w:lang w:val="en-GB" w:eastAsia="en-US"/>
              </w:rPr>
            </w:pPr>
            <w:r>
              <w:rPr>
                <w:sz w:val="22"/>
                <w:szCs w:val="22"/>
                <w:lang w:val="en-GB" w:eastAsia="en-US"/>
              </w:rPr>
              <w:t>Waste</w:t>
            </w:r>
          </w:p>
          <w:p w:rsidR="00511045" w:rsidRDefault="00511045" w:rsidP="002E01ED">
            <w:pPr>
              <w:rPr>
                <w:sz w:val="22"/>
                <w:szCs w:val="22"/>
                <w:lang w:val="en-GB" w:eastAsia="en-US"/>
              </w:rPr>
            </w:pPr>
            <w:r>
              <w:rPr>
                <w:sz w:val="22"/>
                <w:szCs w:val="22"/>
                <w:lang w:val="en-GB" w:eastAsia="en-US"/>
              </w:rPr>
              <w:t>Management Biodiversity</w:t>
            </w:r>
          </w:p>
        </w:tc>
        <w:tc>
          <w:tcPr>
            <w:tcW w:w="1618" w:type="dxa"/>
            <w:shd w:val="clear" w:color="auto" w:fill="auto"/>
          </w:tcPr>
          <w:p w:rsidR="00511045" w:rsidRDefault="00511045" w:rsidP="002E01ED">
            <w:r>
              <w:rPr>
                <w:sz w:val="22"/>
                <w:szCs w:val="22"/>
                <w:lang w:val="en-GB"/>
              </w:rPr>
              <w:t>Positive</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110" w:name="_Toc413833804"/>
            <w:bookmarkStart w:id="111" w:name="_Toc414266928"/>
            <w:r>
              <w:rPr>
                <w:sz w:val="22"/>
                <w:szCs w:val="22"/>
                <w:lang w:val="en-GB" w:eastAsia="en-US"/>
              </w:rPr>
              <w:t>3.</w:t>
            </w:r>
            <w:bookmarkEnd w:id="110"/>
            <w:bookmarkEnd w:id="111"/>
          </w:p>
        </w:tc>
        <w:tc>
          <w:tcPr>
            <w:tcW w:w="5749" w:type="dxa"/>
            <w:shd w:val="clear" w:color="auto" w:fill="auto"/>
          </w:tcPr>
          <w:p w:rsidR="00511045" w:rsidRDefault="00511045" w:rsidP="002E01ED">
            <w:pPr>
              <w:jc w:val="both"/>
              <w:rPr>
                <w:rFonts w:cs="Arial"/>
                <w:sz w:val="22"/>
                <w:szCs w:val="22"/>
                <w:lang w:val="en-GB"/>
              </w:rPr>
            </w:pPr>
            <w:r>
              <w:rPr>
                <w:rFonts w:eastAsia="EUAlbertina-Regular-Identity-H" w:cs="Arial"/>
                <w:sz w:val="22"/>
                <w:szCs w:val="22"/>
                <w:lang w:val="en-GB"/>
              </w:rPr>
              <w:t>Improvements of multimode transport (road/water) facilities of cross-border interest;</w:t>
            </w:r>
          </w:p>
        </w:tc>
        <w:tc>
          <w:tcPr>
            <w:tcW w:w="1800" w:type="dxa"/>
            <w:shd w:val="clear" w:color="auto" w:fill="auto"/>
          </w:tcPr>
          <w:p w:rsidR="00511045" w:rsidRDefault="00511045" w:rsidP="002E01ED">
            <w:pPr>
              <w:rPr>
                <w:sz w:val="22"/>
                <w:szCs w:val="22"/>
                <w:lang w:val="en-GB" w:eastAsia="en-US"/>
              </w:rPr>
            </w:pPr>
            <w:r>
              <w:rPr>
                <w:sz w:val="22"/>
                <w:szCs w:val="22"/>
                <w:lang w:val="en-GB" w:eastAsia="en-US"/>
              </w:rPr>
              <w:t>Air</w:t>
            </w:r>
          </w:p>
          <w:p w:rsidR="00511045" w:rsidRDefault="00511045" w:rsidP="002E01ED">
            <w:pPr>
              <w:rPr>
                <w:sz w:val="22"/>
                <w:szCs w:val="22"/>
                <w:lang w:val="en-GB" w:eastAsia="en-US"/>
              </w:rPr>
            </w:pPr>
            <w:r>
              <w:rPr>
                <w:sz w:val="22"/>
                <w:szCs w:val="22"/>
                <w:lang w:val="en-GB" w:eastAsia="en-US"/>
              </w:rPr>
              <w:t>Water</w:t>
            </w:r>
          </w:p>
          <w:p w:rsidR="00511045" w:rsidRDefault="00511045" w:rsidP="002E01ED">
            <w:pPr>
              <w:rPr>
                <w:sz w:val="22"/>
                <w:szCs w:val="22"/>
                <w:lang w:val="en-GB" w:eastAsia="en-US"/>
              </w:rPr>
            </w:pPr>
            <w:r>
              <w:rPr>
                <w:sz w:val="22"/>
                <w:szCs w:val="22"/>
                <w:lang w:val="en-GB" w:eastAsia="en-US"/>
              </w:rPr>
              <w:t>Soil</w:t>
            </w:r>
          </w:p>
          <w:p w:rsidR="00511045" w:rsidRDefault="00511045" w:rsidP="002E01ED">
            <w:pPr>
              <w:rPr>
                <w:sz w:val="22"/>
                <w:szCs w:val="22"/>
                <w:lang w:val="en-GB" w:eastAsia="en-US"/>
              </w:rPr>
            </w:pPr>
            <w:r>
              <w:rPr>
                <w:sz w:val="22"/>
                <w:szCs w:val="22"/>
                <w:lang w:val="en-GB" w:eastAsia="en-US"/>
              </w:rPr>
              <w:t>Waste</w:t>
            </w:r>
          </w:p>
          <w:p w:rsidR="00511045" w:rsidRDefault="00511045" w:rsidP="002E01ED">
            <w:pPr>
              <w:rPr>
                <w:sz w:val="22"/>
                <w:szCs w:val="22"/>
                <w:lang w:val="en-GB" w:eastAsia="en-US"/>
              </w:rPr>
            </w:pPr>
            <w:r>
              <w:rPr>
                <w:sz w:val="22"/>
                <w:szCs w:val="22"/>
                <w:lang w:val="en-GB" w:eastAsia="en-US"/>
              </w:rPr>
              <w:t>Management Biodiversity</w:t>
            </w:r>
          </w:p>
        </w:tc>
        <w:tc>
          <w:tcPr>
            <w:tcW w:w="1618" w:type="dxa"/>
            <w:shd w:val="clear" w:color="auto" w:fill="auto"/>
          </w:tcPr>
          <w:p w:rsidR="00511045" w:rsidRDefault="00511045" w:rsidP="002E01ED">
            <w:r>
              <w:rPr>
                <w:sz w:val="22"/>
                <w:szCs w:val="22"/>
                <w:lang w:val="en-GB"/>
              </w:rPr>
              <w:t>Positive</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112" w:name="_Toc413833811"/>
            <w:bookmarkStart w:id="113" w:name="_Toc414266935"/>
            <w:r>
              <w:rPr>
                <w:sz w:val="22"/>
                <w:szCs w:val="22"/>
                <w:lang w:val="en-GB" w:eastAsia="en-US"/>
              </w:rPr>
              <w:t>4.</w:t>
            </w:r>
            <w:bookmarkEnd w:id="112"/>
            <w:bookmarkEnd w:id="113"/>
          </w:p>
        </w:tc>
        <w:tc>
          <w:tcPr>
            <w:tcW w:w="5749" w:type="dxa"/>
            <w:shd w:val="clear" w:color="auto" w:fill="auto"/>
          </w:tcPr>
          <w:p w:rsidR="00511045" w:rsidRDefault="00511045" w:rsidP="002E01ED">
            <w:pPr>
              <w:jc w:val="both"/>
              <w:rPr>
                <w:rFonts w:cs="Arial"/>
                <w:sz w:val="22"/>
                <w:szCs w:val="22"/>
                <w:lang w:val="en-GB"/>
              </w:rPr>
            </w:pPr>
            <w:r>
              <w:rPr>
                <w:rFonts w:eastAsia="EUAlbertina-Regular-Identity-H" w:cs="Arial"/>
                <w:sz w:val="22"/>
                <w:szCs w:val="22"/>
                <w:lang w:val="en-GB"/>
              </w:rPr>
              <w:t>Reconstruction, rehabilitation, widening of cross-border (segments of) roads connecting settlements alongside the border with main road, which leads to the border;</w:t>
            </w:r>
          </w:p>
        </w:tc>
        <w:tc>
          <w:tcPr>
            <w:tcW w:w="1800" w:type="dxa"/>
            <w:shd w:val="clear" w:color="auto" w:fill="auto"/>
          </w:tcPr>
          <w:p w:rsidR="00511045" w:rsidRDefault="00511045" w:rsidP="002E01ED">
            <w:pPr>
              <w:rPr>
                <w:sz w:val="22"/>
                <w:szCs w:val="22"/>
                <w:lang w:val="en-GB" w:eastAsia="en-US"/>
              </w:rPr>
            </w:pPr>
            <w:r>
              <w:rPr>
                <w:sz w:val="22"/>
                <w:szCs w:val="22"/>
                <w:lang w:val="en-GB" w:eastAsia="en-US"/>
              </w:rPr>
              <w:t>Air</w:t>
            </w:r>
          </w:p>
          <w:p w:rsidR="00511045" w:rsidRDefault="00511045" w:rsidP="002E01ED">
            <w:pPr>
              <w:rPr>
                <w:sz w:val="22"/>
                <w:szCs w:val="22"/>
                <w:lang w:val="en-GB" w:eastAsia="en-US"/>
              </w:rPr>
            </w:pPr>
            <w:r>
              <w:rPr>
                <w:sz w:val="22"/>
                <w:szCs w:val="22"/>
                <w:lang w:val="en-GB" w:eastAsia="en-US"/>
              </w:rPr>
              <w:t>Water</w:t>
            </w:r>
          </w:p>
          <w:p w:rsidR="00511045" w:rsidRDefault="00511045" w:rsidP="002E01ED">
            <w:pPr>
              <w:rPr>
                <w:sz w:val="22"/>
                <w:szCs w:val="22"/>
                <w:lang w:val="en-GB" w:eastAsia="en-US"/>
              </w:rPr>
            </w:pPr>
            <w:r>
              <w:rPr>
                <w:sz w:val="22"/>
                <w:szCs w:val="22"/>
                <w:lang w:val="en-GB" w:eastAsia="en-US"/>
              </w:rPr>
              <w:t>Soil</w:t>
            </w:r>
          </w:p>
          <w:p w:rsidR="00511045" w:rsidDel="006C1199" w:rsidRDefault="00511045" w:rsidP="002E01ED">
            <w:pPr>
              <w:rPr>
                <w:sz w:val="22"/>
                <w:szCs w:val="22"/>
                <w:lang w:val="en-GB" w:eastAsia="en-US"/>
              </w:rPr>
            </w:pPr>
            <w:r>
              <w:rPr>
                <w:sz w:val="22"/>
                <w:szCs w:val="22"/>
                <w:lang w:val="en-GB" w:eastAsia="en-US"/>
              </w:rPr>
              <w:lastRenderedPageBreak/>
              <w:t>Biodiversity</w:t>
            </w:r>
            <w:bookmarkStart w:id="114" w:name="_Toc413833815"/>
            <w:bookmarkStart w:id="115" w:name="_Toc414266939"/>
            <w:r>
              <w:rPr>
                <w:sz w:val="22"/>
                <w:szCs w:val="22"/>
                <w:lang w:val="en-GB" w:eastAsia="en-US"/>
              </w:rPr>
              <w:t xml:space="preserve"> </w:t>
            </w:r>
          </w:p>
          <w:bookmarkEnd w:id="114"/>
          <w:bookmarkEnd w:id="115"/>
          <w:p w:rsidR="00511045" w:rsidRDefault="00511045" w:rsidP="002E01ED">
            <w:pPr>
              <w:rPr>
                <w:sz w:val="22"/>
                <w:szCs w:val="22"/>
                <w:lang w:val="en-GB" w:eastAsia="en-US"/>
              </w:rPr>
            </w:pPr>
          </w:p>
        </w:tc>
        <w:tc>
          <w:tcPr>
            <w:tcW w:w="1618" w:type="dxa"/>
            <w:shd w:val="clear" w:color="auto" w:fill="auto"/>
          </w:tcPr>
          <w:p w:rsidR="00511045" w:rsidRDefault="00511045" w:rsidP="002E01ED">
            <w:r>
              <w:rPr>
                <w:sz w:val="22"/>
                <w:szCs w:val="22"/>
                <w:lang w:val="en-GB"/>
              </w:rPr>
              <w:lastRenderedPageBreak/>
              <w:t>Positive</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116" w:name="_Toc413833818"/>
            <w:bookmarkStart w:id="117" w:name="_Toc414266942"/>
            <w:r>
              <w:rPr>
                <w:sz w:val="22"/>
                <w:szCs w:val="22"/>
                <w:lang w:val="en-GB" w:eastAsia="en-US"/>
              </w:rPr>
              <w:lastRenderedPageBreak/>
              <w:t>5.</w:t>
            </w:r>
            <w:bookmarkEnd w:id="116"/>
            <w:bookmarkEnd w:id="117"/>
          </w:p>
        </w:tc>
        <w:tc>
          <w:tcPr>
            <w:tcW w:w="5749" w:type="dxa"/>
            <w:shd w:val="clear" w:color="auto" w:fill="auto"/>
          </w:tcPr>
          <w:p w:rsidR="00511045" w:rsidRDefault="00511045" w:rsidP="002E01ED">
            <w:pPr>
              <w:jc w:val="both"/>
              <w:rPr>
                <w:rFonts w:cs="Arial"/>
                <w:sz w:val="22"/>
                <w:szCs w:val="22"/>
                <w:lang w:val="en-GB"/>
              </w:rPr>
            </w:pPr>
            <w:r>
              <w:rPr>
                <w:rFonts w:eastAsia="EUAlbertina-Regular-Identity-H" w:cs="Arial"/>
                <w:sz w:val="22"/>
                <w:szCs w:val="22"/>
                <w:lang w:val="en-GB"/>
              </w:rPr>
              <w:t xml:space="preserve">Improvement/restoration/construction of (segments of) access roads  to centres of cross-border interest; </w:t>
            </w:r>
          </w:p>
        </w:tc>
        <w:tc>
          <w:tcPr>
            <w:tcW w:w="1800" w:type="dxa"/>
            <w:shd w:val="clear" w:color="auto" w:fill="auto"/>
          </w:tcPr>
          <w:p w:rsidR="00511045" w:rsidRDefault="00511045" w:rsidP="002E01ED">
            <w:pPr>
              <w:rPr>
                <w:sz w:val="22"/>
                <w:szCs w:val="22"/>
                <w:lang w:val="en-GB" w:eastAsia="en-US"/>
              </w:rPr>
            </w:pPr>
            <w:r>
              <w:rPr>
                <w:sz w:val="22"/>
                <w:szCs w:val="22"/>
                <w:lang w:val="en-GB" w:eastAsia="en-US"/>
              </w:rPr>
              <w:t>Air</w:t>
            </w:r>
          </w:p>
          <w:p w:rsidR="00511045" w:rsidRDefault="00511045" w:rsidP="002E01ED">
            <w:pPr>
              <w:rPr>
                <w:sz w:val="22"/>
                <w:szCs w:val="22"/>
                <w:lang w:val="en-GB" w:eastAsia="en-US"/>
              </w:rPr>
            </w:pPr>
            <w:r>
              <w:rPr>
                <w:sz w:val="22"/>
                <w:szCs w:val="22"/>
                <w:lang w:val="en-GB" w:eastAsia="en-US"/>
              </w:rPr>
              <w:t>Water</w:t>
            </w:r>
          </w:p>
          <w:p w:rsidR="00511045" w:rsidRDefault="00511045" w:rsidP="002E01ED">
            <w:pPr>
              <w:rPr>
                <w:sz w:val="22"/>
                <w:szCs w:val="22"/>
                <w:lang w:val="en-GB" w:eastAsia="en-US"/>
              </w:rPr>
            </w:pPr>
            <w:r>
              <w:rPr>
                <w:sz w:val="22"/>
                <w:szCs w:val="22"/>
                <w:lang w:val="en-GB" w:eastAsia="en-US"/>
              </w:rPr>
              <w:t>Soil</w:t>
            </w:r>
          </w:p>
          <w:p w:rsidR="00511045" w:rsidRDefault="00511045" w:rsidP="002E01ED">
            <w:pPr>
              <w:rPr>
                <w:sz w:val="22"/>
                <w:szCs w:val="22"/>
                <w:lang w:val="en-GB" w:eastAsia="en-US"/>
              </w:rPr>
            </w:pPr>
            <w:r>
              <w:rPr>
                <w:sz w:val="22"/>
                <w:szCs w:val="22"/>
                <w:lang w:val="en-GB" w:eastAsia="en-US"/>
              </w:rPr>
              <w:t>Climatic change Biodiversity</w:t>
            </w:r>
          </w:p>
        </w:tc>
        <w:tc>
          <w:tcPr>
            <w:tcW w:w="1618" w:type="dxa"/>
            <w:shd w:val="clear" w:color="auto" w:fill="auto"/>
          </w:tcPr>
          <w:p w:rsidR="00511045" w:rsidRDefault="00511045" w:rsidP="002E01ED">
            <w:pPr>
              <w:rPr>
                <w:sz w:val="22"/>
                <w:szCs w:val="22"/>
                <w:lang w:val="en-GB" w:eastAsia="en-US"/>
              </w:rPr>
            </w:pPr>
            <w:r>
              <w:rPr>
                <w:sz w:val="22"/>
                <w:szCs w:val="22"/>
                <w:lang w:val="en-GB" w:eastAsia="en-US"/>
              </w:rPr>
              <w:t>Positive</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118" w:name="_Toc413833825"/>
            <w:bookmarkStart w:id="119" w:name="_Toc414266949"/>
            <w:r>
              <w:rPr>
                <w:sz w:val="22"/>
                <w:szCs w:val="22"/>
                <w:lang w:val="en-GB" w:eastAsia="en-US"/>
              </w:rPr>
              <w:t>6.</w:t>
            </w:r>
            <w:bookmarkEnd w:id="118"/>
            <w:bookmarkEnd w:id="119"/>
          </w:p>
        </w:tc>
        <w:tc>
          <w:tcPr>
            <w:tcW w:w="5749" w:type="dxa"/>
            <w:shd w:val="clear" w:color="auto" w:fill="auto"/>
          </w:tcPr>
          <w:p w:rsidR="00511045" w:rsidRDefault="00511045" w:rsidP="002E01ED">
            <w:pPr>
              <w:jc w:val="both"/>
              <w:rPr>
                <w:rFonts w:cs="Arial"/>
                <w:sz w:val="22"/>
                <w:szCs w:val="22"/>
                <w:lang w:val="en-GB"/>
              </w:rPr>
            </w:pPr>
            <w:r>
              <w:rPr>
                <w:rFonts w:eastAsia="EUAlbertina-Regular-Identity-H" w:cs="Arial"/>
                <w:sz w:val="22"/>
                <w:szCs w:val="22"/>
                <w:lang w:val="en-GB"/>
              </w:rPr>
              <w:t>Elaboration of joint strategies/policies/plans for improving the cross-border transport infrastructure;</w:t>
            </w:r>
          </w:p>
        </w:tc>
        <w:tc>
          <w:tcPr>
            <w:tcW w:w="1800" w:type="dxa"/>
            <w:shd w:val="clear" w:color="auto" w:fill="auto"/>
            <w:vAlign w:val="center"/>
          </w:tcPr>
          <w:p w:rsidR="00511045" w:rsidRDefault="00511045" w:rsidP="002E01ED">
            <w:pPr>
              <w:jc w:val="center"/>
            </w:pPr>
            <w:r>
              <w:rPr>
                <w:sz w:val="22"/>
                <w:szCs w:val="22"/>
                <w:lang w:val="en-GB" w:eastAsia="en-US"/>
              </w:rPr>
              <w:t>Is not the case</w:t>
            </w:r>
          </w:p>
        </w:tc>
        <w:tc>
          <w:tcPr>
            <w:tcW w:w="1618"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120" w:name="_Toc413833828"/>
            <w:bookmarkStart w:id="121" w:name="_Toc414266952"/>
            <w:r>
              <w:rPr>
                <w:sz w:val="22"/>
                <w:szCs w:val="22"/>
                <w:lang w:val="en-GB" w:eastAsia="en-US"/>
              </w:rPr>
              <w:t>7.</w:t>
            </w:r>
            <w:bookmarkEnd w:id="120"/>
            <w:bookmarkEnd w:id="121"/>
          </w:p>
        </w:tc>
        <w:tc>
          <w:tcPr>
            <w:tcW w:w="5749" w:type="dxa"/>
            <w:shd w:val="clear" w:color="auto" w:fill="auto"/>
          </w:tcPr>
          <w:p w:rsidR="00511045" w:rsidRDefault="00511045" w:rsidP="002E01ED">
            <w:pPr>
              <w:jc w:val="both"/>
              <w:rPr>
                <w:rFonts w:cs="Arial"/>
                <w:sz w:val="22"/>
                <w:szCs w:val="22"/>
                <w:lang w:val="en-GB"/>
              </w:rPr>
            </w:pPr>
            <w:r>
              <w:rPr>
                <w:rFonts w:eastAsia="EUAlbertina-Regular-Identity-H" w:cs="Arial"/>
                <w:sz w:val="22"/>
                <w:szCs w:val="22"/>
                <w:lang w:val="en-GB"/>
              </w:rPr>
              <w:t xml:space="preserve">Development of cross-border connections, information and integrated communications network and services; </w:t>
            </w:r>
          </w:p>
        </w:tc>
        <w:tc>
          <w:tcPr>
            <w:tcW w:w="1800" w:type="dxa"/>
            <w:shd w:val="clear" w:color="auto" w:fill="auto"/>
            <w:vAlign w:val="center"/>
          </w:tcPr>
          <w:p w:rsidR="00511045" w:rsidRDefault="00511045" w:rsidP="002E01ED">
            <w:pPr>
              <w:jc w:val="center"/>
            </w:pPr>
            <w:r>
              <w:rPr>
                <w:sz w:val="22"/>
                <w:szCs w:val="22"/>
                <w:lang w:val="en-GB" w:eastAsia="en-US"/>
              </w:rPr>
              <w:t>Is not the case</w:t>
            </w:r>
          </w:p>
        </w:tc>
        <w:tc>
          <w:tcPr>
            <w:tcW w:w="1618"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rPr>
          <w:jc w:val="center"/>
        </w:trPr>
        <w:tc>
          <w:tcPr>
            <w:tcW w:w="571" w:type="dxa"/>
            <w:shd w:val="clear" w:color="auto" w:fill="auto"/>
          </w:tcPr>
          <w:p w:rsidR="00511045" w:rsidRDefault="00511045" w:rsidP="002E01ED">
            <w:pPr>
              <w:rPr>
                <w:sz w:val="22"/>
                <w:szCs w:val="22"/>
                <w:lang w:val="en-GB" w:eastAsia="en-US"/>
              </w:rPr>
            </w:pPr>
            <w:bookmarkStart w:id="122" w:name="_Toc413833831"/>
            <w:bookmarkStart w:id="123" w:name="_Toc414266955"/>
            <w:r>
              <w:rPr>
                <w:sz w:val="22"/>
                <w:szCs w:val="22"/>
                <w:lang w:val="en-GB" w:eastAsia="en-US"/>
              </w:rPr>
              <w:t>8.</w:t>
            </w:r>
            <w:bookmarkEnd w:id="122"/>
            <w:bookmarkEnd w:id="123"/>
          </w:p>
        </w:tc>
        <w:tc>
          <w:tcPr>
            <w:tcW w:w="5749" w:type="dxa"/>
            <w:shd w:val="clear" w:color="auto" w:fill="auto"/>
          </w:tcPr>
          <w:p w:rsidR="00511045" w:rsidRDefault="00511045" w:rsidP="002E01ED">
            <w:pPr>
              <w:jc w:val="both"/>
              <w:rPr>
                <w:rFonts w:cs="Arial"/>
                <w:sz w:val="22"/>
                <w:szCs w:val="22"/>
                <w:lang w:val="en-GB"/>
              </w:rPr>
            </w:pPr>
            <w:r>
              <w:rPr>
                <w:rFonts w:eastAsia="EUAlbertina-Regular-Identity-H" w:cs="Arial"/>
                <w:sz w:val="22"/>
                <w:szCs w:val="22"/>
                <w:lang w:val="en-GB"/>
              </w:rPr>
              <w:t>Upgrading existing facilities to enable linkages between communities and public services which promote co-operation on a cross-border and wider international basis;</w:t>
            </w:r>
          </w:p>
        </w:tc>
        <w:tc>
          <w:tcPr>
            <w:tcW w:w="1800" w:type="dxa"/>
            <w:shd w:val="clear" w:color="auto" w:fill="auto"/>
            <w:vAlign w:val="center"/>
          </w:tcPr>
          <w:p w:rsidR="00511045" w:rsidRDefault="00511045" w:rsidP="002E01ED">
            <w:pPr>
              <w:jc w:val="center"/>
            </w:pPr>
            <w:r>
              <w:rPr>
                <w:sz w:val="22"/>
                <w:szCs w:val="22"/>
                <w:lang w:val="en-GB" w:eastAsia="en-US"/>
              </w:rPr>
              <w:t>Is not the case</w:t>
            </w:r>
          </w:p>
        </w:tc>
        <w:tc>
          <w:tcPr>
            <w:tcW w:w="1618" w:type="dxa"/>
            <w:shd w:val="clear" w:color="auto" w:fill="auto"/>
            <w:vAlign w:val="center"/>
          </w:tcPr>
          <w:p w:rsidR="00511045" w:rsidRDefault="00511045" w:rsidP="002E01ED">
            <w:pPr>
              <w:jc w:val="center"/>
            </w:pPr>
            <w:r>
              <w:rPr>
                <w:sz w:val="22"/>
                <w:szCs w:val="22"/>
                <w:lang w:val="en-GB" w:eastAsia="en-US"/>
              </w:rPr>
              <w:t>Indirectly</w:t>
            </w:r>
          </w:p>
        </w:tc>
      </w:tr>
    </w:tbl>
    <w:p w:rsidR="00511045" w:rsidRDefault="00511045" w:rsidP="00511045">
      <w:pPr>
        <w:spacing w:before="60" w:after="60" w:line="288" w:lineRule="auto"/>
        <w:ind w:left="720"/>
        <w:jc w:val="both"/>
        <w:rPr>
          <w:rFonts w:eastAsia="EUAlbertina-Regular-Identity-H"/>
          <w:bCs/>
          <w:lang w:val="en-GB" w:eastAsia="en-US"/>
        </w:rPr>
      </w:pPr>
    </w:p>
    <w:p w:rsidR="00511045" w:rsidRDefault="00511045" w:rsidP="00511045">
      <w:pPr>
        <w:spacing w:before="60" w:after="60" w:line="288" w:lineRule="auto"/>
        <w:jc w:val="both"/>
        <w:rPr>
          <w:rFonts w:cs="Arial"/>
          <w:b/>
          <w:lang w:val="en-GB" w:eastAsia="en-US"/>
        </w:rPr>
      </w:pPr>
      <w:r>
        <w:rPr>
          <w:rFonts w:cs="Arial"/>
          <w:b/>
          <w:lang w:val="en-GB" w:eastAsia="en-US"/>
        </w:rPr>
        <w:t>TO8 - COMMON CHALLENGES IN THE FIELD OF SAFETY AND SECURITY</w:t>
      </w:r>
    </w:p>
    <w:p w:rsidR="00511045" w:rsidRDefault="00511045" w:rsidP="00511045">
      <w:pPr>
        <w:spacing w:before="60" w:after="60" w:line="288" w:lineRule="auto"/>
        <w:jc w:val="both"/>
        <w:rPr>
          <w:rFonts w:cs="Arial"/>
          <w:i/>
          <w:lang w:val="en-GB" w:eastAsia="en-US"/>
        </w:rPr>
      </w:pPr>
      <w:r>
        <w:rPr>
          <w:rFonts w:cs="Arial"/>
          <w:b/>
          <w:bCs/>
          <w:i/>
          <w:iCs/>
          <w:lang w:val="en-GB" w:eastAsia="en-US"/>
        </w:rPr>
        <w:t xml:space="preserve">Objective 4:  </w:t>
      </w:r>
      <w:r>
        <w:rPr>
          <w:rFonts w:cs="Arial"/>
          <w:i/>
          <w:lang w:val="en-GB" w:eastAsia="en-US"/>
        </w:rPr>
        <w:t>Addressing common challenges in cross-border security, access to health,  management of natural and anthropic risks and emergency situations through joint projects</w:t>
      </w:r>
    </w:p>
    <w:p w:rsidR="00511045" w:rsidRDefault="00511045" w:rsidP="00511045">
      <w:pPr>
        <w:spacing w:before="60" w:after="60" w:line="288" w:lineRule="auto"/>
        <w:jc w:val="both"/>
        <w:rPr>
          <w:rFonts w:cs="Arial"/>
          <w:b/>
          <w:bCs/>
          <w:iCs/>
          <w:lang w:val="en-GB" w:eastAsia="en-US"/>
        </w:rPr>
      </w:pPr>
      <w:r>
        <w:rPr>
          <w:rFonts w:cs="Arial"/>
          <w:b/>
          <w:bCs/>
          <w:iCs/>
          <w:lang w:val="en-GB" w:eastAsia="en-US"/>
        </w:rPr>
        <w:t>Priority 4.1 - Support to the development of health services and access to health</w:t>
      </w:r>
    </w:p>
    <w:tbl>
      <w:tblPr>
        <w:tblW w:w="9738"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6194"/>
        <w:gridCol w:w="1745"/>
        <w:gridCol w:w="1228"/>
      </w:tblGrid>
      <w:tr w:rsidR="00511045" w:rsidTr="002E01ED">
        <w:tc>
          <w:tcPr>
            <w:tcW w:w="571" w:type="dxa"/>
            <w:shd w:val="clear" w:color="auto" w:fill="auto"/>
            <w:vAlign w:val="center"/>
          </w:tcPr>
          <w:p w:rsidR="00511045" w:rsidRDefault="00511045" w:rsidP="002E01ED">
            <w:pPr>
              <w:rPr>
                <w:b/>
                <w:sz w:val="22"/>
                <w:szCs w:val="22"/>
                <w:lang w:val="en-GB" w:eastAsia="en-US"/>
              </w:rPr>
            </w:pPr>
            <w:r>
              <w:rPr>
                <w:b/>
                <w:sz w:val="22"/>
                <w:szCs w:val="22"/>
                <w:lang w:val="en-GB" w:eastAsia="en-US"/>
              </w:rPr>
              <w:t>No. crt.</w:t>
            </w:r>
          </w:p>
        </w:tc>
        <w:tc>
          <w:tcPr>
            <w:tcW w:w="6194" w:type="dxa"/>
            <w:shd w:val="clear" w:color="auto" w:fill="auto"/>
            <w:vAlign w:val="center"/>
          </w:tcPr>
          <w:p w:rsidR="00511045" w:rsidRDefault="00511045" w:rsidP="002E01ED">
            <w:pPr>
              <w:rPr>
                <w:b/>
                <w:sz w:val="22"/>
                <w:szCs w:val="22"/>
                <w:lang w:val="en-GB" w:eastAsia="en-US"/>
              </w:rPr>
            </w:pPr>
            <w:r>
              <w:rPr>
                <w:b/>
                <w:sz w:val="22"/>
                <w:szCs w:val="22"/>
                <w:lang w:val="en-GB" w:eastAsia="en-US"/>
              </w:rPr>
              <w:t xml:space="preserve">Indicative activities </w:t>
            </w:r>
          </w:p>
        </w:tc>
        <w:tc>
          <w:tcPr>
            <w:tcW w:w="1745" w:type="dxa"/>
            <w:shd w:val="clear" w:color="auto" w:fill="auto"/>
            <w:vAlign w:val="center"/>
          </w:tcPr>
          <w:p w:rsidR="00511045" w:rsidRDefault="00511045" w:rsidP="002E01ED">
            <w:pPr>
              <w:rPr>
                <w:b/>
                <w:sz w:val="22"/>
                <w:szCs w:val="22"/>
                <w:lang w:val="en-GB" w:eastAsia="en-US"/>
              </w:rPr>
            </w:pPr>
            <w:r>
              <w:rPr>
                <w:b/>
                <w:sz w:val="22"/>
                <w:szCs w:val="22"/>
                <w:lang w:val="en-GB" w:eastAsia="en-US"/>
              </w:rPr>
              <w:t>Environmental aspects and</w:t>
            </w:r>
          </w:p>
          <w:p w:rsidR="00511045" w:rsidRDefault="00511045" w:rsidP="002E01ED">
            <w:pPr>
              <w:rPr>
                <w:b/>
                <w:sz w:val="22"/>
                <w:szCs w:val="22"/>
                <w:lang w:val="en-GB" w:eastAsia="en-US"/>
              </w:rPr>
            </w:pPr>
            <w:r>
              <w:rPr>
                <w:b/>
                <w:sz w:val="22"/>
                <w:szCs w:val="22"/>
                <w:lang w:val="en-GB" w:eastAsia="en-US"/>
              </w:rPr>
              <w:t>objective considered</w:t>
            </w:r>
          </w:p>
        </w:tc>
        <w:tc>
          <w:tcPr>
            <w:tcW w:w="1228" w:type="dxa"/>
            <w:shd w:val="clear" w:color="auto" w:fill="auto"/>
            <w:vAlign w:val="center"/>
          </w:tcPr>
          <w:p w:rsidR="00511045" w:rsidRDefault="00511045" w:rsidP="002E01ED">
            <w:pPr>
              <w:rPr>
                <w:b/>
                <w:sz w:val="22"/>
                <w:szCs w:val="22"/>
                <w:lang w:val="en-GB" w:eastAsia="en-US"/>
              </w:rPr>
            </w:pPr>
            <w:r>
              <w:rPr>
                <w:b/>
                <w:sz w:val="22"/>
                <w:szCs w:val="22"/>
                <w:lang w:val="en-GB" w:eastAsia="en-US"/>
              </w:rPr>
              <w:t>Potential impact</w:t>
            </w:r>
          </w:p>
          <w:p w:rsidR="00511045" w:rsidRDefault="00511045" w:rsidP="002E01ED">
            <w:pPr>
              <w:rPr>
                <w:b/>
                <w:sz w:val="22"/>
                <w:szCs w:val="22"/>
                <w:lang w:val="en-GB" w:eastAsia="en-US"/>
              </w:rPr>
            </w:pPr>
          </w:p>
        </w:tc>
      </w:tr>
      <w:tr w:rsidR="00511045" w:rsidTr="002E01ED">
        <w:tc>
          <w:tcPr>
            <w:tcW w:w="571" w:type="dxa"/>
            <w:shd w:val="clear" w:color="auto" w:fill="auto"/>
          </w:tcPr>
          <w:p w:rsidR="00511045" w:rsidRDefault="00511045" w:rsidP="002E01ED">
            <w:pPr>
              <w:rPr>
                <w:sz w:val="22"/>
                <w:szCs w:val="22"/>
                <w:lang w:val="en-GB" w:eastAsia="en-US"/>
              </w:rPr>
            </w:pPr>
            <w:bookmarkStart w:id="124" w:name="_Toc413833850"/>
            <w:bookmarkStart w:id="125" w:name="_Toc414266974"/>
            <w:r>
              <w:rPr>
                <w:sz w:val="22"/>
                <w:szCs w:val="22"/>
                <w:lang w:val="en-GB" w:eastAsia="en-US"/>
              </w:rPr>
              <w:t>1.</w:t>
            </w:r>
            <w:bookmarkEnd w:id="124"/>
            <w:bookmarkEnd w:id="125"/>
          </w:p>
        </w:tc>
        <w:tc>
          <w:tcPr>
            <w:tcW w:w="6194" w:type="dxa"/>
            <w:shd w:val="clear" w:color="auto" w:fill="auto"/>
          </w:tcPr>
          <w:p w:rsidR="00511045" w:rsidRDefault="00511045" w:rsidP="002E01ED">
            <w:pPr>
              <w:jc w:val="both"/>
              <w:rPr>
                <w:rFonts w:cs="Arial"/>
                <w:bCs/>
                <w:iCs/>
                <w:sz w:val="22"/>
                <w:szCs w:val="22"/>
                <w:lang w:val="en-GB"/>
              </w:rPr>
            </w:pPr>
            <w:r>
              <w:rPr>
                <w:rFonts w:cs="Arial"/>
                <w:bCs/>
                <w:iCs/>
                <w:sz w:val="22"/>
                <w:szCs w:val="22"/>
                <w:lang w:val="en-GB"/>
              </w:rPr>
              <w:t>Joint activities meant to enhance the access to health in the border area through construction / rehabilitation / modernization of infrastructure of public health services (including through the use of renewable energy etc.);</w:t>
            </w:r>
          </w:p>
        </w:tc>
        <w:tc>
          <w:tcPr>
            <w:tcW w:w="1745" w:type="dxa"/>
            <w:shd w:val="clear" w:color="auto" w:fill="auto"/>
            <w:vAlign w:val="center"/>
          </w:tcPr>
          <w:p w:rsidR="00511045" w:rsidRDefault="00511045" w:rsidP="002E01ED">
            <w:pPr>
              <w:rPr>
                <w:sz w:val="22"/>
                <w:szCs w:val="22"/>
                <w:lang w:val="en-GB" w:eastAsia="en-US"/>
              </w:rPr>
            </w:pPr>
            <w:r>
              <w:rPr>
                <w:sz w:val="22"/>
                <w:szCs w:val="22"/>
                <w:lang w:val="en-GB" w:eastAsia="en-US"/>
              </w:rPr>
              <w:t>Air</w:t>
            </w:r>
          </w:p>
          <w:p w:rsidR="00511045" w:rsidRDefault="00511045" w:rsidP="002E01ED">
            <w:pPr>
              <w:rPr>
                <w:sz w:val="22"/>
                <w:szCs w:val="22"/>
                <w:lang w:val="en-GB" w:eastAsia="en-US"/>
              </w:rPr>
            </w:pPr>
            <w:r>
              <w:rPr>
                <w:sz w:val="22"/>
                <w:szCs w:val="22"/>
                <w:lang w:val="en-GB" w:eastAsia="en-US"/>
              </w:rPr>
              <w:t>Water</w:t>
            </w:r>
          </w:p>
          <w:p w:rsidR="00511045" w:rsidRDefault="00511045" w:rsidP="002E01ED">
            <w:pPr>
              <w:rPr>
                <w:sz w:val="22"/>
                <w:szCs w:val="22"/>
                <w:lang w:val="en-GB" w:eastAsia="en-US"/>
              </w:rPr>
            </w:pPr>
            <w:r>
              <w:rPr>
                <w:sz w:val="22"/>
                <w:szCs w:val="22"/>
                <w:lang w:val="en-GB" w:eastAsia="en-US"/>
              </w:rPr>
              <w:t>Soil</w:t>
            </w:r>
          </w:p>
          <w:p w:rsidR="00511045" w:rsidRDefault="00511045" w:rsidP="002E01ED">
            <w:pPr>
              <w:rPr>
                <w:sz w:val="22"/>
                <w:szCs w:val="22"/>
                <w:lang w:val="en-GB" w:eastAsia="en-US"/>
              </w:rPr>
            </w:pPr>
            <w:r>
              <w:rPr>
                <w:sz w:val="22"/>
                <w:szCs w:val="22"/>
                <w:lang w:val="en-GB" w:eastAsia="en-US"/>
              </w:rPr>
              <w:t>Climate change</w:t>
            </w:r>
          </w:p>
          <w:p w:rsidR="00511045" w:rsidRDefault="00511045" w:rsidP="002E01ED">
            <w:pPr>
              <w:rPr>
                <w:sz w:val="22"/>
                <w:szCs w:val="22"/>
                <w:lang w:val="en-GB" w:eastAsia="en-US"/>
              </w:rPr>
            </w:pPr>
            <w:r>
              <w:rPr>
                <w:sz w:val="22"/>
                <w:szCs w:val="22"/>
                <w:lang w:val="en-GB" w:eastAsia="en-US"/>
              </w:rPr>
              <w:t>Waste</w:t>
            </w:r>
          </w:p>
          <w:p w:rsidR="00511045" w:rsidRDefault="00511045" w:rsidP="002E01ED">
            <w:pPr>
              <w:rPr>
                <w:sz w:val="22"/>
                <w:szCs w:val="22"/>
                <w:lang w:val="en-GB" w:eastAsia="en-US"/>
              </w:rPr>
            </w:pPr>
            <w:r>
              <w:rPr>
                <w:sz w:val="22"/>
                <w:szCs w:val="22"/>
                <w:lang w:val="en-GB" w:eastAsia="en-US"/>
              </w:rPr>
              <w:t>Management Population and public health</w:t>
            </w:r>
          </w:p>
        </w:tc>
        <w:tc>
          <w:tcPr>
            <w:tcW w:w="1228" w:type="dxa"/>
            <w:shd w:val="clear" w:color="auto" w:fill="auto"/>
            <w:vAlign w:val="center"/>
          </w:tcPr>
          <w:p w:rsidR="00511045" w:rsidRDefault="00511045" w:rsidP="002E01ED">
            <w:pPr>
              <w:rPr>
                <w:sz w:val="22"/>
                <w:szCs w:val="22"/>
                <w:lang w:val="en-GB" w:eastAsia="en-US"/>
              </w:rPr>
            </w:pPr>
            <w:r>
              <w:rPr>
                <w:sz w:val="22"/>
                <w:szCs w:val="22"/>
                <w:lang w:val="en-GB" w:eastAsia="en-US"/>
              </w:rPr>
              <w:t>Positive</w:t>
            </w:r>
          </w:p>
        </w:tc>
      </w:tr>
      <w:tr w:rsidR="00511045" w:rsidTr="002E01ED">
        <w:tc>
          <w:tcPr>
            <w:tcW w:w="571" w:type="dxa"/>
            <w:shd w:val="clear" w:color="auto" w:fill="auto"/>
          </w:tcPr>
          <w:p w:rsidR="00511045" w:rsidRDefault="00511045" w:rsidP="002E01ED">
            <w:pPr>
              <w:rPr>
                <w:sz w:val="22"/>
                <w:szCs w:val="22"/>
                <w:lang w:val="en-GB" w:eastAsia="en-US"/>
              </w:rPr>
            </w:pPr>
            <w:bookmarkStart w:id="126" w:name="_Toc413833853"/>
            <w:bookmarkStart w:id="127" w:name="_Toc414266977"/>
            <w:r>
              <w:rPr>
                <w:sz w:val="22"/>
                <w:szCs w:val="22"/>
                <w:lang w:val="en-GB" w:eastAsia="en-US"/>
              </w:rPr>
              <w:t>2.</w:t>
            </w:r>
            <w:bookmarkEnd w:id="126"/>
            <w:bookmarkEnd w:id="127"/>
          </w:p>
        </w:tc>
        <w:tc>
          <w:tcPr>
            <w:tcW w:w="6194" w:type="dxa"/>
            <w:shd w:val="clear" w:color="auto" w:fill="auto"/>
          </w:tcPr>
          <w:p w:rsidR="00511045" w:rsidRDefault="00511045" w:rsidP="002E01ED">
            <w:pPr>
              <w:jc w:val="both"/>
              <w:rPr>
                <w:rFonts w:cs="Arial"/>
                <w:bCs/>
                <w:iCs/>
                <w:sz w:val="22"/>
                <w:szCs w:val="22"/>
                <w:lang w:val="en-GB"/>
              </w:rPr>
            </w:pPr>
            <w:r>
              <w:rPr>
                <w:rFonts w:cs="Arial"/>
                <w:bCs/>
                <w:iCs/>
                <w:sz w:val="22"/>
                <w:szCs w:val="22"/>
                <w:lang w:val="en-GB"/>
              </w:rPr>
              <w:t>Developing labs and mobile labs for screening / clinical monitoring of diseases and prevention of cross border epidemics;</w:t>
            </w:r>
          </w:p>
        </w:tc>
        <w:tc>
          <w:tcPr>
            <w:tcW w:w="1745" w:type="dxa"/>
            <w:shd w:val="clear" w:color="auto" w:fill="auto"/>
          </w:tcPr>
          <w:p w:rsidR="00511045" w:rsidRDefault="00511045" w:rsidP="002E01ED">
            <w:pPr>
              <w:rPr>
                <w:sz w:val="22"/>
                <w:szCs w:val="22"/>
                <w:lang w:val="en-GB" w:eastAsia="en-US"/>
              </w:rPr>
            </w:pPr>
            <w:r>
              <w:rPr>
                <w:sz w:val="22"/>
                <w:szCs w:val="22"/>
                <w:lang w:val="en-GB" w:eastAsia="en-US"/>
              </w:rPr>
              <w:t>Population and public health</w:t>
            </w:r>
          </w:p>
        </w:tc>
        <w:tc>
          <w:tcPr>
            <w:tcW w:w="1228" w:type="dxa"/>
            <w:shd w:val="clear" w:color="auto" w:fill="auto"/>
          </w:tcPr>
          <w:p w:rsidR="00511045" w:rsidRDefault="00511045" w:rsidP="002E01ED">
            <w:pPr>
              <w:rPr>
                <w:sz w:val="22"/>
                <w:szCs w:val="22"/>
                <w:lang w:val="en-GB" w:eastAsia="en-US"/>
              </w:rPr>
            </w:pPr>
            <w:bookmarkStart w:id="128" w:name="_Toc413833859"/>
            <w:bookmarkStart w:id="129" w:name="_Toc414266983"/>
            <w:r>
              <w:rPr>
                <w:sz w:val="22"/>
                <w:szCs w:val="22"/>
                <w:lang w:val="en-GB" w:eastAsia="en-US"/>
              </w:rPr>
              <w:t>Positiv</w:t>
            </w:r>
            <w:bookmarkEnd w:id="128"/>
            <w:bookmarkEnd w:id="129"/>
            <w:r>
              <w:rPr>
                <w:sz w:val="22"/>
                <w:szCs w:val="22"/>
                <w:lang w:val="en-GB" w:eastAsia="en-US"/>
              </w:rPr>
              <w:t>e</w:t>
            </w:r>
          </w:p>
        </w:tc>
      </w:tr>
      <w:tr w:rsidR="00511045" w:rsidTr="002E01ED">
        <w:tc>
          <w:tcPr>
            <w:tcW w:w="571" w:type="dxa"/>
            <w:shd w:val="clear" w:color="auto" w:fill="auto"/>
          </w:tcPr>
          <w:p w:rsidR="00511045" w:rsidRDefault="00511045" w:rsidP="002E01ED">
            <w:pPr>
              <w:rPr>
                <w:sz w:val="22"/>
                <w:szCs w:val="22"/>
                <w:lang w:val="en-GB" w:eastAsia="en-US"/>
              </w:rPr>
            </w:pPr>
            <w:bookmarkStart w:id="130" w:name="_Toc413833860"/>
            <w:bookmarkStart w:id="131" w:name="_Toc414266984"/>
            <w:r>
              <w:rPr>
                <w:sz w:val="22"/>
                <w:szCs w:val="22"/>
                <w:lang w:val="en-GB" w:eastAsia="en-US"/>
              </w:rPr>
              <w:t>3.</w:t>
            </w:r>
            <w:bookmarkEnd w:id="130"/>
            <w:bookmarkEnd w:id="131"/>
          </w:p>
        </w:tc>
        <w:tc>
          <w:tcPr>
            <w:tcW w:w="6194" w:type="dxa"/>
            <w:shd w:val="clear" w:color="auto" w:fill="auto"/>
          </w:tcPr>
          <w:p w:rsidR="00511045" w:rsidRDefault="00511045" w:rsidP="002E01ED">
            <w:pPr>
              <w:jc w:val="both"/>
              <w:rPr>
                <w:rFonts w:cs="Arial"/>
                <w:bCs/>
                <w:iCs/>
                <w:sz w:val="22"/>
                <w:szCs w:val="22"/>
                <w:lang w:val="en-GB"/>
              </w:rPr>
            </w:pPr>
            <w:r>
              <w:rPr>
                <w:rFonts w:cs="Arial"/>
                <w:bCs/>
                <w:iCs/>
                <w:sz w:val="22"/>
                <w:szCs w:val="22"/>
                <w:lang w:val="en-GB"/>
              </w:rPr>
              <w:t>Equipping specific public medical service infrastructure (outpatient, emergency room facilities, medical centres, integrated social intervention, etc.);</w:t>
            </w:r>
          </w:p>
        </w:tc>
        <w:tc>
          <w:tcPr>
            <w:tcW w:w="1745" w:type="dxa"/>
            <w:shd w:val="clear" w:color="auto" w:fill="auto"/>
            <w:vAlign w:val="center"/>
          </w:tcPr>
          <w:p w:rsidR="00511045" w:rsidRDefault="00511045" w:rsidP="002E01ED">
            <w:pPr>
              <w:jc w:val="center"/>
            </w:pPr>
            <w:r>
              <w:rPr>
                <w:sz w:val="22"/>
                <w:szCs w:val="22"/>
                <w:lang w:val="en-GB" w:eastAsia="en-US"/>
              </w:rPr>
              <w:t>Population and public health</w:t>
            </w:r>
          </w:p>
        </w:tc>
        <w:tc>
          <w:tcPr>
            <w:tcW w:w="1228" w:type="dxa"/>
            <w:shd w:val="clear" w:color="auto" w:fill="auto"/>
            <w:vAlign w:val="center"/>
          </w:tcPr>
          <w:p w:rsidR="00511045" w:rsidRDefault="00511045" w:rsidP="002E01ED">
            <w:pPr>
              <w:jc w:val="center"/>
            </w:pPr>
            <w:r>
              <w:rPr>
                <w:sz w:val="22"/>
                <w:szCs w:val="22"/>
                <w:lang w:val="en-GB" w:eastAsia="en-US"/>
              </w:rPr>
              <w:t>Positive</w:t>
            </w:r>
          </w:p>
        </w:tc>
      </w:tr>
      <w:tr w:rsidR="00511045" w:rsidTr="002E01ED">
        <w:tc>
          <w:tcPr>
            <w:tcW w:w="571" w:type="dxa"/>
            <w:shd w:val="clear" w:color="auto" w:fill="auto"/>
          </w:tcPr>
          <w:p w:rsidR="00511045" w:rsidRDefault="00511045" w:rsidP="002E01ED">
            <w:pPr>
              <w:rPr>
                <w:sz w:val="22"/>
                <w:szCs w:val="22"/>
                <w:lang w:val="en-GB" w:eastAsia="en-US"/>
              </w:rPr>
            </w:pPr>
            <w:bookmarkStart w:id="132" w:name="_Toc413833863"/>
            <w:bookmarkStart w:id="133" w:name="_Toc414266987"/>
            <w:r>
              <w:rPr>
                <w:sz w:val="22"/>
                <w:szCs w:val="22"/>
                <w:lang w:val="en-GB" w:eastAsia="en-US"/>
              </w:rPr>
              <w:t>4.</w:t>
            </w:r>
            <w:bookmarkEnd w:id="132"/>
            <w:bookmarkEnd w:id="133"/>
          </w:p>
        </w:tc>
        <w:tc>
          <w:tcPr>
            <w:tcW w:w="6194" w:type="dxa"/>
            <w:shd w:val="clear" w:color="auto" w:fill="auto"/>
          </w:tcPr>
          <w:p w:rsidR="00511045" w:rsidRDefault="00511045" w:rsidP="002E01ED">
            <w:pPr>
              <w:jc w:val="both"/>
              <w:rPr>
                <w:rFonts w:cs="Arial"/>
                <w:bCs/>
                <w:iCs/>
                <w:sz w:val="22"/>
                <w:szCs w:val="22"/>
                <w:lang w:val="en-GB"/>
              </w:rPr>
            </w:pPr>
            <w:r>
              <w:rPr>
                <w:rFonts w:cs="Arial"/>
                <w:bCs/>
                <w:iCs/>
                <w:sz w:val="22"/>
                <w:szCs w:val="22"/>
                <w:lang w:val="en-GB"/>
              </w:rPr>
              <w:t>Joint training programs and exchange of experience, networking for supporting the functioning of the specific public medical services, telemedicine ;</w:t>
            </w:r>
          </w:p>
        </w:tc>
        <w:tc>
          <w:tcPr>
            <w:tcW w:w="1745" w:type="dxa"/>
            <w:shd w:val="clear" w:color="auto" w:fill="auto"/>
            <w:vAlign w:val="center"/>
          </w:tcPr>
          <w:p w:rsidR="00511045" w:rsidRDefault="00511045" w:rsidP="002E01ED">
            <w:pPr>
              <w:jc w:val="center"/>
            </w:pPr>
            <w:r>
              <w:rPr>
                <w:sz w:val="22"/>
                <w:szCs w:val="22"/>
                <w:lang w:val="en-GB" w:eastAsia="en-US"/>
              </w:rPr>
              <w:t>Is not the case</w:t>
            </w:r>
          </w:p>
        </w:tc>
        <w:tc>
          <w:tcPr>
            <w:tcW w:w="1228"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c>
          <w:tcPr>
            <w:tcW w:w="571" w:type="dxa"/>
            <w:shd w:val="clear" w:color="auto" w:fill="auto"/>
          </w:tcPr>
          <w:p w:rsidR="00511045" w:rsidRDefault="00511045" w:rsidP="002E01ED">
            <w:pPr>
              <w:rPr>
                <w:sz w:val="22"/>
                <w:szCs w:val="22"/>
                <w:lang w:val="en-GB" w:eastAsia="en-US"/>
              </w:rPr>
            </w:pPr>
            <w:bookmarkStart w:id="134" w:name="_Toc413833866"/>
            <w:bookmarkStart w:id="135" w:name="_Toc414266990"/>
            <w:r>
              <w:rPr>
                <w:sz w:val="22"/>
                <w:szCs w:val="22"/>
                <w:lang w:val="en-GB" w:eastAsia="en-US"/>
              </w:rPr>
              <w:t>5.</w:t>
            </w:r>
            <w:bookmarkEnd w:id="134"/>
            <w:bookmarkEnd w:id="135"/>
          </w:p>
        </w:tc>
        <w:tc>
          <w:tcPr>
            <w:tcW w:w="6194" w:type="dxa"/>
            <w:shd w:val="clear" w:color="auto" w:fill="auto"/>
          </w:tcPr>
          <w:p w:rsidR="00511045" w:rsidRDefault="00511045" w:rsidP="002E01ED">
            <w:pPr>
              <w:jc w:val="both"/>
              <w:rPr>
                <w:rFonts w:cs="Arial"/>
                <w:bCs/>
                <w:iCs/>
                <w:sz w:val="22"/>
                <w:szCs w:val="22"/>
                <w:lang w:val="en-GB"/>
              </w:rPr>
            </w:pPr>
            <w:r>
              <w:rPr>
                <w:rFonts w:cs="Arial"/>
                <w:bCs/>
                <w:iCs/>
                <w:sz w:val="22"/>
                <w:szCs w:val="22"/>
                <w:lang w:val="en-GB"/>
              </w:rPr>
              <w:t>Exchange of experience, joint activities in order to ensure compatibility of the treatment guidelines, joint diagnosis programmes;</w:t>
            </w:r>
          </w:p>
        </w:tc>
        <w:tc>
          <w:tcPr>
            <w:tcW w:w="1745" w:type="dxa"/>
            <w:shd w:val="clear" w:color="auto" w:fill="auto"/>
            <w:vAlign w:val="center"/>
          </w:tcPr>
          <w:p w:rsidR="00511045" w:rsidRDefault="00511045" w:rsidP="002E01ED">
            <w:pPr>
              <w:jc w:val="center"/>
            </w:pPr>
            <w:r>
              <w:rPr>
                <w:sz w:val="22"/>
                <w:szCs w:val="22"/>
                <w:lang w:val="en-GB" w:eastAsia="en-US"/>
              </w:rPr>
              <w:t>Is not the case</w:t>
            </w:r>
          </w:p>
        </w:tc>
        <w:tc>
          <w:tcPr>
            <w:tcW w:w="1228"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c>
          <w:tcPr>
            <w:tcW w:w="571" w:type="dxa"/>
            <w:shd w:val="clear" w:color="auto" w:fill="auto"/>
          </w:tcPr>
          <w:p w:rsidR="00511045" w:rsidRDefault="00511045" w:rsidP="002E01ED">
            <w:pPr>
              <w:rPr>
                <w:sz w:val="22"/>
                <w:szCs w:val="22"/>
                <w:lang w:val="en-GB" w:eastAsia="en-US"/>
              </w:rPr>
            </w:pPr>
            <w:bookmarkStart w:id="136" w:name="_Toc413833869"/>
            <w:bookmarkStart w:id="137" w:name="_Toc414266993"/>
            <w:r>
              <w:rPr>
                <w:sz w:val="22"/>
                <w:szCs w:val="22"/>
                <w:lang w:val="en-GB" w:eastAsia="en-US"/>
              </w:rPr>
              <w:t>6.</w:t>
            </w:r>
            <w:bookmarkEnd w:id="136"/>
            <w:bookmarkEnd w:id="137"/>
          </w:p>
        </w:tc>
        <w:tc>
          <w:tcPr>
            <w:tcW w:w="6194" w:type="dxa"/>
            <w:shd w:val="clear" w:color="auto" w:fill="auto"/>
          </w:tcPr>
          <w:p w:rsidR="00511045" w:rsidRDefault="00511045" w:rsidP="002E01ED">
            <w:pPr>
              <w:jc w:val="both"/>
              <w:rPr>
                <w:rFonts w:cs="Arial"/>
                <w:bCs/>
                <w:iCs/>
                <w:sz w:val="22"/>
                <w:szCs w:val="22"/>
                <w:lang w:val="en-GB"/>
              </w:rPr>
            </w:pPr>
            <w:r>
              <w:rPr>
                <w:rFonts w:cs="Arial"/>
                <w:bCs/>
                <w:iCs/>
                <w:sz w:val="22"/>
                <w:szCs w:val="22"/>
                <w:lang w:val="en-GB"/>
              </w:rPr>
              <w:t>Awareness campaigns concerning public education on health, diseases and prevention of epidemics.</w:t>
            </w:r>
          </w:p>
        </w:tc>
        <w:tc>
          <w:tcPr>
            <w:tcW w:w="1745" w:type="dxa"/>
            <w:shd w:val="clear" w:color="auto" w:fill="auto"/>
            <w:vAlign w:val="center"/>
          </w:tcPr>
          <w:p w:rsidR="00511045" w:rsidRDefault="00511045" w:rsidP="002E01ED">
            <w:pPr>
              <w:jc w:val="center"/>
            </w:pPr>
            <w:r>
              <w:rPr>
                <w:sz w:val="22"/>
                <w:szCs w:val="22"/>
                <w:lang w:val="en-GB" w:eastAsia="en-US"/>
              </w:rPr>
              <w:t>Is not the case</w:t>
            </w:r>
          </w:p>
        </w:tc>
        <w:tc>
          <w:tcPr>
            <w:tcW w:w="1228" w:type="dxa"/>
            <w:shd w:val="clear" w:color="auto" w:fill="auto"/>
            <w:vAlign w:val="center"/>
          </w:tcPr>
          <w:p w:rsidR="00511045" w:rsidRDefault="00511045" w:rsidP="002E01ED">
            <w:pPr>
              <w:jc w:val="center"/>
            </w:pPr>
            <w:r>
              <w:rPr>
                <w:sz w:val="22"/>
                <w:szCs w:val="22"/>
                <w:lang w:val="en-GB" w:eastAsia="en-US"/>
              </w:rPr>
              <w:t>Indirectly</w:t>
            </w:r>
          </w:p>
        </w:tc>
      </w:tr>
    </w:tbl>
    <w:p w:rsidR="00511045" w:rsidRDefault="00511045" w:rsidP="00511045">
      <w:pPr>
        <w:spacing w:before="60" w:after="60" w:line="288" w:lineRule="auto"/>
        <w:ind w:left="720"/>
        <w:jc w:val="both"/>
        <w:rPr>
          <w:rFonts w:eastAsia="EUAlbertina-Regular-Identity-H"/>
          <w:bCs/>
          <w:lang w:val="en-GB" w:eastAsia="en-US"/>
        </w:rPr>
      </w:pPr>
    </w:p>
    <w:p w:rsidR="00511045" w:rsidRDefault="00511045" w:rsidP="00511045">
      <w:pPr>
        <w:spacing w:before="60" w:after="60" w:line="288" w:lineRule="auto"/>
        <w:jc w:val="both"/>
        <w:rPr>
          <w:rFonts w:cs="Arial"/>
          <w:b/>
          <w:bCs/>
          <w:iCs/>
          <w:lang w:val="en-GB" w:eastAsia="en-US"/>
        </w:rPr>
      </w:pPr>
      <w:r>
        <w:rPr>
          <w:rFonts w:cs="Arial"/>
          <w:b/>
          <w:bCs/>
          <w:iCs/>
          <w:lang w:val="en-GB" w:eastAsia="en-US"/>
        </w:rPr>
        <w:t>Priority 4.2 – Support to joint activities for the prevention of natural and man-made disasters as well as joint actions during emergency situations</w:t>
      </w:r>
    </w:p>
    <w:tbl>
      <w:tblPr>
        <w:tblW w:w="9738"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5513"/>
        <w:gridCol w:w="2063"/>
        <w:gridCol w:w="1591"/>
      </w:tblGrid>
      <w:tr w:rsidR="00511045" w:rsidTr="002E01ED">
        <w:tc>
          <w:tcPr>
            <w:tcW w:w="571" w:type="dxa"/>
            <w:shd w:val="clear" w:color="auto" w:fill="auto"/>
            <w:vAlign w:val="center"/>
          </w:tcPr>
          <w:p w:rsidR="00511045" w:rsidRDefault="00511045" w:rsidP="002E01ED">
            <w:pPr>
              <w:rPr>
                <w:b/>
                <w:sz w:val="22"/>
                <w:szCs w:val="22"/>
                <w:lang w:val="en-GB" w:eastAsia="en-US"/>
              </w:rPr>
            </w:pPr>
            <w:r>
              <w:rPr>
                <w:b/>
                <w:sz w:val="22"/>
                <w:szCs w:val="22"/>
                <w:lang w:val="en-GB" w:eastAsia="en-US"/>
              </w:rPr>
              <w:t>No. crt.</w:t>
            </w:r>
          </w:p>
        </w:tc>
        <w:tc>
          <w:tcPr>
            <w:tcW w:w="5748" w:type="dxa"/>
            <w:shd w:val="clear" w:color="auto" w:fill="auto"/>
            <w:vAlign w:val="center"/>
          </w:tcPr>
          <w:p w:rsidR="00511045" w:rsidRDefault="00511045" w:rsidP="002E01ED">
            <w:pPr>
              <w:rPr>
                <w:b/>
                <w:sz w:val="22"/>
                <w:szCs w:val="22"/>
                <w:lang w:val="en-GB" w:eastAsia="en-US"/>
              </w:rPr>
            </w:pPr>
            <w:r>
              <w:rPr>
                <w:b/>
                <w:sz w:val="22"/>
                <w:szCs w:val="22"/>
                <w:lang w:val="en-GB" w:eastAsia="en-US"/>
              </w:rPr>
              <w:t xml:space="preserve">Indicative activities </w:t>
            </w:r>
          </w:p>
        </w:tc>
        <w:tc>
          <w:tcPr>
            <w:tcW w:w="1800" w:type="dxa"/>
            <w:shd w:val="clear" w:color="auto" w:fill="auto"/>
            <w:vAlign w:val="center"/>
          </w:tcPr>
          <w:p w:rsidR="00511045" w:rsidRDefault="00511045" w:rsidP="002E01ED">
            <w:pPr>
              <w:rPr>
                <w:b/>
                <w:sz w:val="22"/>
                <w:szCs w:val="22"/>
                <w:lang w:val="en-GB" w:eastAsia="en-US"/>
              </w:rPr>
            </w:pPr>
            <w:r>
              <w:rPr>
                <w:b/>
                <w:sz w:val="22"/>
                <w:szCs w:val="22"/>
                <w:lang w:val="en-GB" w:eastAsia="en-US"/>
              </w:rPr>
              <w:t>Environmental aspects and</w:t>
            </w:r>
          </w:p>
          <w:p w:rsidR="00511045" w:rsidRDefault="00511045" w:rsidP="002E01ED">
            <w:pPr>
              <w:rPr>
                <w:b/>
                <w:sz w:val="22"/>
                <w:szCs w:val="22"/>
                <w:lang w:val="en-GB" w:eastAsia="en-US"/>
              </w:rPr>
            </w:pPr>
            <w:r>
              <w:rPr>
                <w:b/>
                <w:sz w:val="22"/>
                <w:szCs w:val="22"/>
                <w:lang w:val="en-GB" w:eastAsia="en-US"/>
              </w:rPr>
              <w:t>objective considered</w:t>
            </w:r>
          </w:p>
        </w:tc>
        <w:tc>
          <w:tcPr>
            <w:tcW w:w="1619" w:type="dxa"/>
            <w:shd w:val="clear" w:color="auto" w:fill="auto"/>
            <w:vAlign w:val="center"/>
          </w:tcPr>
          <w:p w:rsidR="00511045" w:rsidRDefault="00511045" w:rsidP="002E01ED">
            <w:pPr>
              <w:rPr>
                <w:b/>
                <w:sz w:val="22"/>
                <w:szCs w:val="22"/>
                <w:lang w:val="en-GB" w:eastAsia="en-US"/>
              </w:rPr>
            </w:pPr>
            <w:r>
              <w:rPr>
                <w:b/>
                <w:sz w:val="22"/>
                <w:szCs w:val="22"/>
                <w:lang w:val="en-GB" w:eastAsia="en-US"/>
              </w:rPr>
              <w:t>Potential impact</w:t>
            </w:r>
          </w:p>
          <w:p w:rsidR="00511045" w:rsidRDefault="00511045" w:rsidP="002E01ED">
            <w:pPr>
              <w:rPr>
                <w:b/>
                <w:sz w:val="22"/>
                <w:szCs w:val="22"/>
                <w:lang w:val="en-GB" w:eastAsia="en-US"/>
              </w:rPr>
            </w:pPr>
          </w:p>
        </w:tc>
      </w:tr>
      <w:tr w:rsidR="00511045" w:rsidTr="002E01ED">
        <w:tc>
          <w:tcPr>
            <w:tcW w:w="571" w:type="dxa"/>
            <w:shd w:val="clear" w:color="auto" w:fill="auto"/>
          </w:tcPr>
          <w:p w:rsidR="00511045" w:rsidRDefault="00511045" w:rsidP="002E01ED">
            <w:pPr>
              <w:rPr>
                <w:sz w:val="22"/>
                <w:szCs w:val="22"/>
                <w:lang w:val="en-GB" w:eastAsia="en-US"/>
              </w:rPr>
            </w:pPr>
            <w:bookmarkStart w:id="138" w:name="_Toc413833881"/>
            <w:bookmarkStart w:id="139" w:name="_Toc414267005"/>
            <w:r>
              <w:rPr>
                <w:sz w:val="22"/>
                <w:szCs w:val="22"/>
                <w:lang w:val="en-GB" w:eastAsia="en-US"/>
              </w:rPr>
              <w:lastRenderedPageBreak/>
              <w:t>1.</w:t>
            </w:r>
            <w:bookmarkEnd w:id="138"/>
            <w:bookmarkEnd w:id="139"/>
          </w:p>
        </w:tc>
        <w:tc>
          <w:tcPr>
            <w:tcW w:w="5748" w:type="dxa"/>
            <w:shd w:val="clear" w:color="auto" w:fill="auto"/>
          </w:tcPr>
          <w:p w:rsidR="00511045" w:rsidRDefault="00511045" w:rsidP="002E01ED">
            <w:pPr>
              <w:jc w:val="both"/>
              <w:rPr>
                <w:rFonts w:cs="Arial"/>
                <w:bCs/>
                <w:sz w:val="22"/>
                <w:szCs w:val="22"/>
                <w:lang w:val="en-GB"/>
              </w:rPr>
            </w:pPr>
            <w:r>
              <w:rPr>
                <w:rFonts w:cs="Arial"/>
                <w:bCs/>
                <w:sz w:val="22"/>
                <w:szCs w:val="22"/>
                <w:lang w:val="en-GB"/>
              </w:rPr>
              <w:t>Common measures for preventing land slide and flooding of the cross border areas;</w:t>
            </w:r>
          </w:p>
        </w:tc>
        <w:tc>
          <w:tcPr>
            <w:tcW w:w="1800" w:type="dxa"/>
            <w:shd w:val="clear" w:color="auto" w:fill="auto"/>
          </w:tcPr>
          <w:p w:rsidR="00511045" w:rsidRDefault="00511045" w:rsidP="002E01ED">
            <w:pPr>
              <w:rPr>
                <w:sz w:val="22"/>
                <w:szCs w:val="22"/>
                <w:lang w:val="en-GB" w:eastAsia="en-US"/>
              </w:rPr>
            </w:pPr>
            <w:r>
              <w:rPr>
                <w:sz w:val="22"/>
                <w:szCs w:val="22"/>
                <w:lang w:val="en-GB" w:eastAsia="en-US"/>
              </w:rPr>
              <w:t xml:space="preserve">Soil </w:t>
            </w:r>
          </w:p>
          <w:p w:rsidR="00511045" w:rsidRDefault="00511045" w:rsidP="002E01ED">
            <w:pPr>
              <w:rPr>
                <w:sz w:val="22"/>
                <w:szCs w:val="22"/>
                <w:lang w:val="en-GB" w:eastAsia="en-US"/>
              </w:rPr>
            </w:pPr>
            <w:r>
              <w:rPr>
                <w:sz w:val="22"/>
                <w:szCs w:val="22"/>
                <w:lang w:val="en-GB" w:eastAsia="en-US"/>
              </w:rPr>
              <w:t>Water</w:t>
            </w:r>
          </w:p>
          <w:p w:rsidR="00511045" w:rsidRDefault="00511045" w:rsidP="002E01ED">
            <w:pPr>
              <w:rPr>
                <w:sz w:val="22"/>
                <w:szCs w:val="22"/>
                <w:lang w:val="en-GB" w:eastAsia="en-US"/>
              </w:rPr>
            </w:pPr>
            <w:r>
              <w:rPr>
                <w:sz w:val="22"/>
                <w:szCs w:val="22"/>
                <w:lang w:val="en-GB" w:eastAsia="en-US"/>
              </w:rPr>
              <w:t>Waste</w:t>
            </w:r>
          </w:p>
          <w:p w:rsidR="00511045" w:rsidRDefault="00511045" w:rsidP="002E01ED">
            <w:pPr>
              <w:rPr>
                <w:sz w:val="22"/>
                <w:szCs w:val="22"/>
                <w:lang w:val="en-GB" w:eastAsia="en-US"/>
              </w:rPr>
            </w:pPr>
            <w:r>
              <w:rPr>
                <w:sz w:val="22"/>
                <w:szCs w:val="22"/>
                <w:lang w:val="en-GB" w:eastAsia="en-US"/>
              </w:rPr>
              <w:t>Management</w:t>
            </w:r>
          </w:p>
          <w:p w:rsidR="00511045" w:rsidRDefault="00511045" w:rsidP="002E01ED">
            <w:pPr>
              <w:rPr>
                <w:sz w:val="22"/>
                <w:szCs w:val="22"/>
                <w:lang w:val="en-GB" w:eastAsia="en-US"/>
              </w:rPr>
            </w:pPr>
            <w:r>
              <w:rPr>
                <w:sz w:val="22"/>
                <w:szCs w:val="22"/>
                <w:lang w:val="en-GB" w:eastAsia="en-US"/>
              </w:rPr>
              <w:t>Biodiversity</w:t>
            </w:r>
          </w:p>
          <w:p w:rsidR="00511045" w:rsidRDefault="00511045" w:rsidP="002E01ED">
            <w:pPr>
              <w:rPr>
                <w:sz w:val="22"/>
                <w:szCs w:val="22"/>
                <w:lang w:val="en-GB" w:eastAsia="en-US"/>
              </w:rPr>
            </w:pPr>
          </w:p>
        </w:tc>
        <w:tc>
          <w:tcPr>
            <w:tcW w:w="1619" w:type="dxa"/>
            <w:shd w:val="clear" w:color="auto" w:fill="auto"/>
          </w:tcPr>
          <w:p w:rsidR="00511045" w:rsidRDefault="00511045" w:rsidP="002E01ED">
            <w:r>
              <w:rPr>
                <w:sz w:val="22"/>
                <w:szCs w:val="22"/>
                <w:lang w:val="en-GB"/>
              </w:rPr>
              <w:t>Positive</w:t>
            </w:r>
          </w:p>
        </w:tc>
      </w:tr>
      <w:tr w:rsidR="00511045" w:rsidTr="002E01ED">
        <w:tc>
          <w:tcPr>
            <w:tcW w:w="571" w:type="dxa"/>
            <w:shd w:val="clear" w:color="auto" w:fill="auto"/>
          </w:tcPr>
          <w:p w:rsidR="00511045" w:rsidRDefault="00511045" w:rsidP="002E01ED">
            <w:pPr>
              <w:rPr>
                <w:sz w:val="22"/>
                <w:szCs w:val="22"/>
                <w:lang w:val="en-GB" w:eastAsia="en-US"/>
              </w:rPr>
            </w:pPr>
            <w:bookmarkStart w:id="140" w:name="_Toc413833887"/>
            <w:bookmarkStart w:id="141" w:name="_Toc414267011"/>
            <w:r>
              <w:rPr>
                <w:sz w:val="22"/>
                <w:szCs w:val="22"/>
                <w:lang w:val="en-GB" w:eastAsia="en-US"/>
              </w:rPr>
              <w:t>2.</w:t>
            </w:r>
            <w:bookmarkEnd w:id="140"/>
            <w:bookmarkEnd w:id="141"/>
          </w:p>
        </w:tc>
        <w:tc>
          <w:tcPr>
            <w:tcW w:w="5748" w:type="dxa"/>
            <w:shd w:val="clear" w:color="auto" w:fill="auto"/>
          </w:tcPr>
          <w:p w:rsidR="00511045" w:rsidRDefault="00511045" w:rsidP="002E01ED">
            <w:pPr>
              <w:jc w:val="both"/>
              <w:rPr>
                <w:rFonts w:cs="Arial"/>
                <w:bCs/>
                <w:sz w:val="22"/>
                <w:szCs w:val="22"/>
                <w:lang w:val="en-GB"/>
              </w:rPr>
            </w:pPr>
            <w:r>
              <w:rPr>
                <w:rFonts w:cs="Arial"/>
                <w:bCs/>
                <w:sz w:val="22"/>
                <w:szCs w:val="22"/>
                <w:lang w:val="en-GB"/>
              </w:rPr>
              <w:t>Joint integrated systems for efficient monitoring and disaster prevention and for the mitigation of consequences;</w:t>
            </w:r>
          </w:p>
        </w:tc>
        <w:tc>
          <w:tcPr>
            <w:tcW w:w="1800" w:type="dxa"/>
            <w:shd w:val="clear" w:color="auto" w:fill="auto"/>
          </w:tcPr>
          <w:p w:rsidR="00511045" w:rsidRDefault="00511045" w:rsidP="002E01ED">
            <w:pPr>
              <w:rPr>
                <w:sz w:val="22"/>
                <w:szCs w:val="22"/>
                <w:lang w:val="en-GB" w:eastAsia="en-US"/>
              </w:rPr>
            </w:pPr>
            <w:r>
              <w:rPr>
                <w:sz w:val="22"/>
                <w:szCs w:val="22"/>
                <w:lang w:val="en-GB" w:eastAsia="en-US"/>
              </w:rPr>
              <w:t xml:space="preserve">Soil </w:t>
            </w:r>
          </w:p>
          <w:p w:rsidR="00511045" w:rsidRDefault="00511045" w:rsidP="002E01ED">
            <w:pPr>
              <w:rPr>
                <w:sz w:val="22"/>
                <w:szCs w:val="22"/>
                <w:lang w:val="en-GB" w:eastAsia="en-US"/>
              </w:rPr>
            </w:pPr>
            <w:r>
              <w:rPr>
                <w:sz w:val="22"/>
                <w:szCs w:val="22"/>
                <w:lang w:val="en-GB" w:eastAsia="en-US"/>
              </w:rPr>
              <w:t>Water</w:t>
            </w:r>
          </w:p>
          <w:p w:rsidR="00511045" w:rsidRDefault="00511045" w:rsidP="002E01ED">
            <w:pPr>
              <w:rPr>
                <w:sz w:val="22"/>
                <w:szCs w:val="22"/>
                <w:lang w:val="en-GB" w:eastAsia="en-US"/>
              </w:rPr>
            </w:pPr>
            <w:r>
              <w:rPr>
                <w:sz w:val="22"/>
                <w:szCs w:val="22"/>
                <w:lang w:val="en-GB" w:eastAsia="en-US"/>
              </w:rPr>
              <w:t>Waste</w:t>
            </w:r>
          </w:p>
          <w:p w:rsidR="00511045" w:rsidRDefault="00511045" w:rsidP="002E01ED">
            <w:pPr>
              <w:rPr>
                <w:sz w:val="22"/>
                <w:szCs w:val="22"/>
                <w:lang w:val="en-GB" w:eastAsia="en-US"/>
              </w:rPr>
            </w:pPr>
            <w:r>
              <w:rPr>
                <w:sz w:val="22"/>
                <w:szCs w:val="22"/>
                <w:lang w:val="en-GB" w:eastAsia="en-US"/>
              </w:rPr>
              <w:t>Management</w:t>
            </w:r>
          </w:p>
          <w:p w:rsidR="00511045" w:rsidRDefault="00511045" w:rsidP="002E01ED">
            <w:pPr>
              <w:rPr>
                <w:sz w:val="22"/>
                <w:szCs w:val="22"/>
                <w:lang w:val="en-GB" w:eastAsia="en-US"/>
              </w:rPr>
            </w:pPr>
          </w:p>
          <w:p w:rsidR="00511045" w:rsidRDefault="00511045" w:rsidP="002E01ED">
            <w:pPr>
              <w:rPr>
                <w:sz w:val="22"/>
                <w:szCs w:val="22"/>
                <w:lang w:val="en-GB" w:eastAsia="en-US"/>
              </w:rPr>
            </w:pPr>
            <w:r>
              <w:rPr>
                <w:sz w:val="22"/>
                <w:szCs w:val="22"/>
                <w:lang w:val="en-GB" w:eastAsia="en-US"/>
              </w:rPr>
              <w:t>Biodiversity</w:t>
            </w:r>
          </w:p>
          <w:p w:rsidR="00511045" w:rsidRDefault="00511045" w:rsidP="002E01ED">
            <w:pPr>
              <w:rPr>
                <w:sz w:val="22"/>
                <w:szCs w:val="22"/>
                <w:lang w:val="en-GB" w:eastAsia="en-US"/>
              </w:rPr>
            </w:pPr>
          </w:p>
        </w:tc>
        <w:tc>
          <w:tcPr>
            <w:tcW w:w="1619" w:type="dxa"/>
            <w:shd w:val="clear" w:color="auto" w:fill="auto"/>
          </w:tcPr>
          <w:p w:rsidR="00511045" w:rsidRDefault="00511045" w:rsidP="002E01ED">
            <w:r>
              <w:rPr>
                <w:sz w:val="22"/>
                <w:szCs w:val="22"/>
                <w:lang w:val="en-GB"/>
              </w:rPr>
              <w:t>Positive</w:t>
            </w:r>
          </w:p>
        </w:tc>
      </w:tr>
      <w:tr w:rsidR="00511045" w:rsidTr="002E01ED">
        <w:tc>
          <w:tcPr>
            <w:tcW w:w="571" w:type="dxa"/>
            <w:shd w:val="clear" w:color="auto" w:fill="auto"/>
          </w:tcPr>
          <w:p w:rsidR="00511045" w:rsidRDefault="00511045" w:rsidP="002E01ED">
            <w:pPr>
              <w:rPr>
                <w:sz w:val="22"/>
                <w:szCs w:val="22"/>
                <w:lang w:val="en-GB" w:eastAsia="en-US"/>
              </w:rPr>
            </w:pPr>
            <w:bookmarkStart w:id="142" w:name="_Toc413833893"/>
            <w:bookmarkStart w:id="143" w:name="_Toc414267017"/>
            <w:r>
              <w:rPr>
                <w:sz w:val="22"/>
                <w:szCs w:val="22"/>
                <w:lang w:val="en-GB" w:eastAsia="en-US"/>
              </w:rPr>
              <w:t>3.</w:t>
            </w:r>
            <w:bookmarkEnd w:id="142"/>
            <w:bookmarkEnd w:id="143"/>
          </w:p>
        </w:tc>
        <w:tc>
          <w:tcPr>
            <w:tcW w:w="5748" w:type="dxa"/>
            <w:shd w:val="clear" w:color="auto" w:fill="auto"/>
          </w:tcPr>
          <w:p w:rsidR="00511045" w:rsidRDefault="00511045" w:rsidP="002E01ED">
            <w:pPr>
              <w:jc w:val="both"/>
              <w:rPr>
                <w:rFonts w:cs="Arial"/>
                <w:bCs/>
                <w:sz w:val="22"/>
                <w:szCs w:val="22"/>
                <w:lang w:val="en-GB"/>
              </w:rPr>
            </w:pPr>
            <w:r>
              <w:rPr>
                <w:rFonts w:cs="Arial"/>
                <w:bCs/>
                <w:sz w:val="22"/>
                <w:szCs w:val="22"/>
                <w:lang w:val="en-GB"/>
              </w:rPr>
              <w:t xml:space="preserve">Common strategies and tools for hazard management and risk prevention including joint action plans; </w:t>
            </w:r>
          </w:p>
        </w:tc>
        <w:tc>
          <w:tcPr>
            <w:tcW w:w="1800" w:type="dxa"/>
            <w:shd w:val="clear" w:color="auto" w:fill="auto"/>
            <w:vAlign w:val="center"/>
          </w:tcPr>
          <w:p w:rsidR="00511045" w:rsidRDefault="00511045" w:rsidP="002E01ED">
            <w:pPr>
              <w:rPr>
                <w:sz w:val="22"/>
                <w:szCs w:val="22"/>
                <w:lang w:val="en-GB" w:eastAsia="en-US"/>
              </w:rPr>
            </w:pPr>
            <w:r>
              <w:rPr>
                <w:sz w:val="22"/>
                <w:szCs w:val="22"/>
                <w:lang w:val="en-GB" w:eastAsia="en-US"/>
              </w:rPr>
              <w:t>Is not the case</w:t>
            </w:r>
          </w:p>
        </w:tc>
        <w:tc>
          <w:tcPr>
            <w:tcW w:w="1619" w:type="dxa"/>
            <w:shd w:val="clear" w:color="auto" w:fill="auto"/>
            <w:vAlign w:val="center"/>
          </w:tcPr>
          <w:p w:rsidR="00511045" w:rsidRDefault="00511045" w:rsidP="002E01ED">
            <w:pPr>
              <w:rPr>
                <w:sz w:val="22"/>
                <w:szCs w:val="22"/>
                <w:lang w:val="en-GB" w:eastAsia="en-US"/>
              </w:rPr>
            </w:pPr>
            <w:r>
              <w:rPr>
                <w:sz w:val="22"/>
                <w:szCs w:val="22"/>
                <w:lang w:val="en-GB" w:eastAsia="en-US"/>
              </w:rPr>
              <w:t>Indirectly</w:t>
            </w:r>
          </w:p>
        </w:tc>
      </w:tr>
      <w:tr w:rsidR="00511045" w:rsidTr="002E01ED">
        <w:tc>
          <w:tcPr>
            <w:tcW w:w="571" w:type="dxa"/>
            <w:shd w:val="clear" w:color="auto" w:fill="auto"/>
          </w:tcPr>
          <w:p w:rsidR="00511045" w:rsidRDefault="00511045" w:rsidP="002E01ED">
            <w:pPr>
              <w:rPr>
                <w:sz w:val="22"/>
                <w:szCs w:val="22"/>
                <w:lang w:val="en-GB" w:eastAsia="en-US"/>
              </w:rPr>
            </w:pPr>
            <w:bookmarkStart w:id="144" w:name="_Toc413833896"/>
            <w:bookmarkStart w:id="145" w:name="_Toc414267020"/>
            <w:r>
              <w:rPr>
                <w:sz w:val="22"/>
                <w:szCs w:val="22"/>
                <w:lang w:val="en-GB" w:eastAsia="en-US"/>
              </w:rPr>
              <w:t>4.</w:t>
            </w:r>
            <w:bookmarkEnd w:id="144"/>
            <w:bookmarkEnd w:id="145"/>
          </w:p>
        </w:tc>
        <w:tc>
          <w:tcPr>
            <w:tcW w:w="5748" w:type="dxa"/>
            <w:shd w:val="clear" w:color="auto" w:fill="auto"/>
          </w:tcPr>
          <w:p w:rsidR="00511045" w:rsidRDefault="00511045" w:rsidP="002E01ED">
            <w:pPr>
              <w:jc w:val="both"/>
              <w:rPr>
                <w:rFonts w:cs="Arial"/>
                <w:bCs/>
                <w:sz w:val="22"/>
                <w:szCs w:val="22"/>
                <w:lang w:val="en-GB"/>
              </w:rPr>
            </w:pPr>
            <w:r>
              <w:rPr>
                <w:rFonts w:cs="Arial"/>
                <w:bCs/>
                <w:sz w:val="22"/>
                <w:szCs w:val="22"/>
                <w:lang w:val="en-GB"/>
              </w:rPr>
              <w:t>Elaborating of joint detailed maps and databases (indicating natural and technological risks, and land use for regional planning authorities, environmental agencies and emergency services;)</w:t>
            </w:r>
          </w:p>
        </w:tc>
        <w:tc>
          <w:tcPr>
            <w:tcW w:w="1800" w:type="dxa"/>
            <w:shd w:val="clear" w:color="auto" w:fill="auto"/>
          </w:tcPr>
          <w:p w:rsidR="00511045" w:rsidRDefault="00511045" w:rsidP="002E01ED">
            <w:pPr>
              <w:rPr>
                <w:sz w:val="22"/>
                <w:szCs w:val="22"/>
                <w:lang w:val="en-GB" w:eastAsia="en-US"/>
              </w:rPr>
            </w:pPr>
            <w:r>
              <w:rPr>
                <w:sz w:val="22"/>
                <w:szCs w:val="22"/>
                <w:lang w:val="en-GB" w:eastAsia="en-US"/>
              </w:rPr>
              <w:t xml:space="preserve">Soil </w:t>
            </w:r>
          </w:p>
          <w:p w:rsidR="00511045" w:rsidRDefault="00511045" w:rsidP="002E01ED">
            <w:pPr>
              <w:rPr>
                <w:sz w:val="22"/>
                <w:szCs w:val="22"/>
                <w:lang w:val="en-GB" w:eastAsia="en-US"/>
              </w:rPr>
            </w:pPr>
            <w:r>
              <w:rPr>
                <w:sz w:val="22"/>
                <w:szCs w:val="22"/>
                <w:lang w:val="en-GB" w:eastAsia="en-US"/>
              </w:rPr>
              <w:t>Water</w:t>
            </w:r>
          </w:p>
          <w:p w:rsidR="00511045" w:rsidRDefault="00511045" w:rsidP="002E01ED">
            <w:pPr>
              <w:rPr>
                <w:sz w:val="22"/>
                <w:szCs w:val="22"/>
                <w:lang w:val="en-GB" w:eastAsia="en-US"/>
              </w:rPr>
            </w:pPr>
            <w:r>
              <w:rPr>
                <w:sz w:val="22"/>
                <w:szCs w:val="22"/>
                <w:lang w:val="en-GB" w:eastAsia="en-US"/>
              </w:rPr>
              <w:t>Biodiversity</w:t>
            </w:r>
          </w:p>
          <w:p w:rsidR="00511045" w:rsidRDefault="00511045" w:rsidP="002E01ED">
            <w:pPr>
              <w:rPr>
                <w:sz w:val="22"/>
                <w:szCs w:val="22"/>
                <w:lang w:val="en-GB" w:eastAsia="en-US"/>
              </w:rPr>
            </w:pPr>
          </w:p>
        </w:tc>
        <w:tc>
          <w:tcPr>
            <w:tcW w:w="1619" w:type="dxa"/>
            <w:shd w:val="clear" w:color="auto" w:fill="auto"/>
          </w:tcPr>
          <w:p w:rsidR="00511045" w:rsidRDefault="00511045" w:rsidP="002E01ED">
            <w:pPr>
              <w:rPr>
                <w:sz w:val="22"/>
                <w:szCs w:val="22"/>
                <w:lang w:val="en-GB" w:eastAsia="en-US"/>
              </w:rPr>
            </w:pPr>
            <w:r>
              <w:rPr>
                <w:sz w:val="22"/>
                <w:szCs w:val="22"/>
                <w:lang w:val="en-GB" w:eastAsia="en-US"/>
              </w:rPr>
              <w:t>Positive</w:t>
            </w:r>
          </w:p>
        </w:tc>
      </w:tr>
      <w:tr w:rsidR="00511045" w:rsidTr="002E01ED">
        <w:tc>
          <w:tcPr>
            <w:tcW w:w="571" w:type="dxa"/>
            <w:shd w:val="clear" w:color="auto" w:fill="auto"/>
          </w:tcPr>
          <w:p w:rsidR="00511045" w:rsidRDefault="00511045" w:rsidP="002E01ED">
            <w:pPr>
              <w:rPr>
                <w:sz w:val="22"/>
                <w:szCs w:val="22"/>
                <w:lang w:val="en-GB" w:eastAsia="en-US"/>
              </w:rPr>
            </w:pPr>
            <w:bookmarkStart w:id="146" w:name="_Toc413833902"/>
            <w:bookmarkStart w:id="147" w:name="_Toc414267026"/>
            <w:r>
              <w:rPr>
                <w:sz w:val="22"/>
                <w:szCs w:val="22"/>
                <w:lang w:val="en-GB" w:eastAsia="en-US"/>
              </w:rPr>
              <w:t>5.</w:t>
            </w:r>
            <w:bookmarkEnd w:id="146"/>
            <w:bookmarkEnd w:id="147"/>
          </w:p>
        </w:tc>
        <w:tc>
          <w:tcPr>
            <w:tcW w:w="5748" w:type="dxa"/>
            <w:shd w:val="clear" w:color="auto" w:fill="auto"/>
          </w:tcPr>
          <w:p w:rsidR="00511045" w:rsidRDefault="00511045" w:rsidP="002E01ED">
            <w:pPr>
              <w:jc w:val="both"/>
              <w:rPr>
                <w:rFonts w:cs="Arial"/>
                <w:bCs/>
                <w:sz w:val="22"/>
                <w:szCs w:val="22"/>
                <w:lang w:val="en-GB"/>
              </w:rPr>
            </w:pPr>
            <w:r>
              <w:rPr>
                <w:rFonts w:cs="Arial"/>
                <w:bCs/>
                <w:sz w:val="22"/>
                <w:szCs w:val="22"/>
                <w:lang w:val="en-GB"/>
              </w:rPr>
              <w:t>Exchanging experience and knowledge, including raising awareness in the field of efficient risk prevention and management in the cross-border area;</w:t>
            </w:r>
          </w:p>
        </w:tc>
        <w:tc>
          <w:tcPr>
            <w:tcW w:w="1800" w:type="dxa"/>
            <w:shd w:val="clear" w:color="auto" w:fill="auto"/>
            <w:vAlign w:val="center"/>
          </w:tcPr>
          <w:p w:rsidR="00511045" w:rsidRDefault="00511045" w:rsidP="002E01ED">
            <w:pPr>
              <w:jc w:val="center"/>
            </w:pPr>
            <w:r>
              <w:rPr>
                <w:sz w:val="22"/>
                <w:szCs w:val="22"/>
                <w:lang w:val="en-GB" w:eastAsia="en-US"/>
              </w:rPr>
              <w:t>Is not the case</w:t>
            </w:r>
          </w:p>
        </w:tc>
        <w:tc>
          <w:tcPr>
            <w:tcW w:w="1619" w:type="dxa"/>
            <w:shd w:val="clear" w:color="auto" w:fill="auto"/>
          </w:tcPr>
          <w:p w:rsidR="00511045" w:rsidRDefault="00511045" w:rsidP="002E01ED">
            <w:r>
              <w:rPr>
                <w:sz w:val="22"/>
                <w:szCs w:val="22"/>
                <w:lang w:val="en-GB" w:eastAsia="en-US"/>
              </w:rPr>
              <w:t>Indirectly</w:t>
            </w:r>
          </w:p>
        </w:tc>
      </w:tr>
      <w:tr w:rsidR="00511045" w:rsidTr="002E01ED">
        <w:tc>
          <w:tcPr>
            <w:tcW w:w="571" w:type="dxa"/>
            <w:shd w:val="clear" w:color="auto" w:fill="auto"/>
          </w:tcPr>
          <w:p w:rsidR="00511045" w:rsidRDefault="00511045" w:rsidP="002E01ED">
            <w:pPr>
              <w:rPr>
                <w:sz w:val="22"/>
                <w:szCs w:val="22"/>
                <w:lang w:val="en-GB" w:eastAsia="en-US"/>
              </w:rPr>
            </w:pPr>
            <w:bookmarkStart w:id="148" w:name="_Toc413833905"/>
            <w:bookmarkStart w:id="149" w:name="_Toc414267029"/>
            <w:r>
              <w:rPr>
                <w:sz w:val="22"/>
                <w:szCs w:val="22"/>
                <w:lang w:val="en-GB" w:eastAsia="en-US"/>
              </w:rPr>
              <w:t>6.</w:t>
            </w:r>
            <w:bookmarkEnd w:id="148"/>
            <w:bookmarkEnd w:id="149"/>
          </w:p>
        </w:tc>
        <w:tc>
          <w:tcPr>
            <w:tcW w:w="5748" w:type="dxa"/>
            <w:shd w:val="clear" w:color="auto" w:fill="auto"/>
          </w:tcPr>
          <w:p w:rsidR="00511045" w:rsidRDefault="00511045" w:rsidP="002E01ED">
            <w:pPr>
              <w:jc w:val="both"/>
              <w:rPr>
                <w:rFonts w:cs="Arial"/>
                <w:bCs/>
                <w:sz w:val="22"/>
                <w:szCs w:val="22"/>
                <w:lang w:val="en-GB"/>
              </w:rPr>
            </w:pPr>
            <w:r>
              <w:rPr>
                <w:rFonts w:cs="Arial"/>
                <w:bCs/>
                <w:sz w:val="22"/>
                <w:szCs w:val="22"/>
                <w:lang w:val="en-GB"/>
              </w:rPr>
              <w:t>Development of integrated and common standards for the urban planning and risk management;</w:t>
            </w:r>
          </w:p>
        </w:tc>
        <w:tc>
          <w:tcPr>
            <w:tcW w:w="1800" w:type="dxa"/>
            <w:shd w:val="clear" w:color="auto" w:fill="auto"/>
            <w:vAlign w:val="center"/>
          </w:tcPr>
          <w:p w:rsidR="00511045" w:rsidRDefault="00511045" w:rsidP="002E01ED">
            <w:pPr>
              <w:jc w:val="center"/>
            </w:pPr>
            <w:r>
              <w:rPr>
                <w:sz w:val="22"/>
                <w:szCs w:val="22"/>
                <w:lang w:val="en-GB" w:eastAsia="en-US"/>
              </w:rPr>
              <w:t>Is not the case</w:t>
            </w:r>
          </w:p>
        </w:tc>
        <w:tc>
          <w:tcPr>
            <w:tcW w:w="1619" w:type="dxa"/>
            <w:shd w:val="clear" w:color="auto" w:fill="auto"/>
          </w:tcPr>
          <w:p w:rsidR="00511045" w:rsidRDefault="00511045" w:rsidP="002E01ED">
            <w:r>
              <w:rPr>
                <w:sz w:val="22"/>
                <w:szCs w:val="22"/>
                <w:lang w:val="en-GB" w:eastAsia="en-US"/>
              </w:rPr>
              <w:t>Indirectly</w:t>
            </w:r>
          </w:p>
        </w:tc>
      </w:tr>
      <w:tr w:rsidR="00511045" w:rsidTr="002E01ED">
        <w:tc>
          <w:tcPr>
            <w:tcW w:w="571" w:type="dxa"/>
            <w:shd w:val="clear" w:color="auto" w:fill="auto"/>
          </w:tcPr>
          <w:p w:rsidR="00511045" w:rsidRDefault="00511045" w:rsidP="002E01ED">
            <w:pPr>
              <w:rPr>
                <w:sz w:val="22"/>
                <w:szCs w:val="22"/>
                <w:lang w:val="en-GB" w:eastAsia="en-US"/>
              </w:rPr>
            </w:pPr>
            <w:bookmarkStart w:id="150" w:name="_Toc413833908"/>
            <w:bookmarkStart w:id="151" w:name="_Toc414267032"/>
            <w:r>
              <w:rPr>
                <w:sz w:val="22"/>
                <w:szCs w:val="22"/>
                <w:lang w:val="en-GB" w:eastAsia="en-US"/>
              </w:rPr>
              <w:t>7.</w:t>
            </w:r>
            <w:bookmarkEnd w:id="150"/>
            <w:bookmarkEnd w:id="151"/>
          </w:p>
        </w:tc>
        <w:tc>
          <w:tcPr>
            <w:tcW w:w="5748" w:type="dxa"/>
            <w:shd w:val="clear" w:color="auto" w:fill="auto"/>
          </w:tcPr>
          <w:p w:rsidR="00511045" w:rsidRDefault="00511045" w:rsidP="002E01ED">
            <w:pPr>
              <w:jc w:val="both"/>
              <w:rPr>
                <w:rFonts w:cs="Arial"/>
                <w:bCs/>
                <w:sz w:val="22"/>
                <w:szCs w:val="22"/>
                <w:lang w:val="en-GB"/>
              </w:rPr>
            </w:pPr>
            <w:r>
              <w:rPr>
                <w:rFonts w:cs="Arial"/>
                <w:bCs/>
                <w:sz w:val="22"/>
                <w:szCs w:val="22"/>
                <w:lang w:val="en-GB"/>
              </w:rPr>
              <w:t xml:space="preserve">Investments and development of common, integrated, emergency management systems. </w:t>
            </w:r>
          </w:p>
        </w:tc>
        <w:tc>
          <w:tcPr>
            <w:tcW w:w="1800" w:type="dxa"/>
            <w:shd w:val="clear" w:color="auto" w:fill="auto"/>
          </w:tcPr>
          <w:p w:rsidR="00511045" w:rsidRDefault="00511045" w:rsidP="002E01ED">
            <w:pPr>
              <w:rPr>
                <w:sz w:val="22"/>
                <w:szCs w:val="22"/>
                <w:lang w:val="en-GB" w:eastAsia="en-US"/>
              </w:rPr>
            </w:pPr>
            <w:bookmarkStart w:id="152" w:name="_Toc413833909"/>
            <w:bookmarkStart w:id="153" w:name="_Toc414267033"/>
            <w:r>
              <w:rPr>
                <w:sz w:val="22"/>
                <w:szCs w:val="22"/>
                <w:lang w:val="en-GB" w:eastAsia="en-US"/>
              </w:rPr>
              <w:t>Air</w:t>
            </w:r>
          </w:p>
          <w:p w:rsidR="00511045" w:rsidRDefault="00511045" w:rsidP="002E01ED">
            <w:pPr>
              <w:rPr>
                <w:sz w:val="22"/>
                <w:szCs w:val="22"/>
                <w:lang w:val="en-GB" w:eastAsia="en-US"/>
              </w:rPr>
            </w:pPr>
            <w:r>
              <w:rPr>
                <w:sz w:val="22"/>
                <w:szCs w:val="22"/>
                <w:lang w:val="en-GB" w:eastAsia="en-US"/>
              </w:rPr>
              <w:t>Soil</w:t>
            </w:r>
            <w:bookmarkEnd w:id="152"/>
            <w:bookmarkEnd w:id="153"/>
            <w:r>
              <w:rPr>
                <w:sz w:val="22"/>
                <w:szCs w:val="22"/>
                <w:lang w:val="en-GB" w:eastAsia="en-US"/>
              </w:rPr>
              <w:t xml:space="preserve"> </w:t>
            </w:r>
          </w:p>
          <w:p w:rsidR="00511045" w:rsidRDefault="00511045" w:rsidP="002E01ED">
            <w:pPr>
              <w:rPr>
                <w:sz w:val="22"/>
                <w:szCs w:val="22"/>
                <w:lang w:val="en-GB" w:eastAsia="en-US"/>
              </w:rPr>
            </w:pPr>
            <w:r>
              <w:rPr>
                <w:sz w:val="22"/>
                <w:szCs w:val="22"/>
                <w:lang w:val="en-GB" w:eastAsia="en-US"/>
              </w:rPr>
              <w:t xml:space="preserve">Water </w:t>
            </w:r>
          </w:p>
          <w:p w:rsidR="00511045" w:rsidRDefault="00511045" w:rsidP="002E01ED">
            <w:pPr>
              <w:rPr>
                <w:sz w:val="22"/>
                <w:szCs w:val="22"/>
                <w:lang w:val="en-GB" w:eastAsia="en-US"/>
              </w:rPr>
            </w:pPr>
            <w:r>
              <w:rPr>
                <w:sz w:val="22"/>
                <w:szCs w:val="22"/>
                <w:lang w:val="en-GB" w:eastAsia="en-US"/>
              </w:rPr>
              <w:t>Waste</w:t>
            </w:r>
          </w:p>
          <w:p w:rsidR="00511045" w:rsidRDefault="00511045" w:rsidP="002E01ED">
            <w:pPr>
              <w:rPr>
                <w:sz w:val="22"/>
                <w:szCs w:val="22"/>
                <w:lang w:val="en-GB" w:eastAsia="en-US"/>
              </w:rPr>
            </w:pPr>
            <w:r>
              <w:rPr>
                <w:sz w:val="22"/>
                <w:szCs w:val="22"/>
                <w:lang w:val="en-GB" w:eastAsia="en-US"/>
              </w:rPr>
              <w:t>Management</w:t>
            </w:r>
          </w:p>
          <w:p w:rsidR="00511045" w:rsidRDefault="00511045" w:rsidP="002E01ED">
            <w:pPr>
              <w:rPr>
                <w:sz w:val="22"/>
                <w:szCs w:val="22"/>
                <w:lang w:val="en-GB" w:eastAsia="en-US"/>
              </w:rPr>
            </w:pPr>
            <w:r>
              <w:rPr>
                <w:sz w:val="22"/>
                <w:szCs w:val="22"/>
                <w:lang w:val="en-GB" w:eastAsia="en-US"/>
              </w:rPr>
              <w:t>Climate change</w:t>
            </w:r>
            <w:bookmarkStart w:id="154" w:name="_Toc413833911"/>
            <w:bookmarkStart w:id="155" w:name="_Toc414267035"/>
            <w:r>
              <w:rPr>
                <w:sz w:val="22"/>
                <w:szCs w:val="22"/>
                <w:lang w:val="en-GB" w:eastAsia="en-US"/>
              </w:rPr>
              <w:t>Biodiversit</w:t>
            </w:r>
            <w:bookmarkEnd w:id="154"/>
            <w:bookmarkEnd w:id="155"/>
            <w:r>
              <w:rPr>
                <w:sz w:val="22"/>
                <w:szCs w:val="22"/>
                <w:lang w:val="en-GB" w:eastAsia="en-US"/>
              </w:rPr>
              <w:t>y</w:t>
            </w:r>
          </w:p>
          <w:p w:rsidR="00511045" w:rsidRDefault="00511045" w:rsidP="002E01ED">
            <w:pPr>
              <w:rPr>
                <w:sz w:val="22"/>
                <w:szCs w:val="22"/>
                <w:lang w:val="en-GB" w:eastAsia="en-US"/>
              </w:rPr>
            </w:pPr>
          </w:p>
        </w:tc>
        <w:tc>
          <w:tcPr>
            <w:tcW w:w="1619" w:type="dxa"/>
            <w:shd w:val="clear" w:color="auto" w:fill="auto"/>
          </w:tcPr>
          <w:p w:rsidR="00511045" w:rsidRDefault="00511045" w:rsidP="002E01ED">
            <w:pPr>
              <w:rPr>
                <w:sz w:val="22"/>
                <w:szCs w:val="22"/>
                <w:lang w:val="en-GB" w:eastAsia="en-US"/>
              </w:rPr>
            </w:pPr>
            <w:bookmarkStart w:id="156" w:name="_Toc413833913"/>
            <w:bookmarkStart w:id="157" w:name="_Toc414267037"/>
            <w:r>
              <w:rPr>
                <w:sz w:val="22"/>
                <w:szCs w:val="22"/>
                <w:lang w:val="en-GB" w:eastAsia="en-US"/>
              </w:rPr>
              <w:t>Positiv</w:t>
            </w:r>
            <w:bookmarkEnd w:id="156"/>
            <w:bookmarkEnd w:id="157"/>
            <w:r>
              <w:rPr>
                <w:sz w:val="22"/>
                <w:szCs w:val="22"/>
                <w:lang w:val="en-GB" w:eastAsia="en-US"/>
              </w:rPr>
              <w:t>e</w:t>
            </w:r>
          </w:p>
        </w:tc>
      </w:tr>
      <w:tr w:rsidR="00511045" w:rsidTr="002E01ED">
        <w:tc>
          <w:tcPr>
            <w:tcW w:w="571" w:type="dxa"/>
            <w:shd w:val="clear" w:color="auto" w:fill="auto"/>
          </w:tcPr>
          <w:p w:rsidR="00511045" w:rsidRDefault="00511045" w:rsidP="002E01ED">
            <w:pPr>
              <w:rPr>
                <w:sz w:val="22"/>
                <w:szCs w:val="22"/>
                <w:lang w:val="en-GB" w:eastAsia="en-US"/>
              </w:rPr>
            </w:pPr>
            <w:bookmarkStart w:id="158" w:name="_Toc413833914"/>
            <w:bookmarkStart w:id="159" w:name="_Toc414267038"/>
            <w:r>
              <w:rPr>
                <w:sz w:val="22"/>
                <w:szCs w:val="22"/>
                <w:lang w:val="en-GB" w:eastAsia="en-US"/>
              </w:rPr>
              <w:t>8.</w:t>
            </w:r>
            <w:bookmarkEnd w:id="158"/>
            <w:bookmarkEnd w:id="159"/>
          </w:p>
        </w:tc>
        <w:tc>
          <w:tcPr>
            <w:tcW w:w="5748" w:type="dxa"/>
            <w:shd w:val="clear" w:color="auto" w:fill="auto"/>
          </w:tcPr>
          <w:p w:rsidR="00511045" w:rsidRDefault="00511045" w:rsidP="002E01ED">
            <w:pPr>
              <w:jc w:val="both"/>
              <w:rPr>
                <w:rFonts w:cs="Arial"/>
                <w:bCs/>
                <w:sz w:val="22"/>
                <w:szCs w:val="22"/>
                <w:lang w:val="en-GB"/>
              </w:rPr>
            </w:pPr>
            <w:r>
              <w:rPr>
                <w:rFonts w:cs="Arial"/>
                <w:bCs/>
                <w:sz w:val="22"/>
                <w:szCs w:val="22"/>
                <w:lang w:val="en-GB"/>
              </w:rPr>
              <w:t>Planning co-ordinated actions of the authorities in emergency situations caused by natural and man-made disasters (flood, fire, heat waves, earthquakes, storms).</w:t>
            </w:r>
          </w:p>
        </w:tc>
        <w:tc>
          <w:tcPr>
            <w:tcW w:w="1800" w:type="dxa"/>
            <w:shd w:val="clear" w:color="auto" w:fill="auto"/>
            <w:vAlign w:val="center"/>
          </w:tcPr>
          <w:p w:rsidR="00511045" w:rsidRDefault="00511045" w:rsidP="002E01ED">
            <w:pPr>
              <w:jc w:val="center"/>
              <w:rPr>
                <w:sz w:val="22"/>
                <w:szCs w:val="22"/>
                <w:lang w:val="en-GB" w:eastAsia="en-US"/>
              </w:rPr>
            </w:pPr>
            <w:r>
              <w:rPr>
                <w:sz w:val="22"/>
                <w:szCs w:val="22"/>
                <w:lang w:val="en-GB" w:eastAsia="en-US"/>
              </w:rPr>
              <w:t>Is not the case</w:t>
            </w:r>
          </w:p>
        </w:tc>
        <w:tc>
          <w:tcPr>
            <w:tcW w:w="1619" w:type="dxa"/>
            <w:shd w:val="clear" w:color="auto" w:fill="auto"/>
            <w:vAlign w:val="center"/>
          </w:tcPr>
          <w:p w:rsidR="00511045" w:rsidRDefault="00511045" w:rsidP="002E01ED">
            <w:pPr>
              <w:rPr>
                <w:sz w:val="22"/>
                <w:szCs w:val="22"/>
                <w:lang w:val="en-GB" w:eastAsia="en-US"/>
              </w:rPr>
            </w:pPr>
            <w:bookmarkStart w:id="160" w:name="_Toc413833916"/>
            <w:bookmarkStart w:id="161" w:name="_Toc414267040"/>
            <w:r>
              <w:rPr>
                <w:sz w:val="22"/>
                <w:szCs w:val="22"/>
                <w:lang w:val="en-GB" w:eastAsia="en-US"/>
              </w:rPr>
              <w:t>Indirect</w:t>
            </w:r>
            <w:bookmarkEnd w:id="160"/>
            <w:bookmarkEnd w:id="161"/>
          </w:p>
        </w:tc>
      </w:tr>
    </w:tbl>
    <w:p w:rsidR="00511045" w:rsidRDefault="00511045" w:rsidP="00511045">
      <w:pPr>
        <w:spacing w:before="60" w:after="60" w:line="288" w:lineRule="auto"/>
        <w:ind w:left="2160"/>
        <w:jc w:val="both"/>
        <w:rPr>
          <w:i/>
          <w:lang w:val="en-GB"/>
        </w:rPr>
      </w:pPr>
    </w:p>
    <w:p w:rsidR="00511045" w:rsidRDefault="00511045" w:rsidP="00511045">
      <w:pPr>
        <w:spacing w:before="60" w:after="60" w:line="288" w:lineRule="auto"/>
        <w:jc w:val="both"/>
        <w:rPr>
          <w:rFonts w:cs="Arial"/>
          <w:b/>
          <w:lang w:val="en-GB" w:eastAsia="en-US"/>
        </w:rPr>
      </w:pPr>
      <w:r>
        <w:rPr>
          <w:rFonts w:cs="Arial"/>
          <w:b/>
          <w:bCs/>
          <w:iCs/>
          <w:lang w:val="en-GB" w:eastAsia="en-US"/>
        </w:rPr>
        <w:t>Priority 4.3 Prevention and fight against organised crime and police cooperation</w:t>
      </w:r>
    </w:p>
    <w:tbl>
      <w:tblPr>
        <w:tblW w:w="9738"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5733"/>
        <w:gridCol w:w="1799"/>
        <w:gridCol w:w="1616"/>
      </w:tblGrid>
      <w:tr w:rsidR="00511045" w:rsidTr="002E01ED">
        <w:tc>
          <w:tcPr>
            <w:tcW w:w="590" w:type="dxa"/>
            <w:shd w:val="clear" w:color="auto" w:fill="auto"/>
            <w:vAlign w:val="center"/>
          </w:tcPr>
          <w:p w:rsidR="00511045" w:rsidRDefault="00511045" w:rsidP="002E01ED">
            <w:pPr>
              <w:rPr>
                <w:b/>
                <w:sz w:val="22"/>
                <w:szCs w:val="22"/>
                <w:lang w:val="en-GB" w:eastAsia="en-US"/>
              </w:rPr>
            </w:pPr>
            <w:r>
              <w:rPr>
                <w:b/>
                <w:sz w:val="22"/>
                <w:szCs w:val="22"/>
                <w:lang w:val="en-GB" w:eastAsia="en-US"/>
              </w:rPr>
              <w:t>No. crt.</w:t>
            </w:r>
          </w:p>
        </w:tc>
        <w:tc>
          <w:tcPr>
            <w:tcW w:w="5733" w:type="dxa"/>
            <w:shd w:val="clear" w:color="auto" w:fill="auto"/>
            <w:vAlign w:val="center"/>
          </w:tcPr>
          <w:p w:rsidR="00511045" w:rsidRDefault="00511045" w:rsidP="002E01ED">
            <w:pPr>
              <w:rPr>
                <w:b/>
                <w:sz w:val="22"/>
                <w:szCs w:val="22"/>
                <w:lang w:val="en-GB" w:eastAsia="en-US"/>
              </w:rPr>
            </w:pPr>
            <w:r>
              <w:rPr>
                <w:b/>
                <w:sz w:val="22"/>
                <w:szCs w:val="22"/>
                <w:lang w:val="en-GB" w:eastAsia="en-US"/>
              </w:rPr>
              <w:t xml:space="preserve">Indicative activities </w:t>
            </w:r>
          </w:p>
        </w:tc>
        <w:tc>
          <w:tcPr>
            <w:tcW w:w="1799" w:type="dxa"/>
            <w:shd w:val="clear" w:color="auto" w:fill="auto"/>
            <w:vAlign w:val="center"/>
          </w:tcPr>
          <w:p w:rsidR="00511045" w:rsidRDefault="00511045" w:rsidP="002E01ED">
            <w:pPr>
              <w:rPr>
                <w:b/>
                <w:sz w:val="22"/>
                <w:szCs w:val="22"/>
                <w:lang w:val="en-GB" w:eastAsia="en-US"/>
              </w:rPr>
            </w:pPr>
            <w:r>
              <w:rPr>
                <w:b/>
                <w:sz w:val="22"/>
                <w:szCs w:val="22"/>
                <w:lang w:val="en-GB" w:eastAsia="en-US"/>
              </w:rPr>
              <w:t>Environmental aspects and</w:t>
            </w:r>
          </w:p>
          <w:p w:rsidR="00511045" w:rsidRDefault="00511045" w:rsidP="002E01ED">
            <w:pPr>
              <w:rPr>
                <w:b/>
                <w:sz w:val="22"/>
                <w:szCs w:val="22"/>
                <w:lang w:val="en-GB" w:eastAsia="en-US"/>
              </w:rPr>
            </w:pPr>
            <w:r>
              <w:rPr>
                <w:b/>
                <w:sz w:val="22"/>
                <w:szCs w:val="22"/>
                <w:lang w:val="en-GB" w:eastAsia="en-US"/>
              </w:rPr>
              <w:t>objective considered</w:t>
            </w:r>
          </w:p>
        </w:tc>
        <w:tc>
          <w:tcPr>
            <w:tcW w:w="1616" w:type="dxa"/>
            <w:shd w:val="clear" w:color="auto" w:fill="auto"/>
            <w:vAlign w:val="center"/>
          </w:tcPr>
          <w:p w:rsidR="00511045" w:rsidRDefault="00511045" w:rsidP="002E01ED">
            <w:pPr>
              <w:rPr>
                <w:b/>
                <w:sz w:val="22"/>
                <w:szCs w:val="22"/>
                <w:lang w:val="en-GB" w:eastAsia="en-US"/>
              </w:rPr>
            </w:pPr>
            <w:r>
              <w:rPr>
                <w:b/>
                <w:sz w:val="22"/>
                <w:szCs w:val="22"/>
                <w:lang w:val="en-GB" w:eastAsia="en-US"/>
              </w:rPr>
              <w:t>Potential impact</w:t>
            </w:r>
          </w:p>
          <w:p w:rsidR="00511045" w:rsidRDefault="00511045" w:rsidP="002E01ED">
            <w:pPr>
              <w:rPr>
                <w:b/>
                <w:sz w:val="22"/>
                <w:szCs w:val="22"/>
                <w:lang w:val="en-GB" w:eastAsia="en-US"/>
              </w:rPr>
            </w:pPr>
          </w:p>
        </w:tc>
      </w:tr>
      <w:tr w:rsidR="00511045" w:rsidTr="002E01ED">
        <w:tc>
          <w:tcPr>
            <w:tcW w:w="590" w:type="dxa"/>
            <w:shd w:val="clear" w:color="auto" w:fill="auto"/>
          </w:tcPr>
          <w:p w:rsidR="00511045" w:rsidRDefault="00511045" w:rsidP="002E01ED">
            <w:pPr>
              <w:rPr>
                <w:sz w:val="22"/>
                <w:szCs w:val="22"/>
                <w:lang w:val="en-GB" w:eastAsia="en-US"/>
              </w:rPr>
            </w:pPr>
            <w:bookmarkStart w:id="162" w:name="_Toc413833933"/>
            <w:bookmarkStart w:id="163" w:name="_Toc414267057"/>
            <w:r>
              <w:rPr>
                <w:sz w:val="22"/>
                <w:szCs w:val="22"/>
                <w:lang w:val="en-GB" w:eastAsia="en-US"/>
              </w:rPr>
              <w:t>1.</w:t>
            </w:r>
            <w:bookmarkEnd w:id="162"/>
            <w:bookmarkEnd w:id="163"/>
          </w:p>
        </w:tc>
        <w:tc>
          <w:tcPr>
            <w:tcW w:w="5733" w:type="dxa"/>
            <w:shd w:val="clear" w:color="auto" w:fill="auto"/>
          </w:tcPr>
          <w:p w:rsidR="00511045" w:rsidRDefault="00511045" w:rsidP="002E01ED">
            <w:pPr>
              <w:jc w:val="both"/>
              <w:rPr>
                <w:rFonts w:cs="Arial"/>
                <w:bCs/>
                <w:sz w:val="22"/>
                <w:szCs w:val="22"/>
                <w:lang w:val="en-GB"/>
              </w:rPr>
            </w:pPr>
            <w:r>
              <w:rPr>
                <w:rFonts w:cs="Arial"/>
                <w:bCs/>
                <w:sz w:val="22"/>
                <w:szCs w:val="22"/>
                <w:lang w:val="en-GB"/>
              </w:rPr>
              <w:t>Common actions for increasing mobility and administrative capacity of police units (including border police);</w:t>
            </w:r>
          </w:p>
        </w:tc>
        <w:tc>
          <w:tcPr>
            <w:tcW w:w="1799" w:type="dxa"/>
            <w:shd w:val="clear" w:color="auto" w:fill="auto"/>
            <w:vAlign w:val="center"/>
          </w:tcPr>
          <w:p w:rsidR="00511045" w:rsidRDefault="00511045" w:rsidP="002E01ED">
            <w:pPr>
              <w:jc w:val="center"/>
            </w:pPr>
            <w:r>
              <w:rPr>
                <w:sz w:val="22"/>
                <w:szCs w:val="22"/>
                <w:lang w:val="en-GB" w:eastAsia="en-US"/>
              </w:rPr>
              <w:t>Is not the case</w:t>
            </w:r>
          </w:p>
        </w:tc>
        <w:tc>
          <w:tcPr>
            <w:tcW w:w="1616"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c>
          <w:tcPr>
            <w:tcW w:w="590" w:type="dxa"/>
            <w:shd w:val="clear" w:color="auto" w:fill="auto"/>
          </w:tcPr>
          <w:p w:rsidR="00511045" w:rsidRDefault="00511045" w:rsidP="002E01ED">
            <w:pPr>
              <w:rPr>
                <w:sz w:val="22"/>
                <w:szCs w:val="22"/>
                <w:lang w:val="en-GB" w:eastAsia="en-US"/>
              </w:rPr>
            </w:pPr>
            <w:bookmarkStart w:id="164" w:name="_Toc413833936"/>
            <w:bookmarkStart w:id="165" w:name="_Toc414267060"/>
            <w:r>
              <w:rPr>
                <w:sz w:val="22"/>
                <w:szCs w:val="22"/>
                <w:lang w:val="en-GB" w:eastAsia="en-US"/>
              </w:rPr>
              <w:t>2.</w:t>
            </w:r>
            <w:bookmarkEnd w:id="164"/>
            <w:bookmarkEnd w:id="165"/>
          </w:p>
        </w:tc>
        <w:tc>
          <w:tcPr>
            <w:tcW w:w="5733" w:type="dxa"/>
            <w:shd w:val="clear" w:color="auto" w:fill="auto"/>
          </w:tcPr>
          <w:p w:rsidR="00511045" w:rsidRDefault="00511045" w:rsidP="002E01ED">
            <w:pPr>
              <w:jc w:val="both"/>
              <w:rPr>
                <w:rFonts w:cs="Arial"/>
                <w:bCs/>
                <w:sz w:val="22"/>
                <w:szCs w:val="22"/>
                <w:lang w:val="en-GB"/>
              </w:rPr>
            </w:pPr>
            <w:r>
              <w:rPr>
                <w:rFonts w:cs="Arial"/>
                <w:bCs/>
                <w:sz w:val="22"/>
                <w:szCs w:val="22"/>
                <w:lang w:val="en-GB"/>
              </w:rPr>
              <w:t>Creating collaborative working platforms in order to increase the efficiency of police, border police and custom structures in the exchange of data and information;</w:t>
            </w:r>
          </w:p>
        </w:tc>
        <w:tc>
          <w:tcPr>
            <w:tcW w:w="1799" w:type="dxa"/>
            <w:shd w:val="clear" w:color="auto" w:fill="auto"/>
            <w:vAlign w:val="center"/>
          </w:tcPr>
          <w:p w:rsidR="00511045" w:rsidRDefault="00511045" w:rsidP="002E01ED">
            <w:pPr>
              <w:jc w:val="center"/>
            </w:pPr>
            <w:r>
              <w:rPr>
                <w:sz w:val="22"/>
                <w:szCs w:val="22"/>
                <w:lang w:val="en-GB" w:eastAsia="en-US"/>
              </w:rPr>
              <w:t>Is not the case</w:t>
            </w:r>
          </w:p>
        </w:tc>
        <w:tc>
          <w:tcPr>
            <w:tcW w:w="1616"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c>
          <w:tcPr>
            <w:tcW w:w="590" w:type="dxa"/>
            <w:shd w:val="clear" w:color="auto" w:fill="auto"/>
          </w:tcPr>
          <w:p w:rsidR="00511045" w:rsidRDefault="00511045" w:rsidP="002E01ED">
            <w:pPr>
              <w:rPr>
                <w:sz w:val="22"/>
                <w:szCs w:val="22"/>
                <w:lang w:val="en-GB" w:eastAsia="en-US"/>
              </w:rPr>
            </w:pPr>
            <w:bookmarkStart w:id="166" w:name="_Toc413833939"/>
            <w:bookmarkStart w:id="167" w:name="_Toc414267063"/>
            <w:r>
              <w:rPr>
                <w:sz w:val="22"/>
                <w:szCs w:val="22"/>
                <w:lang w:val="en-GB" w:eastAsia="en-US"/>
              </w:rPr>
              <w:t>3.</w:t>
            </w:r>
            <w:bookmarkEnd w:id="166"/>
            <w:bookmarkEnd w:id="167"/>
          </w:p>
        </w:tc>
        <w:tc>
          <w:tcPr>
            <w:tcW w:w="5733" w:type="dxa"/>
            <w:shd w:val="clear" w:color="auto" w:fill="auto"/>
          </w:tcPr>
          <w:p w:rsidR="00511045" w:rsidRDefault="00511045" w:rsidP="002E01ED">
            <w:pPr>
              <w:jc w:val="both"/>
              <w:rPr>
                <w:rFonts w:cs="Arial"/>
                <w:bCs/>
                <w:sz w:val="22"/>
                <w:szCs w:val="22"/>
                <w:lang w:val="en-GB"/>
              </w:rPr>
            </w:pPr>
            <w:r>
              <w:rPr>
                <w:rFonts w:cs="Arial"/>
                <w:bCs/>
                <w:sz w:val="22"/>
                <w:szCs w:val="22"/>
                <w:lang w:val="en-GB"/>
              </w:rPr>
              <w:t>Joint trainings of police, customs, border police, gendarmerie, exchange of best practices on specific areas of activity (analysis, criminal investigation, organized crime).</w:t>
            </w:r>
          </w:p>
        </w:tc>
        <w:tc>
          <w:tcPr>
            <w:tcW w:w="1799" w:type="dxa"/>
            <w:shd w:val="clear" w:color="auto" w:fill="auto"/>
            <w:vAlign w:val="center"/>
          </w:tcPr>
          <w:p w:rsidR="00511045" w:rsidRDefault="00511045" w:rsidP="002E01ED">
            <w:pPr>
              <w:jc w:val="center"/>
            </w:pPr>
            <w:r>
              <w:rPr>
                <w:sz w:val="22"/>
                <w:szCs w:val="22"/>
                <w:lang w:val="en-GB" w:eastAsia="en-US"/>
              </w:rPr>
              <w:t>Is not the case</w:t>
            </w:r>
          </w:p>
        </w:tc>
        <w:tc>
          <w:tcPr>
            <w:tcW w:w="1616" w:type="dxa"/>
            <w:shd w:val="clear" w:color="auto" w:fill="auto"/>
            <w:vAlign w:val="center"/>
          </w:tcPr>
          <w:p w:rsidR="00511045" w:rsidRDefault="00511045" w:rsidP="002E01ED">
            <w:pPr>
              <w:jc w:val="center"/>
            </w:pPr>
            <w:r>
              <w:rPr>
                <w:sz w:val="22"/>
                <w:szCs w:val="22"/>
                <w:lang w:val="en-GB" w:eastAsia="en-US"/>
              </w:rPr>
              <w:t>Indirectly</w:t>
            </w:r>
          </w:p>
        </w:tc>
      </w:tr>
      <w:tr w:rsidR="00511045" w:rsidTr="002E01ED">
        <w:tc>
          <w:tcPr>
            <w:tcW w:w="590" w:type="dxa"/>
            <w:shd w:val="clear" w:color="auto" w:fill="auto"/>
          </w:tcPr>
          <w:p w:rsidR="00511045" w:rsidRDefault="00511045" w:rsidP="002E01ED">
            <w:pPr>
              <w:rPr>
                <w:sz w:val="22"/>
                <w:szCs w:val="22"/>
                <w:lang w:val="en-GB" w:eastAsia="en-US"/>
              </w:rPr>
            </w:pPr>
            <w:bookmarkStart w:id="168" w:name="_Toc413833942"/>
            <w:bookmarkStart w:id="169" w:name="_Toc414267066"/>
            <w:r>
              <w:rPr>
                <w:sz w:val="22"/>
                <w:szCs w:val="22"/>
                <w:lang w:val="en-GB" w:eastAsia="en-US"/>
              </w:rPr>
              <w:t>4.</w:t>
            </w:r>
            <w:bookmarkEnd w:id="168"/>
            <w:bookmarkEnd w:id="169"/>
          </w:p>
        </w:tc>
        <w:tc>
          <w:tcPr>
            <w:tcW w:w="5733" w:type="dxa"/>
            <w:shd w:val="clear" w:color="auto" w:fill="auto"/>
          </w:tcPr>
          <w:p w:rsidR="00511045" w:rsidRDefault="00511045" w:rsidP="002E01ED">
            <w:pPr>
              <w:jc w:val="both"/>
              <w:rPr>
                <w:rFonts w:cs="Arial"/>
                <w:bCs/>
                <w:sz w:val="22"/>
                <w:szCs w:val="22"/>
                <w:lang w:val="en-GB"/>
              </w:rPr>
            </w:pPr>
            <w:r>
              <w:rPr>
                <w:rFonts w:cs="Arial"/>
                <w:bCs/>
                <w:sz w:val="22"/>
                <w:szCs w:val="22"/>
                <w:lang w:val="en-GB"/>
              </w:rPr>
              <w:t xml:space="preserve">Investment in construction, renovation or upgrading of police and border crossing infrastructure and related buildings; </w:t>
            </w:r>
          </w:p>
        </w:tc>
        <w:tc>
          <w:tcPr>
            <w:tcW w:w="1799" w:type="dxa"/>
            <w:shd w:val="clear" w:color="auto" w:fill="auto"/>
          </w:tcPr>
          <w:p w:rsidR="00511045" w:rsidRDefault="00511045" w:rsidP="002E01ED">
            <w:pPr>
              <w:rPr>
                <w:sz w:val="22"/>
                <w:szCs w:val="22"/>
                <w:lang w:val="en-GB" w:eastAsia="en-US"/>
              </w:rPr>
            </w:pPr>
            <w:r>
              <w:rPr>
                <w:sz w:val="22"/>
                <w:szCs w:val="22"/>
                <w:lang w:val="en-GB" w:eastAsia="en-US"/>
              </w:rPr>
              <w:t>Air</w:t>
            </w:r>
          </w:p>
          <w:p w:rsidR="00511045" w:rsidRDefault="00511045" w:rsidP="002E01ED">
            <w:pPr>
              <w:rPr>
                <w:sz w:val="22"/>
                <w:szCs w:val="22"/>
                <w:lang w:val="en-GB" w:eastAsia="en-US"/>
              </w:rPr>
            </w:pPr>
            <w:r>
              <w:rPr>
                <w:sz w:val="22"/>
                <w:szCs w:val="22"/>
                <w:lang w:val="en-GB" w:eastAsia="en-US"/>
              </w:rPr>
              <w:t>Water</w:t>
            </w:r>
          </w:p>
          <w:p w:rsidR="00511045" w:rsidRDefault="00511045" w:rsidP="002E01ED">
            <w:pPr>
              <w:rPr>
                <w:sz w:val="22"/>
                <w:szCs w:val="22"/>
                <w:lang w:val="en-GB" w:eastAsia="en-US"/>
              </w:rPr>
            </w:pPr>
            <w:r>
              <w:rPr>
                <w:sz w:val="22"/>
                <w:szCs w:val="22"/>
                <w:lang w:val="en-GB" w:eastAsia="en-US"/>
              </w:rPr>
              <w:t>Soil</w:t>
            </w:r>
          </w:p>
          <w:p w:rsidR="00511045" w:rsidRDefault="00511045" w:rsidP="002E01ED">
            <w:pPr>
              <w:rPr>
                <w:sz w:val="22"/>
                <w:szCs w:val="22"/>
                <w:lang w:val="en-GB" w:eastAsia="en-US"/>
              </w:rPr>
            </w:pPr>
            <w:r>
              <w:rPr>
                <w:sz w:val="22"/>
                <w:szCs w:val="22"/>
                <w:lang w:val="en-GB" w:eastAsia="en-US"/>
              </w:rPr>
              <w:lastRenderedPageBreak/>
              <w:t>Waste</w:t>
            </w:r>
          </w:p>
          <w:p w:rsidR="00511045" w:rsidRDefault="00511045" w:rsidP="002E01ED">
            <w:pPr>
              <w:rPr>
                <w:sz w:val="22"/>
                <w:szCs w:val="22"/>
                <w:lang w:val="en-GB" w:eastAsia="en-US"/>
              </w:rPr>
            </w:pPr>
            <w:r>
              <w:rPr>
                <w:sz w:val="22"/>
                <w:szCs w:val="22"/>
                <w:lang w:val="en-GB" w:eastAsia="en-US"/>
              </w:rPr>
              <w:t xml:space="preserve">Management </w:t>
            </w:r>
          </w:p>
        </w:tc>
        <w:tc>
          <w:tcPr>
            <w:tcW w:w="1616" w:type="dxa"/>
            <w:shd w:val="clear" w:color="auto" w:fill="auto"/>
            <w:vAlign w:val="center"/>
          </w:tcPr>
          <w:p w:rsidR="00511045" w:rsidRDefault="00511045" w:rsidP="002E01ED">
            <w:pPr>
              <w:jc w:val="center"/>
            </w:pPr>
            <w:r>
              <w:rPr>
                <w:sz w:val="22"/>
                <w:szCs w:val="22"/>
                <w:lang w:val="en-GB"/>
              </w:rPr>
              <w:lastRenderedPageBreak/>
              <w:t>Positive</w:t>
            </w:r>
          </w:p>
        </w:tc>
      </w:tr>
      <w:tr w:rsidR="00511045" w:rsidTr="002E01ED">
        <w:tc>
          <w:tcPr>
            <w:tcW w:w="590" w:type="dxa"/>
            <w:shd w:val="clear" w:color="auto" w:fill="auto"/>
          </w:tcPr>
          <w:p w:rsidR="00511045" w:rsidRDefault="00511045" w:rsidP="002E01ED">
            <w:pPr>
              <w:rPr>
                <w:sz w:val="22"/>
                <w:szCs w:val="22"/>
                <w:lang w:val="en-GB" w:eastAsia="en-US"/>
              </w:rPr>
            </w:pPr>
            <w:bookmarkStart w:id="170" w:name="_Toc413833949"/>
            <w:bookmarkStart w:id="171" w:name="_Toc414267073"/>
            <w:r>
              <w:rPr>
                <w:sz w:val="22"/>
                <w:szCs w:val="22"/>
                <w:lang w:val="en-GB" w:eastAsia="en-US"/>
              </w:rPr>
              <w:lastRenderedPageBreak/>
              <w:t>5.</w:t>
            </w:r>
            <w:bookmarkEnd w:id="170"/>
            <w:bookmarkEnd w:id="171"/>
          </w:p>
        </w:tc>
        <w:tc>
          <w:tcPr>
            <w:tcW w:w="5733" w:type="dxa"/>
            <w:shd w:val="clear" w:color="auto" w:fill="auto"/>
          </w:tcPr>
          <w:p w:rsidR="00511045" w:rsidRDefault="00511045" w:rsidP="002E01ED">
            <w:pPr>
              <w:jc w:val="both"/>
              <w:rPr>
                <w:rFonts w:cs="Arial"/>
                <w:bCs/>
                <w:sz w:val="22"/>
                <w:szCs w:val="22"/>
                <w:lang w:val="en-GB"/>
              </w:rPr>
            </w:pPr>
            <w:r>
              <w:rPr>
                <w:rFonts w:cs="Arial"/>
                <w:bCs/>
                <w:sz w:val="22"/>
                <w:szCs w:val="22"/>
                <w:lang w:val="en-GB"/>
              </w:rPr>
              <w:t>Investments in operating equipment and facilities specific for the activity of police/customs/border police/gendarmerie (e.g. laboratories,  equipment, detection tools,  hardware and software, means of transport);</w:t>
            </w:r>
          </w:p>
        </w:tc>
        <w:tc>
          <w:tcPr>
            <w:tcW w:w="1799" w:type="dxa"/>
            <w:shd w:val="clear" w:color="auto" w:fill="auto"/>
          </w:tcPr>
          <w:p w:rsidR="00511045" w:rsidRDefault="00511045" w:rsidP="002E01ED">
            <w:pPr>
              <w:rPr>
                <w:sz w:val="22"/>
                <w:szCs w:val="22"/>
                <w:lang w:val="en-GB" w:eastAsia="en-US"/>
              </w:rPr>
            </w:pPr>
            <w:r>
              <w:rPr>
                <w:sz w:val="22"/>
                <w:szCs w:val="22"/>
                <w:lang w:val="en-GB" w:eastAsia="en-US"/>
              </w:rPr>
              <w:t>Air</w:t>
            </w:r>
          </w:p>
          <w:p w:rsidR="00511045" w:rsidRDefault="00511045" w:rsidP="002E01ED">
            <w:pPr>
              <w:rPr>
                <w:sz w:val="22"/>
                <w:szCs w:val="22"/>
                <w:lang w:val="en-GB" w:eastAsia="en-US"/>
              </w:rPr>
            </w:pPr>
            <w:r>
              <w:rPr>
                <w:sz w:val="22"/>
                <w:szCs w:val="22"/>
                <w:lang w:val="en-GB" w:eastAsia="en-US"/>
              </w:rPr>
              <w:t>Climate change</w:t>
            </w:r>
          </w:p>
          <w:p w:rsidR="00511045" w:rsidRDefault="00511045" w:rsidP="002E01ED">
            <w:pPr>
              <w:rPr>
                <w:sz w:val="22"/>
                <w:szCs w:val="22"/>
                <w:lang w:val="en-GB" w:eastAsia="en-US"/>
              </w:rPr>
            </w:pPr>
          </w:p>
        </w:tc>
        <w:tc>
          <w:tcPr>
            <w:tcW w:w="1616" w:type="dxa"/>
            <w:shd w:val="clear" w:color="auto" w:fill="auto"/>
            <w:vAlign w:val="center"/>
          </w:tcPr>
          <w:p w:rsidR="00511045" w:rsidRDefault="00511045" w:rsidP="002E01ED">
            <w:pPr>
              <w:jc w:val="center"/>
            </w:pPr>
            <w:r>
              <w:rPr>
                <w:sz w:val="22"/>
                <w:szCs w:val="22"/>
                <w:lang w:val="en-GB"/>
              </w:rPr>
              <w:t>Positive</w:t>
            </w:r>
          </w:p>
        </w:tc>
      </w:tr>
      <w:tr w:rsidR="00511045" w:rsidTr="002E01ED">
        <w:tc>
          <w:tcPr>
            <w:tcW w:w="590" w:type="dxa"/>
            <w:shd w:val="clear" w:color="auto" w:fill="auto"/>
          </w:tcPr>
          <w:p w:rsidR="00511045" w:rsidRDefault="00511045" w:rsidP="002E01ED">
            <w:pPr>
              <w:rPr>
                <w:sz w:val="22"/>
                <w:szCs w:val="22"/>
                <w:lang w:val="en-GB" w:eastAsia="en-US"/>
              </w:rPr>
            </w:pPr>
            <w:bookmarkStart w:id="172" w:name="_Toc413833956"/>
            <w:bookmarkStart w:id="173" w:name="_Toc414267080"/>
            <w:r>
              <w:rPr>
                <w:sz w:val="22"/>
                <w:szCs w:val="22"/>
                <w:lang w:val="en-GB" w:eastAsia="en-US"/>
              </w:rPr>
              <w:t>6.</w:t>
            </w:r>
            <w:bookmarkEnd w:id="172"/>
            <w:bookmarkEnd w:id="173"/>
          </w:p>
        </w:tc>
        <w:tc>
          <w:tcPr>
            <w:tcW w:w="5733" w:type="dxa"/>
            <w:shd w:val="clear" w:color="auto" w:fill="auto"/>
          </w:tcPr>
          <w:p w:rsidR="00511045" w:rsidRDefault="00511045" w:rsidP="002E01ED">
            <w:pPr>
              <w:rPr>
                <w:sz w:val="22"/>
                <w:szCs w:val="22"/>
                <w:lang w:val="en-GB"/>
              </w:rPr>
            </w:pPr>
            <w:r>
              <w:rPr>
                <w:rFonts w:cs="Arial"/>
                <w:bCs/>
                <w:sz w:val="22"/>
                <w:szCs w:val="22"/>
                <w:lang w:val="en-GB"/>
              </w:rPr>
              <w:t>Developing common policies and strategies, experience exchange for fighting organised crime.</w:t>
            </w:r>
          </w:p>
        </w:tc>
        <w:tc>
          <w:tcPr>
            <w:tcW w:w="1799" w:type="dxa"/>
            <w:shd w:val="clear" w:color="auto" w:fill="auto"/>
            <w:vAlign w:val="center"/>
          </w:tcPr>
          <w:p w:rsidR="00511045" w:rsidRDefault="00511045" w:rsidP="002E01ED">
            <w:pPr>
              <w:jc w:val="center"/>
            </w:pPr>
            <w:r>
              <w:rPr>
                <w:sz w:val="22"/>
                <w:szCs w:val="22"/>
                <w:lang w:val="en-GB" w:eastAsia="en-US"/>
              </w:rPr>
              <w:t>Is not the case</w:t>
            </w:r>
          </w:p>
        </w:tc>
        <w:tc>
          <w:tcPr>
            <w:tcW w:w="1616" w:type="dxa"/>
            <w:shd w:val="clear" w:color="auto" w:fill="auto"/>
            <w:vAlign w:val="center"/>
          </w:tcPr>
          <w:p w:rsidR="00511045" w:rsidRDefault="00511045" w:rsidP="002E01ED">
            <w:pPr>
              <w:jc w:val="center"/>
            </w:pPr>
            <w:r>
              <w:rPr>
                <w:sz w:val="22"/>
                <w:szCs w:val="22"/>
                <w:lang w:val="en-GB" w:eastAsia="en-US"/>
              </w:rPr>
              <w:t>Indirectly</w:t>
            </w:r>
          </w:p>
        </w:tc>
      </w:tr>
    </w:tbl>
    <w:p w:rsidR="00511045" w:rsidRDefault="00511045" w:rsidP="00511045">
      <w:pPr>
        <w:spacing w:before="60" w:after="60" w:line="288" w:lineRule="auto"/>
        <w:ind w:left="720"/>
        <w:jc w:val="both"/>
        <w:rPr>
          <w:rFonts w:eastAsia="EUAlbertina-Regular-Identity-H"/>
          <w:bCs/>
          <w:lang w:val="en-GB" w:eastAsia="en-US"/>
        </w:rPr>
      </w:pPr>
    </w:p>
    <w:p w:rsidR="00511045" w:rsidRDefault="00511045" w:rsidP="00511045">
      <w:pPr>
        <w:spacing w:before="60" w:after="60" w:line="288" w:lineRule="auto"/>
        <w:ind w:left="720"/>
        <w:jc w:val="both"/>
        <w:rPr>
          <w:rFonts w:eastAsia="EUAlbertina-Regular-Identity-H"/>
          <w:bCs/>
          <w:lang w:val="en-GB" w:eastAsia="en-US"/>
        </w:rPr>
      </w:pPr>
    </w:p>
    <w:p w:rsidR="00511045" w:rsidRDefault="00511045" w:rsidP="00511045">
      <w:pPr>
        <w:spacing w:before="60" w:after="60" w:line="288" w:lineRule="auto"/>
        <w:ind w:firstLine="709"/>
        <w:jc w:val="both"/>
        <w:rPr>
          <w:rFonts w:cs="Arial"/>
          <w:b/>
          <w:lang w:val="en-GB" w:eastAsia="en-US"/>
        </w:rPr>
      </w:pPr>
      <w:r>
        <w:rPr>
          <w:rFonts w:cs="Arial"/>
          <w:b/>
          <w:lang w:val="en-GB" w:eastAsia="en-US"/>
        </w:rPr>
        <w:t>LARGE INFRASTRUCTURE PROJECTS</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5735"/>
        <w:gridCol w:w="1798"/>
        <w:gridCol w:w="1760"/>
      </w:tblGrid>
      <w:tr w:rsidR="00511045" w:rsidTr="002E01ED">
        <w:tc>
          <w:tcPr>
            <w:tcW w:w="571" w:type="dxa"/>
            <w:shd w:val="clear" w:color="auto" w:fill="auto"/>
            <w:vAlign w:val="center"/>
          </w:tcPr>
          <w:p w:rsidR="00511045" w:rsidRDefault="00511045" w:rsidP="002E01ED">
            <w:pPr>
              <w:rPr>
                <w:b/>
                <w:sz w:val="22"/>
                <w:szCs w:val="22"/>
                <w:lang w:val="en-GB" w:eastAsia="en-US"/>
              </w:rPr>
            </w:pPr>
            <w:r>
              <w:rPr>
                <w:b/>
                <w:sz w:val="22"/>
                <w:szCs w:val="22"/>
                <w:lang w:val="en-GB" w:eastAsia="en-US"/>
              </w:rPr>
              <w:t>No. crt.</w:t>
            </w:r>
          </w:p>
        </w:tc>
        <w:tc>
          <w:tcPr>
            <w:tcW w:w="5735" w:type="dxa"/>
            <w:shd w:val="clear" w:color="auto" w:fill="auto"/>
            <w:vAlign w:val="center"/>
          </w:tcPr>
          <w:p w:rsidR="00511045" w:rsidRDefault="00511045" w:rsidP="002E01ED">
            <w:pPr>
              <w:rPr>
                <w:b/>
                <w:sz w:val="22"/>
                <w:szCs w:val="22"/>
                <w:lang w:val="en-GB" w:eastAsia="en-US"/>
              </w:rPr>
            </w:pPr>
            <w:r>
              <w:rPr>
                <w:b/>
                <w:sz w:val="22"/>
                <w:szCs w:val="22"/>
                <w:lang w:val="en-GB" w:eastAsia="en-US"/>
              </w:rPr>
              <w:t xml:space="preserve">Indicative activities </w:t>
            </w:r>
          </w:p>
        </w:tc>
        <w:tc>
          <w:tcPr>
            <w:tcW w:w="1798" w:type="dxa"/>
            <w:shd w:val="clear" w:color="auto" w:fill="auto"/>
            <w:vAlign w:val="center"/>
          </w:tcPr>
          <w:p w:rsidR="00511045" w:rsidRDefault="00511045" w:rsidP="002E01ED">
            <w:pPr>
              <w:rPr>
                <w:b/>
                <w:sz w:val="22"/>
                <w:szCs w:val="22"/>
                <w:lang w:val="en-GB" w:eastAsia="en-US"/>
              </w:rPr>
            </w:pPr>
            <w:r>
              <w:rPr>
                <w:b/>
                <w:sz w:val="22"/>
                <w:szCs w:val="22"/>
                <w:lang w:val="en-GB" w:eastAsia="en-US"/>
              </w:rPr>
              <w:t>Environmental aspects and</w:t>
            </w:r>
          </w:p>
          <w:p w:rsidR="00511045" w:rsidRDefault="00511045" w:rsidP="002E01ED">
            <w:pPr>
              <w:rPr>
                <w:b/>
                <w:sz w:val="22"/>
                <w:szCs w:val="22"/>
                <w:lang w:val="en-GB" w:eastAsia="en-US"/>
              </w:rPr>
            </w:pPr>
            <w:r>
              <w:rPr>
                <w:b/>
                <w:sz w:val="22"/>
                <w:szCs w:val="22"/>
                <w:lang w:val="en-GB" w:eastAsia="en-US"/>
              </w:rPr>
              <w:t>objective considered</w:t>
            </w:r>
          </w:p>
        </w:tc>
        <w:tc>
          <w:tcPr>
            <w:tcW w:w="1760" w:type="dxa"/>
            <w:shd w:val="clear" w:color="auto" w:fill="auto"/>
            <w:vAlign w:val="center"/>
          </w:tcPr>
          <w:p w:rsidR="00511045" w:rsidRDefault="00511045" w:rsidP="002E01ED">
            <w:pPr>
              <w:rPr>
                <w:b/>
                <w:sz w:val="22"/>
                <w:szCs w:val="22"/>
                <w:lang w:val="en-GB" w:eastAsia="en-US"/>
              </w:rPr>
            </w:pPr>
            <w:r>
              <w:rPr>
                <w:b/>
                <w:sz w:val="22"/>
                <w:szCs w:val="22"/>
                <w:lang w:val="en-GB" w:eastAsia="en-US"/>
              </w:rPr>
              <w:t>Potential impact</w:t>
            </w:r>
          </w:p>
          <w:p w:rsidR="00511045" w:rsidRDefault="00511045" w:rsidP="002E01ED">
            <w:pPr>
              <w:rPr>
                <w:b/>
                <w:sz w:val="22"/>
                <w:szCs w:val="22"/>
                <w:lang w:val="en-GB" w:eastAsia="en-US"/>
              </w:rPr>
            </w:pPr>
          </w:p>
        </w:tc>
      </w:tr>
      <w:tr w:rsidR="00511045" w:rsidTr="002E01ED">
        <w:tc>
          <w:tcPr>
            <w:tcW w:w="571" w:type="dxa"/>
            <w:shd w:val="clear" w:color="auto" w:fill="auto"/>
            <w:vAlign w:val="center"/>
          </w:tcPr>
          <w:p w:rsidR="00511045" w:rsidRDefault="00511045" w:rsidP="002E01ED">
            <w:pPr>
              <w:rPr>
                <w:sz w:val="22"/>
                <w:szCs w:val="22"/>
                <w:lang w:val="en-GB" w:eastAsia="en-US"/>
              </w:rPr>
            </w:pPr>
            <w:r>
              <w:rPr>
                <w:sz w:val="22"/>
                <w:szCs w:val="22"/>
                <w:lang w:val="en-GB" w:eastAsia="en-US"/>
              </w:rPr>
              <w:t>1.</w:t>
            </w:r>
          </w:p>
        </w:tc>
        <w:tc>
          <w:tcPr>
            <w:tcW w:w="5735" w:type="dxa"/>
            <w:shd w:val="clear" w:color="auto" w:fill="auto"/>
          </w:tcPr>
          <w:p w:rsidR="00511045" w:rsidRDefault="00511045" w:rsidP="002E01ED">
            <w:pPr>
              <w:rPr>
                <w:rFonts w:cs="Arial"/>
                <w:lang w:val="en-GB"/>
              </w:rPr>
            </w:pPr>
            <w:r>
              <w:rPr>
                <w:rFonts w:cs="Arial"/>
                <w:lang w:val="en-GB"/>
              </w:rPr>
              <w:t>«Clean river»</w:t>
            </w:r>
            <w:r>
              <w:rPr>
                <w:rFonts w:eastAsia="Calibri" w:cs="Arial"/>
                <w:lang w:val="en-GB"/>
              </w:rPr>
              <w:t xml:space="preserve"> Dunărea</w:t>
            </w:r>
          </w:p>
        </w:tc>
        <w:tc>
          <w:tcPr>
            <w:tcW w:w="1798" w:type="dxa"/>
            <w:shd w:val="clear" w:color="auto" w:fill="auto"/>
            <w:vAlign w:val="center"/>
          </w:tcPr>
          <w:p w:rsidR="00511045" w:rsidRDefault="00511045" w:rsidP="002E01ED">
            <w:pPr>
              <w:rPr>
                <w:sz w:val="22"/>
                <w:szCs w:val="22"/>
                <w:lang w:val="en-GB"/>
              </w:rPr>
            </w:pPr>
            <w:bookmarkStart w:id="174" w:name="_Toc413833973"/>
            <w:bookmarkStart w:id="175" w:name="_Toc414267097"/>
            <w:r>
              <w:rPr>
                <w:sz w:val="22"/>
                <w:szCs w:val="22"/>
                <w:lang w:val="en-GB"/>
              </w:rPr>
              <w:t xml:space="preserve">Water </w:t>
            </w:r>
          </w:p>
          <w:p w:rsidR="00511045" w:rsidRDefault="00511045" w:rsidP="002E01ED">
            <w:pPr>
              <w:rPr>
                <w:sz w:val="22"/>
                <w:szCs w:val="22"/>
                <w:lang w:val="en-GB"/>
              </w:rPr>
            </w:pPr>
            <w:r>
              <w:rPr>
                <w:sz w:val="22"/>
                <w:szCs w:val="22"/>
                <w:lang w:val="en-GB"/>
              </w:rPr>
              <w:t>Biodiversity</w:t>
            </w:r>
            <w:bookmarkEnd w:id="174"/>
            <w:bookmarkEnd w:id="175"/>
          </w:p>
        </w:tc>
        <w:tc>
          <w:tcPr>
            <w:tcW w:w="1760" w:type="dxa"/>
            <w:shd w:val="clear" w:color="auto" w:fill="auto"/>
            <w:vAlign w:val="center"/>
          </w:tcPr>
          <w:p w:rsidR="00511045" w:rsidRDefault="00511045" w:rsidP="002E01ED">
            <w:pPr>
              <w:jc w:val="center"/>
              <w:rPr>
                <w:sz w:val="22"/>
                <w:szCs w:val="22"/>
                <w:lang w:val="en-GB"/>
              </w:rPr>
            </w:pPr>
            <w:r>
              <w:rPr>
                <w:sz w:val="22"/>
                <w:szCs w:val="22"/>
                <w:lang w:val="en-GB"/>
              </w:rPr>
              <w:t>Positive</w:t>
            </w:r>
          </w:p>
        </w:tc>
      </w:tr>
      <w:tr w:rsidR="00511045" w:rsidTr="002E01ED">
        <w:tc>
          <w:tcPr>
            <w:tcW w:w="571" w:type="dxa"/>
            <w:shd w:val="clear" w:color="auto" w:fill="auto"/>
            <w:vAlign w:val="center"/>
          </w:tcPr>
          <w:p w:rsidR="00511045" w:rsidRDefault="00511045" w:rsidP="002E01ED">
            <w:pPr>
              <w:rPr>
                <w:sz w:val="22"/>
                <w:szCs w:val="22"/>
                <w:lang w:val="en-GB" w:eastAsia="en-US"/>
              </w:rPr>
            </w:pPr>
          </w:p>
        </w:tc>
        <w:tc>
          <w:tcPr>
            <w:tcW w:w="5735" w:type="dxa"/>
            <w:shd w:val="clear" w:color="auto" w:fill="auto"/>
          </w:tcPr>
          <w:p w:rsidR="00511045" w:rsidRDefault="00511045" w:rsidP="002E01ED">
            <w:pPr>
              <w:rPr>
                <w:rFonts w:cs="Arial"/>
                <w:lang w:val="en-GB"/>
              </w:rPr>
            </w:pPr>
          </w:p>
        </w:tc>
        <w:tc>
          <w:tcPr>
            <w:tcW w:w="1798" w:type="dxa"/>
            <w:shd w:val="clear" w:color="auto" w:fill="auto"/>
            <w:vAlign w:val="center"/>
          </w:tcPr>
          <w:p w:rsidR="00511045" w:rsidRDefault="00511045" w:rsidP="002E01ED">
            <w:pPr>
              <w:rPr>
                <w:sz w:val="22"/>
                <w:szCs w:val="22"/>
                <w:lang w:val="en-GB"/>
              </w:rPr>
            </w:pPr>
          </w:p>
        </w:tc>
        <w:tc>
          <w:tcPr>
            <w:tcW w:w="1760" w:type="dxa"/>
            <w:shd w:val="clear" w:color="auto" w:fill="auto"/>
            <w:vAlign w:val="center"/>
          </w:tcPr>
          <w:p w:rsidR="00511045" w:rsidRDefault="00511045" w:rsidP="002E01ED">
            <w:pPr>
              <w:jc w:val="center"/>
              <w:rPr>
                <w:sz w:val="22"/>
                <w:szCs w:val="22"/>
                <w:lang w:val="en-GB"/>
              </w:rPr>
            </w:pPr>
          </w:p>
        </w:tc>
      </w:tr>
      <w:tr w:rsidR="00511045" w:rsidTr="002E01ED">
        <w:tc>
          <w:tcPr>
            <w:tcW w:w="571" w:type="dxa"/>
            <w:shd w:val="clear" w:color="auto" w:fill="auto"/>
            <w:vAlign w:val="center"/>
          </w:tcPr>
          <w:p w:rsidR="00511045" w:rsidRDefault="00511045" w:rsidP="002E01ED">
            <w:pPr>
              <w:rPr>
                <w:sz w:val="22"/>
                <w:szCs w:val="22"/>
                <w:lang w:val="en-GB" w:eastAsia="en-US"/>
              </w:rPr>
            </w:pPr>
            <w:r>
              <w:rPr>
                <w:sz w:val="22"/>
                <w:szCs w:val="22"/>
                <w:lang w:val="en-GB" w:eastAsia="en-US"/>
              </w:rPr>
              <w:t>3.</w:t>
            </w:r>
          </w:p>
        </w:tc>
        <w:tc>
          <w:tcPr>
            <w:tcW w:w="5735" w:type="dxa"/>
            <w:shd w:val="clear" w:color="auto" w:fill="auto"/>
          </w:tcPr>
          <w:p w:rsidR="00511045" w:rsidRDefault="00511045" w:rsidP="002E01ED">
            <w:pPr>
              <w:rPr>
                <w:rFonts w:cs="Arial"/>
                <w:color w:val="000000"/>
                <w:u w:color="000000"/>
                <w:lang w:val="en-GB"/>
              </w:rPr>
            </w:pPr>
            <w:r>
              <w:rPr>
                <w:rFonts w:cs="Arial"/>
                <w:color w:val="000000"/>
                <w:u w:color="000000"/>
                <w:lang w:val="en-GB"/>
              </w:rPr>
              <w:t>Improving the cross-border infrastructure – opening the gate to Europe</w:t>
            </w:r>
          </w:p>
        </w:tc>
        <w:tc>
          <w:tcPr>
            <w:tcW w:w="1798" w:type="dxa"/>
            <w:shd w:val="clear" w:color="auto" w:fill="auto"/>
          </w:tcPr>
          <w:p w:rsidR="00511045" w:rsidRDefault="00511045" w:rsidP="002E01ED">
            <w:pPr>
              <w:rPr>
                <w:sz w:val="22"/>
                <w:szCs w:val="22"/>
                <w:lang w:val="en-GB"/>
              </w:rPr>
            </w:pPr>
            <w:r>
              <w:rPr>
                <w:sz w:val="22"/>
                <w:szCs w:val="22"/>
                <w:lang w:val="en-GB"/>
              </w:rPr>
              <w:t>Air</w:t>
            </w:r>
          </w:p>
          <w:p w:rsidR="00511045" w:rsidRDefault="00511045" w:rsidP="002E01ED">
            <w:pPr>
              <w:rPr>
                <w:sz w:val="22"/>
                <w:szCs w:val="22"/>
                <w:lang w:val="en-GB"/>
              </w:rPr>
            </w:pPr>
            <w:r>
              <w:rPr>
                <w:sz w:val="22"/>
                <w:szCs w:val="22"/>
                <w:lang w:val="en-GB"/>
              </w:rPr>
              <w:t>Water</w:t>
            </w:r>
          </w:p>
          <w:p w:rsidR="00511045" w:rsidRDefault="00511045" w:rsidP="002E01ED">
            <w:pPr>
              <w:rPr>
                <w:sz w:val="22"/>
                <w:szCs w:val="22"/>
                <w:lang w:val="en-GB"/>
              </w:rPr>
            </w:pPr>
            <w:r>
              <w:rPr>
                <w:sz w:val="22"/>
                <w:szCs w:val="22"/>
                <w:lang w:val="en-GB"/>
              </w:rPr>
              <w:t>Soil</w:t>
            </w:r>
          </w:p>
          <w:p w:rsidR="00511045" w:rsidRDefault="00511045" w:rsidP="002E01ED">
            <w:pPr>
              <w:rPr>
                <w:sz w:val="22"/>
                <w:szCs w:val="22"/>
                <w:lang w:val="en-GB"/>
              </w:rPr>
            </w:pPr>
            <w:r>
              <w:rPr>
                <w:sz w:val="22"/>
                <w:szCs w:val="22"/>
                <w:lang w:val="en-GB"/>
              </w:rPr>
              <w:t>Waste</w:t>
            </w:r>
          </w:p>
          <w:p w:rsidR="00511045" w:rsidRDefault="00511045" w:rsidP="002E01ED">
            <w:pPr>
              <w:rPr>
                <w:sz w:val="22"/>
                <w:szCs w:val="22"/>
                <w:lang w:val="en-GB"/>
              </w:rPr>
            </w:pPr>
            <w:r>
              <w:rPr>
                <w:sz w:val="22"/>
                <w:szCs w:val="22"/>
                <w:lang w:val="en-GB"/>
              </w:rPr>
              <w:t xml:space="preserve">Management </w:t>
            </w:r>
          </w:p>
        </w:tc>
        <w:tc>
          <w:tcPr>
            <w:tcW w:w="1760" w:type="dxa"/>
            <w:shd w:val="clear" w:color="auto" w:fill="auto"/>
            <w:vAlign w:val="center"/>
          </w:tcPr>
          <w:p w:rsidR="00511045" w:rsidRDefault="00511045" w:rsidP="002E01ED">
            <w:pPr>
              <w:jc w:val="center"/>
              <w:rPr>
                <w:sz w:val="22"/>
                <w:szCs w:val="22"/>
                <w:lang w:val="en-GB"/>
              </w:rPr>
            </w:pPr>
            <w:r>
              <w:rPr>
                <w:sz w:val="22"/>
                <w:szCs w:val="22"/>
                <w:lang w:val="en-GB"/>
              </w:rPr>
              <w:t>Positive</w:t>
            </w:r>
          </w:p>
        </w:tc>
      </w:tr>
      <w:tr w:rsidR="00511045" w:rsidTr="002E01ED">
        <w:tc>
          <w:tcPr>
            <w:tcW w:w="571" w:type="dxa"/>
            <w:shd w:val="clear" w:color="auto" w:fill="auto"/>
            <w:vAlign w:val="center"/>
          </w:tcPr>
          <w:p w:rsidR="00511045" w:rsidRDefault="00511045" w:rsidP="002E01ED">
            <w:pPr>
              <w:rPr>
                <w:sz w:val="22"/>
                <w:szCs w:val="22"/>
                <w:lang w:val="en-GB" w:eastAsia="en-US"/>
              </w:rPr>
            </w:pPr>
            <w:r>
              <w:rPr>
                <w:sz w:val="22"/>
                <w:szCs w:val="22"/>
                <w:lang w:val="en-GB" w:eastAsia="en-US"/>
              </w:rPr>
              <w:t>4.</w:t>
            </w:r>
          </w:p>
        </w:tc>
        <w:tc>
          <w:tcPr>
            <w:tcW w:w="5735" w:type="dxa"/>
            <w:shd w:val="clear" w:color="auto" w:fill="auto"/>
          </w:tcPr>
          <w:p w:rsidR="00511045" w:rsidRDefault="00511045" w:rsidP="002E01ED">
            <w:pPr>
              <w:rPr>
                <w:rFonts w:cs="Arial"/>
                <w:color w:val="000000"/>
                <w:u w:color="000000"/>
                <w:lang w:val="en-GB"/>
              </w:rPr>
            </w:pPr>
            <w:r>
              <w:rPr>
                <w:rFonts w:cs="Arial"/>
                <w:color w:val="000000"/>
                <w:u w:color="000000"/>
                <w:lang w:val="en-GB"/>
              </w:rPr>
              <w:t>Regional Cooperation for Prevention and Fighting of Cross-border Crime between Romania-Ukraine</w:t>
            </w:r>
          </w:p>
        </w:tc>
        <w:tc>
          <w:tcPr>
            <w:tcW w:w="1798" w:type="dxa"/>
            <w:shd w:val="clear" w:color="auto" w:fill="auto"/>
            <w:vAlign w:val="center"/>
          </w:tcPr>
          <w:p w:rsidR="00511045" w:rsidRDefault="00511045" w:rsidP="002E01ED">
            <w:pPr>
              <w:rPr>
                <w:sz w:val="22"/>
                <w:szCs w:val="22"/>
                <w:lang w:val="en-GB"/>
              </w:rPr>
            </w:pPr>
            <w:r>
              <w:rPr>
                <w:sz w:val="22"/>
                <w:szCs w:val="22"/>
                <w:lang w:val="en-GB"/>
              </w:rPr>
              <w:t>Air</w:t>
            </w:r>
          </w:p>
          <w:p w:rsidR="00511045" w:rsidRDefault="00511045" w:rsidP="002E01ED">
            <w:pPr>
              <w:rPr>
                <w:sz w:val="22"/>
                <w:szCs w:val="22"/>
                <w:lang w:val="en-GB"/>
              </w:rPr>
            </w:pPr>
            <w:r>
              <w:rPr>
                <w:sz w:val="22"/>
                <w:szCs w:val="22"/>
                <w:lang w:val="en-GB"/>
              </w:rPr>
              <w:t>Water</w:t>
            </w:r>
          </w:p>
          <w:p w:rsidR="00511045" w:rsidRDefault="00511045" w:rsidP="002E01ED">
            <w:pPr>
              <w:rPr>
                <w:sz w:val="22"/>
                <w:szCs w:val="22"/>
                <w:lang w:val="en-GB"/>
              </w:rPr>
            </w:pPr>
            <w:r>
              <w:rPr>
                <w:sz w:val="22"/>
                <w:szCs w:val="22"/>
                <w:lang w:val="en-GB"/>
              </w:rPr>
              <w:t>Soil</w:t>
            </w:r>
          </w:p>
          <w:p w:rsidR="00511045" w:rsidRDefault="00511045" w:rsidP="002E01ED">
            <w:pPr>
              <w:rPr>
                <w:sz w:val="22"/>
                <w:szCs w:val="22"/>
                <w:lang w:val="en-GB"/>
              </w:rPr>
            </w:pPr>
            <w:r>
              <w:rPr>
                <w:sz w:val="22"/>
                <w:szCs w:val="22"/>
                <w:lang w:val="en-GB"/>
              </w:rPr>
              <w:t>Waste</w:t>
            </w:r>
          </w:p>
          <w:p w:rsidR="00511045" w:rsidRDefault="00511045" w:rsidP="002E01ED">
            <w:pPr>
              <w:jc w:val="center"/>
            </w:pPr>
            <w:r>
              <w:rPr>
                <w:sz w:val="22"/>
                <w:szCs w:val="22"/>
                <w:lang w:val="en-GB"/>
              </w:rPr>
              <w:t xml:space="preserve">Management </w:t>
            </w:r>
          </w:p>
        </w:tc>
        <w:tc>
          <w:tcPr>
            <w:tcW w:w="1760" w:type="dxa"/>
            <w:shd w:val="clear" w:color="auto" w:fill="auto"/>
            <w:vAlign w:val="center"/>
          </w:tcPr>
          <w:p w:rsidR="00511045" w:rsidRDefault="00511045" w:rsidP="002E01ED">
            <w:pPr>
              <w:jc w:val="center"/>
            </w:pPr>
            <w:r>
              <w:rPr>
                <w:sz w:val="22"/>
                <w:szCs w:val="22"/>
                <w:lang w:val="en-GB"/>
              </w:rPr>
              <w:t>Positive</w:t>
            </w:r>
          </w:p>
        </w:tc>
      </w:tr>
      <w:tr w:rsidR="00511045" w:rsidTr="002E01ED">
        <w:tc>
          <w:tcPr>
            <w:tcW w:w="571" w:type="dxa"/>
            <w:shd w:val="clear" w:color="auto" w:fill="auto"/>
            <w:vAlign w:val="center"/>
          </w:tcPr>
          <w:p w:rsidR="00511045" w:rsidRDefault="00511045" w:rsidP="002E01ED">
            <w:pPr>
              <w:rPr>
                <w:sz w:val="22"/>
                <w:szCs w:val="22"/>
                <w:lang w:val="en-GB" w:eastAsia="en-US"/>
              </w:rPr>
            </w:pPr>
            <w:r>
              <w:rPr>
                <w:sz w:val="22"/>
                <w:szCs w:val="22"/>
                <w:lang w:val="en-GB" w:eastAsia="en-US"/>
              </w:rPr>
              <w:t>5.</w:t>
            </w:r>
          </w:p>
        </w:tc>
        <w:tc>
          <w:tcPr>
            <w:tcW w:w="5735" w:type="dxa"/>
            <w:shd w:val="clear" w:color="auto" w:fill="auto"/>
          </w:tcPr>
          <w:p w:rsidR="00511045" w:rsidRDefault="00511045" w:rsidP="002E01ED">
            <w:pPr>
              <w:rPr>
                <w:rFonts w:eastAsia="Calibri" w:cs="Arial"/>
                <w:lang w:val="en-GB"/>
              </w:rPr>
            </w:pPr>
            <w:r>
              <w:rPr>
                <w:rFonts w:eastAsia="Calibri" w:cs="Arial"/>
                <w:lang w:val="en-GB"/>
              </w:rPr>
              <w:t>Improvement of the population safety and security level in the cross-border area by enhancing the joint training and cooperation actions in emergency management.</w:t>
            </w:r>
          </w:p>
        </w:tc>
        <w:tc>
          <w:tcPr>
            <w:tcW w:w="1798" w:type="dxa"/>
            <w:shd w:val="clear" w:color="auto" w:fill="auto"/>
            <w:vAlign w:val="center"/>
          </w:tcPr>
          <w:p w:rsidR="00511045" w:rsidRDefault="00511045" w:rsidP="002E01ED">
            <w:pPr>
              <w:rPr>
                <w:sz w:val="22"/>
                <w:szCs w:val="22"/>
                <w:lang w:val="en-GB"/>
              </w:rPr>
            </w:pPr>
            <w:r>
              <w:rPr>
                <w:sz w:val="22"/>
                <w:szCs w:val="22"/>
                <w:lang w:val="en-GB"/>
              </w:rPr>
              <w:t>Air</w:t>
            </w:r>
          </w:p>
          <w:p w:rsidR="00511045" w:rsidRDefault="00511045" w:rsidP="002E01ED">
            <w:pPr>
              <w:rPr>
                <w:sz w:val="22"/>
                <w:szCs w:val="22"/>
                <w:lang w:val="en-GB"/>
              </w:rPr>
            </w:pPr>
            <w:r>
              <w:rPr>
                <w:sz w:val="22"/>
                <w:szCs w:val="22"/>
                <w:lang w:val="en-GB"/>
              </w:rPr>
              <w:t>Water</w:t>
            </w:r>
          </w:p>
          <w:p w:rsidR="00511045" w:rsidRDefault="00511045" w:rsidP="002E01ED">
            <w:pPr>
              <w:rPr>
                <w:sz w:val="22"/>
                <w:szCs w:val="22"/>
                <w:lang w:val="en-GB"/>
              </w:rPr>
            </w:pPr>
            <w:r>
              <w:rPr>
                <w:sz w:val="22"/>
                <w:szCs w:val="22"/>
                <w:lang w:val="en-GB"/>
              </w:rPr>
              <w:t>Soil</w:t>
            </w:r>
          </w:p>
          <w:p w:rsidR="00511045" w:rsidRDefault="00511045" w:rsidP="002E01ED">
            <w:pPr>
              <w:rPr>
                <w:sz w:val="22"/>
                <w:szCs w:val="22"/>
                <w:lang w:val="en-GB"/>
              </w:rPr>
            </w:pPr>
            <w:r>
              <w:rPr>
                <w:sz w:val="22"/>
                <w:szCs w:val="22"/>
                <w:lang w:val="en-GB"/>
              </w:rPr>
              <w:t>Waste</w:t>
            </w:r>
          </w:p>
          <w:p w:rsidR="00511045" w:rsidRDefault="00511045" w:rsidP="002E01ED">
            <w:pPr>
              <w:jc w:val="center"/>
            </w:pPr>
            <w:r>
              <w:rPr>
                <w:sz w:val="22"/>
                <w:szCs w:val="22"/>
                <w:lang w:val="en-GB"/>
              </w:rPr>
              <w:t>Management</w:t>
            </w:r>
          </w:p>
        </w:tc>
        <w:tc>
          <w:tcPr>
            <w:tcW w:w="1760" w:type="dxa"/>
            <w:shd w:val="clear" w:color="auto" w:fill="auto"/>
            <w:vAlign w:val="center"/>
          </w:tcPr>
          <w:p w:rsidR="00511045" w:rsidRDefault="00511045" w:rsidP="002E01ED">
            <w:pPr>
              <w:jc w:val="center"/>
            </w:pPr>
            <w:r>
              <w:rPr>
                <w:sz w:val="22"/>
                <w:szCs w:val="22"/>
                <w:lang w:val="en-GB" w:eastAsia="en-US"/>
              </w:rPr>
              <w:t>Positive</w:t>
            </w:r>
          </w:p>
        </w:tc>
      </w:tr>
    </w:tbl>
    <w:p w:rsidR="00511045" w:rsidRDefault="00511045" w:rsidP="00511045">
      <w:pPr>
        <w:rPr>
          <w:highlight w:val="yellow"/>
          <w:lang w:val="en-GB" w:eastAsia="x-none"/>
        </w:rPr>
      </w:pPr>
    </w:p>
    <w:p w:rsidR="00511045" w:rsidRDefault="00511045" w:rsidP="00511045">
      <w:pPr>
        <w:ind w:firstLine="851"/>
        <w:jc w:val="both"/>
        <w:rPr>
          <w:lang w:val="en-GB" w:eastAsia="x-none"/>
        </w:rPr>
      </w:pPr>
      <w:r>
        <w:rPr>
          <w:lang w:val="en-GB" w:eastAsia="x-none"/>
        </w:rPr>
        <w:t xml:space="preserve">The resulted effects on the environment of the each indicative activities corresponding to the thematic objectives priorities of the Programme Ro-Ua will be identified and estimated. In this evaluation all the national, European and international relevant environmental objectives and policies are taken into consideration. </w:t>
      </w:r>
    </w:p>
    <w:p w:rsidR="00511045" w:rsidRDefault="00511045" w:rsidP="00511045">
      <w:pPr>
        <w:ind w:firstLine="851"/>
        <w:jc w:val="both"/>
        <w:rPr>
          <w:lang w:val="en-GB" w:eastAsia="x-none"/>
        </w:rPr>
      </w:pPr>
      <w:r>
        <w:rPr>
          <w:lang w:val="en-GB" w:eastAsia="x-none"/>
        </w:rPr>
        <w:t>The impact of the eligibile activities financed by the Program is analysed for each of the following  relevant aspects that characterised the environment:</w:t>
      </w:r>
    </w:p>
    <w:p w:rsidR="00511045" w:rsidRDefault="00511045" w:rsidP="00511045">
      <w:pPr>
        <w:numPr>
          <w:ilvl w:val="0"/>
          <w:numId w:val="61"/>
        </w:numPr>
        <w:ind w:left="1134" w:hanging="283"/>
        <w:rPr>
          <w:lang w:val="en-GB" w:eastAsia="x-none"/>
        </w:rPr>
      </w:pPr>
      <w:r>
        <w:rPr>
          <w:lang w:val="en-GB" w:eastAsia="x-none"/>
        </w:rPr>
        <w:t>Air;</w:t>
      </w:r>
    </w:p>
    <w:p w:rsidR="00511045" w:rsidRDefault="00511045" w:rsidP="00511045">
      <w:pPr>
        <w:numPr>
          <w:ilvl w:val="0"/>
          <w:numId w:val="61"/>
        </w:numPr>
        <w:ind w:left="1134" w:hanging="283"/>
        <w:rPr>
          <w:lang w:val="en-GB" w:eastAsia="x-none"/>
        </w:rPr>
      </w:pPr>
      <w:r>
        <w:rPr>
          <w:lang w:val="en-GB" w:eastAsia="x-none"/>
        </w:rPr>
        <w:t>Surface and underground waters;</w:t>
      </w:r>
    </w:p>
    <w:p w:rsidR="00511045" w:rsidRDefault="00511045" w:rsidP="00511045">
      <w:pPr>
        <w:numPr>
          <w:ilvl w:val="0"/>
          <w:numId w:val="61"/>
        </w:numPr>
        <w:ind w:left="1134" w:hanging="283"/>
        <w:rPr>
          <w:lang w:val="en-GB" w:eastAsia="x-none"/>
        </w:rPr>
      </w:pPr>
      <w:r>
        <w:rPr>
          <w:lang w:val="en-GB" w:eastAsia="x-none"/>
        </w:rPr>
        <w:t>Soil and subsoil and landscape;</w:t>
      </w:r>
    </w:p>
    <w:p w:rsidR="00511045" w:rsidRDefault="00511045" w:rsidP="00511045">
      <w:pPr>
        <w:numPr>
          <w:ilvl w:val="0"/>
          <w:numId w:val="61"/>
        </w:numPr>
        <w:ind w:left="1134" w:hanging="283"/>
        <w:rPr>
          <w:lang w:val="en-GB" w:eastAsia="x-none"/>
        </w:rPr>
      </w:pPr>
      <w:r>
        <w:rPr>
          <w:lang w:val="en-GB" w:eastAsia="x-none"/>
        </w:rPr>
        <w:t>Climate changes;</w:t>
      </w:r>
    </w:p>
    <w:p w:rsidR="00511045" w:rsidRDefault="00511045" w:rsidP="00511045">
      <w:pPr>
        <w:numPr>
          <w:ilvl w:val="0"/>
          <w:numId w:val="61"/>
        </w:numPr>
        <w:ind w:left="1134" w:hanging="283"/>
        <w:rPr>
          <w:lang w:val="en-GB" w:eastAsia="x-none"/>
        </w:rPr>
      </w:pPr>
      <w:r>
        <w:rPr>
          <w:lang w:val="en-GB" w:eastAsia="x-none"/>
        </w:rPr>
        <w:t>Population and public health;</w:t>
      </w:r>
    </w:p>
    <w:p w:rsidR="00511045" w:rsidRDefault="00511045" w:rsidP="00511045">
      <w:pPr>
        <w:numPr>
          <w:ilvl w:val="0"/>
          <w:numId w:val="61"/>
        </w:numPr>
        <w:ind w:left="1134" w:hanging="283"/>
        <w:rPr>
          <w:lang w:val="en-GB" w:eastAsia="x-none"/>
        </w:rPr>
      </w:pPr>
      <w:r>
        <w:rPr>
          <w:lang w:val="en-GB" w:eastAsia="x-none"/>
        </w:rPr>
        <w:t>Biodiversity, flora and fauna;</w:t>
      </w:r>
    </w:p>
    <w:p w:rsidR="00511045" w:rsidRDefault="00511045" w:rsidP="00511045">
      <w:pPr>
        <w:numPr>
          <w:ilvl w:val="0"/>
          <w:numId w:val="61"/>
        </w:numPr>
        <w:ind w:left="1134" w:hanging="283"/>
        <w:rPr>
          <w:lang w:val="en-GB" w:eastAsia="x-none"/>
        </w:rPr>
      </w:pPr>
      <w:r>
        <w:rPr>
          <w:lang w:val="en-GB" w:eastAsia="x-none"/>
        </w:rPr>
        <w:t>Waste management;</w:t>
      </w:r>
    </w:p>
    <w:p w:rsidR="00511045" w:rsidRDefault="00511045" w:rsidP="00511045">
      <w:pPr>
        <w:numPr>
          <w:ilvl w:val="0"/>
          <w:numId w:val="61"/>
        </w:numPr>
        <w:ind w:left="1134" w:hanging="283"/>
        <w:rPr>
          <w:lang w:val="en-GB" w:eastAsia="x-none"/>
        </w:rPr>
      </w:pPr>
      <w:r>
        <w:rPr>
          <w:lang w:val="en-GB" w:eastAsia="x-none"/>
        </w:rPr>
        <w:t>Cultural heritage;</w:t>
      </w:r>
    </w:p>
    <w:p w:rsidR="00511045" w:rsidRDefault="00511045" w:rsidP="00511045">
      <w:pPr>
        <w:numPr>
          <w:ilvl w:val="0"/>
          <w:numId w:val="61"/>
        </w:numPr>
        <w:ind w:left="1134" w:hanging="283"/>
        <w:rPr>
          <w:lang w:val="en-GB" w:eastAsia="x-none"/>
        </w:rPr>
      </w:pPr>
      <w:r>
        <w:rPr>
          <w:lang w:val="en-GB" w:eastAsia="x-none"/>
        </w:rPr>
        <w:t>Resources efficiency, including</w:t>
      </w:r>
      <w:r>
        <w:rPr>
          <w:rFonts w:cs="Arial"/>
          <w:color w:val="222222"/>
          <w:lang w:val="en"/>
        </w:rPr>
        <w:t xml:space="preserve"> </w:t>
      </w:r>
      <w:r>
        <w:rPr>
          <w:rStyle w:val="hps"/>
          <w:rFonts w:cs="Arial"/>
          <w:color w:val="222222"/>
          <w:lang w:val="en"/>
        </w:rPr>
        <w:t>renewable</w:t>
      </w:r>
      <w:r>
        <w:rPr>
          <w:lang w:val="en-GB" w:eastAsia="x-none"/>
        </w:rPr>
        <w:t xml:space="preserve"> sources</w:t>
      </w:r>
    </w:p>
    <w:p w:rsidR="00511045" w:rsidRPr="00B917E1" w:rsidRDefault="00511045" w:rsidP="00511045">
      <w:pPr>
        <w:tabs>
          <w:tab w:val="left" w:pos="0"/>
        </w:tabs>
        <w:jc w:val="both"/>
        <w:rPr>
          <w:lang w:val="en-US" w:eastAsia="x-none"/>
        </w:rPr>
      </w:pPr>
      <w:r w:rsidRPr="00B917E1">
        <w:rPr>
          <w:lang w:val="en-US" w:eastAsia="x-none"/>
        </w:rPr>
        <w:t xml:space="preserve">The projects promoted throught the programme indicative activities will be in line with the legal framework and provisions of the Romania-Ukraine bilateral water management, namely the </w:t>
      </w:r>
      <w:r w:rsidRPr="00B917E1">
        <w:rPr>
          <w:i/>
          <w:lang w:val="en-US" w:eastAsia="x-none"/>
        </w:rPr>
        <w:t xml:space="preserve">Agreement between the Government of Romania and the Government of Ukraine on </w:t>
      </w:r>
      <w:r w:rsidRPr="00B917E1">
        <w:rPr>
          <w:i/>
          <w:lang w:val="en-US" w:eastAsia="x-none"/>
        </w:rPr>
        <w:lastRenderedPageBreak/>
        <w:t>cooperation border water management,</w:t>
      </w:r>
      <w:r w:rsidRPr="00B917E1">
        <w:rPr>
          <w:lang w:val="en-US" w:eastAsia="x-none"/>
        </w:rPr>
        <w:t xml:space="preserve"> signed on 30 September 1997 in Galati and ratified by Law no. 16/1999.</w:t>
      </w:r>
    </w:p>
    <w:p w:rsidR="00511045" w:rsidRPr="00B917E1" w:rsidRDefault="00511045" w:rsidP="00511045">
      <w:pPr>
        <w:jc w:val="both"/>
        <w:rPr>
          <w:lang w:val="en-US" w:eastAsia="x-none"/>
        </w:rPr>
      </w:pPr>
      <w:r w:rsidRPr="00B917E1">
        <w:rPr>
          <w:lang w:val="en-US" w:eastAsia="x-none"/>
        </w:rPr>
        <w:t xml:space="preserve">Projects </w:t>
      </w:r>
      <w:r>
        <w:rPr>
          <w:lang w:val="en-US" w:eastAsia="x-none"/>
        </w:rPr>
        <w:t xml:space="preserve">related to water management </w:t>
      </w:r>
      <w:r w:rsidRPr="00B917E1">
        <w:rPr>
          <w:lang w:val="en-US" w:eastAsia="x-none"/>
        </w:rPr>
        <w:t>approved for funding and promoted by other institutions must have the approval of the competent authority in the field, the "Romanian Waters" National Administration and Water Branch</w:t>
      </w:r>
      <w:r>
        <w:rPr>
          <w:lang w:val="en-US" w:eastAsia="x-none"/>
        </w:rPr>
        <w:t>es</w:t>
      </w:r>
      <w:r w:rsidRPr="00B917E1">
        <w:rPr>
          <w:lang w:val="en-US" w:eastAsia="x-none"/>
        </w:rPr>
        <w:t xml:space="preserve"> of the Ro-Ua Programme eligible area. </w:t>
      </w:r>
    </w:p>
    <w:p w:rsidR="00511045" w:rsidRPr="00B917E1" w:rsidRDefault="00511045" w:rsidP="00511045">
      <w:pPr>
        <w:jc w:val="both"/>
        <w:rPr>
          <w:lang w:val="en-US" w:eastAsia="x-none"/>
        </w:rPr>
      </w:pPr>
      <w:r w:rsidRPr="00B917E1">
        <w:rPr>
          <w:lang w:val="en-US" w:eastAsia="x-none"/>
        </w:rPr>
        <w:t>Any work / investment / activity to be completed on transboundary waters or in the area of common interest require the opinion / authorization of the "Romanian Waters"National Administration and shall obtain the approvement of Ukraine</w:t>
      </w:r>
      <w:r>
        <w:rPr>
          <w:lang w:val="en-US" w:eastAsia="x-none"/>
        </w:rPr>
        <w:t xml:space="preserve"> authorities</w:t>
      </w:r>
      <w:r w:rsidRPr="00B917E1">
        <w:rPr>
          <w:lang w:val="en-US" w:eastAsia="x-none"/>
        </w:rPr>
        <w:t>.</w:t>
      </w:r>
    </w:p>
    <w:p w:rsidR="00511045" w:rsidRPr="00B917E1" w:rsidRDefault="00511045" w:rsidP="00511045">
      <w:pPr>
        <w:jc w:val="both"/>
        <w:rPr>
          <w:lang w:val="en-US" w:eastAsia="x-none"/>
        </w:rPr>
      </w:pPr>
      <w:r w:rsidRPr="00B917E1">
        <w:rPr>
          <w:lang w:val="en-US" w:eastAsia="x-none"/>
        </w:rPr>
        <w:t xml:space="preserve">Also, projects funded by the </w:t>
      </w:r>
      <w:r>
        <w:rPr>
          <w:lang w:val="en-US" w:eastAsia="x-none"/>
        </w:rPr>
        <w:t>Ro-Ua P</w:t>
      </w:r>
      <w:r w:rsidRPr="00B917E1">
        <w:rPr>
          <w:lang w:val="en-US" w:eastAsia="x-none"/>
        </w:rPr>
        <w:t>rogram</w:t>
      </w:r>
      <w:r>
        <w:rPr>
          <w:lang w:val="en-US" w:eastAsia="x-none"/>
        </w:rPr>
        <w:t>me</w:t>
      </w:r>
      <w:r w:rsidRPr="00B917E1">
        <w:rPr>
          <w:lang w:val="en-US" w:eastAsia="x-none"/>
        </w:rPr>
        <w:t xml:space="preserve"> will have to consider all legislative provisions on integrated waste management in Romania and similar legislation in Ukraine.</w:t>
      </w:r>
    </w:p>
    <w:p w:rsidR="00511045" w:rsidRDefault="00511045" w:rsidP="00511045">
      <w:pPr>
        <w:jc w:val="both"/>
        <w:rPr>
          <w:lang w:val="en-GB" w:eastAsia="x-none"/>
        </w:rPr>
      </w:pPr>
    </w:p>
    <w:p w:rsidR="00511045" w:rsidRDefault="00511045" w:rsidP="00511045">
      <w:pPr>
        <w:ind w:firstLine="851"/>
        <w:jc w:val="both"/>
        <w:rPr>
          <w:lang w:val="en-GB" w:eastAsia="x-none"/>
        </w:rPr>
      </w:pPr>
      <w:r>
        <w:rPr>
          <w:lang w:val="en-GB" w:eastAsia="x-none"/>
        </w:rPr>
        <w:t>A scoring approach, as presented in Table 7.1, is used for the environment assessement of the activities  financed by the Programme Ro- Ua.</w:t>
      </w:r>
    </w:p>
    <w:p w:rsidR="00511045" w:rsidRDefault="00511045" w:rsidP="00511045">
      <w:pPr>
        <w:rPr>
          <w:lang w:val="en-GB" w:eastAsia="x-none"/>
        </w:rPr>
      </w:pPr>
    </w:p>
    <w:p w:rsidR="00511045" w:rsidRDefault="00511045" w:rsidP="00511045">
      <w:pPr>
        <w:jc w:val="center"/>
        <w:rPr>
          <w:lang w:val="en-GB" w:eastAsia="x-none"/>
        </w:rPr>
      </w:pPr>
      <w:r>
        <w:rPr>
          <w:b/>
          <w:lang w:val="en-GB" w:eastAsia="x-none"/>
        </w:rPr>
        <w:t>Table 7.1</w:t>
      </w:r>
      <w:r>
        <w:rPr>
          <w:lang w:val="en-GB" w:eastAsia="x-none"/>
        </w:rPr>
        <w:t xml:space="preserve"> Scoring approach to environmental assessment</w:t>
      </w:r>
    </w:p>
    <w:tbl>
      <w:tblPr>
        <w:tblW w:w="10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3278"/>
        <w:gridCol w:w="6247"/>
      </w:tblGrid>
      <w:tr w:rsidR="00511045" w:rsidTr="002E01ED">
        <w:tc>
          <w:tcPr>
            <w:tcW w:w="1083" w:type="dxa"/>
            <w:shd w:val="clear" w:color="auto" w:fill="auto"/>
            <w:vAlign w:val="center"/>
          </w:tcPr>
          <w:p w:rsidR="00511045" w:rsidRDefault="00511045" w:rsidP="002E01ED">
            <w:pPr>
              <w:rPr>
                <w:b/>
                <w:lang w:val="en-GB" w:eastAsia="x-none"/>
              </w:rPr>
            </w:pPr>
            <w:r>
              <w:rPr>
                <w:b/>
                <w:lang w:val="en-GB" w:eastAsia="x-none"/>
              </w:rPr>
              <w:t>Symbol</w:t>
            </w:r>
          </w:p>
        </w:tc>
        <w:tc>
          <w:tcPr>
            <w:tcW w:w="3278" w:type="dxa"/>
            <w:shd w:val="clear" w:color="auto" w:fill="auto"/>
            <w:vAlign w:val="center"/>
          </w:tcPr>
          <w:p w:rsidR="00511045" w:rsidRDefault="00511045" w:rsidP="002E01ED">
            <w:pPr>
              <w:rPr>
                <w:b/>
                <w:lang w:val="en-GB" w:eastAsia="x-none"/>
              </w:rPr>
            </w:pPr>
            <w:r>
              <w:rPr>
                <w:b/>
                <w:lang w:val="en-GB" w:eastAsia="x-none"/>
              </w:rPr>
              <w:t>Semnification</w:t>
            </w:r>
          </w:p>
        </w:tc>
        <w:tc>
          <w:tcPr>
            <w:tcW w:w="6247" w:type="dxa"/>
            <w:shd w:val="clear" w:color="auto" w:fill="auto"/>
            <w:vAlign w:val="center"/>
          </w:tcPr>
          <w:p w:rsidR="00511045" w:rsidRDefault="00511045" w:rsidP="002E01ED">
            <w:pPr>
              <w:rPr>
                <w:b/>
                <w:lang w:val="en-GB" w:eastAsia="x-none"/>
              </w:rPr>
            </w:pPr>
            <w:r>
              <w:rPr>
                <w:b/>
                <w:lang w:val="en-GB" w:eastAsia="x-none"/>
              </w:rPr>
              <w:t>Definition</w:t>
            </w:r>
          </w:p>
        </w:tc>
      </w:tr>
      <w:tr w:rsidR="00511045" w:rsidTr="002E01ED">
        <w:tc>
          <w:tcPr>
            <w:tcW w:w="1083" w:type="dxa"/>
            <w:shd w:val="clear" w:color="auto" w:fill="auto"/>
          </w:tcPr>
          <w:p w:rsidR="00511045" w:rsidRDefault="00511045" w:rsidP="002E01ED">
            <w:pPr>
              <w:jc w:val="center"/>
              <w:rPr>
                <w:b/>
                <w:lang w:val="en-GB" w:eastAsia="x-none"/>
              </w:rPr>
            </w:pPr>
            <w:r>
              <w:rPr>
                <w:b/>
                <w:lang w:val="en-GB" w:eastAsia="x-none"/>
              </w:rPr>
              <w:t>++</w:t>
            </w:r>
          </w:p>
        </w:tc>
        <w:tc>
          <w:tcPr>
            <w:tcW w:w="3278" w:type="dxa"/>
            <w:shd w:val="clear" w:color="auto" w:fill="auto"/>
          </w:tcPr>
          <w:p w:rsidR="00511045" w:rsidRDefault="00511045" w:rsidP="002E01ED">
            <w:pPr>
              <w:rPr>
                <w:lang w:val="en-GB" w:eastAsia="x-none"/>
              </w:rPr>
            </w:pPr>
            <w:r>
              <w:rPr>
                <w:lang w:val="en-GB" w:eastAsia="x-none"/>
              </w:rPr>
              <w:t>Significant Positive Impact</w:t>
            </w:r>
          </w:p>
        </w:tc>
        <w:tc>
          <w:tcPr>
            <w:tcW w:w="6247" w:type="dxa"/>
            <w:shd w:val="clear" w:color="auto" w:fill="auto"/>
          </w:tcPr>
          <w:p w:rsidR="00511045" w:rsidRDefault="00511045" w:rsidP="002E01ED">
            <w:pPr>
              <w:rPr>
                <w:lang w:val="en-GB" w:eastAsia="x-none"/>
              </w:rPr>
            </w:pPr>
            <w:r>
              <w:rPr>
                <w:lang w:val="en-GB" w:eastAsia="x-none"/>
              </w:rPr>
              <w:t>Highly positive benefit for the environment which is of considerable importance in terms of its overall policy implication</w:t>
            </w:r>
          </w:p>
        </w:tc>
      </w:tr>
      <w:tr w:rsidR="00511045" w:rsidTr="002E01ED">
        <w:tc>
          <w:tcPr>
            <w:tcW w:w="1083" w:type="dxa"/>
            <w:shd w:val="clear" w:color="auto" w:fill="auto"/>
          </w:tcPr>
          <w:p w:rsidR="00511045" w:rsidRDefault="00511045" w:rsidP="002E01ED">
            <w:pPr>
              <w:jc w:val="center"/>
              <w:rPr>
                <w:b/>
                <w:lang w:val="en-GB" w:eastAsia="x-none"/>
              </w:rPr>
            </w:pPr>
            <w:r>
              <w:rPr>
                <w:b/>
                <w:lang w:val="en-GB" w:eastAsia="x-none"/>
              </w:rPr>
              <w:t>+</w:t>
            </w:r>
          </w:p>
        </w:tc>
        <w:tc>
          <w:tcPr>
            <w:tcW w:w="3278" w:type="dxa"/>
            <w:shd w:val="clear" w:color="auto" w:fill="auto"/>
          </w:tcPr>
          <w:p w:rsidR="00511045" w:rsidRDefault="00511045" w:rsidP="002E01ED">
            <w:pPr>
              <w:rPr>
                <w:lang w:val="en-GB" w:eastAsia="x-none"/>
              </w:rPr>
            </w:pPr>
            <w:r>
              <w:rPr>
                <w:lang w:val="en-GB" w:eastAsia="x-none"/>
              </w:rPr>
              <w:t>Positive Impact</w:t>
            </w:r>
          </w:p>
        </w:tc>
        <w:tc>
          <w:tcPr>
            <w:tcW w:w="6247" w:type="dxa"/>
            <w:shd w:val="clear" w:color="auto" w:fill="auto"/>
          </w:tcPr>
          <w:p w:rsidR="00511045" w:rsidRDefault="00511045" w:rsidP="002E01ED">
            <w:pPr>
              <w:autoSpaceDE w:val="0"/>
              <w:autoSpaceDN w:val="0"/>
              <w:adjustRightInd w:val="0"/>
              <w:rPr>
                <w:rFonts w:cs="Arial"/>
                <w:lang w:val="en-GB"/>
              </w:rPr>
            </w:pPr>
            <w:r>
              <w:rPr>
                <w:rFonts w:cs="Arial"/>
                <w:lang w:val="en-GB"/>
              </w:rPr>
              <w:t>Positive effect on the environment which is not</w:t>
            </w:r>
          </w:p>
          <w:p w:rsidR="00511045" w:rsidRDefault="00511045" w:rsidP="002E01ED">
            <w:pPr>
              <w:rPr>
                <w:lang w:val="en-GB" w:eastAsia="x-none"/>
              </w:rPr>
            </w:pPr>
            <w:r>
              <w:rPr>
                <w:rFonts w:cs="Arial"/>
                <w:lang w:val="en-GB"/>
              </w:rPr>
              <w:t>considered to be significant</w:t>
            </w:r>
          </w:p>
        </w:tc>
      </w:tr>
      <w:tr w:rsidR="00511045" w:rsidTr="002E01ED">
        <w:tc>
          <w:tcPr>
            <w:tcW w:w="1083" w:type="dxa"/>
            <w:shd w:val="clear" w:color="auto" w:fill="auto"/>
          </w:tcPr>
          <w:p w:rsidR="00511045" w:rsidRDefault="00511045" w:rsidP="002E01ED">
            <w:pPr>
              <w:jc w:val="center"/>
              <w:rPr>
                <w:b/>
                <w:lang w:val="en-GB" w:eastAsia="x-none"/>
              </w:rPr>
            </w:pPr>
            <w:r>
              <w:rPr>
                <w:b/>
                <w:lang w:val="en-GB" w:eastAsia="x-none"/>
              </w:rPr>
              <w:t>0</w:t>
            </w:r>
          </w:p>
        </w:tc>
        <w:tc>
          <w:tcPr>
            <w:tcW w:w="3278" w:type="dxa"/>
            <w:shd w:val="clear" w:color="auto" w:fill="auto"/>
          </w:tcPr>
          <w:p w:rsidR="00511045" w:rsidRDefault="00511045" w:rsidP="002E01ED">
            <w:pPr>
              <w:rPr>
                <w:lang w:val="en-GB" w:eastAsia="x-none"/>
              </w:rPr>
            </w:pPr>
            <w:r>
              <w:rPr>
                <w:lang w:val="en-GB" w:eastAsia="x-none"/>
              </w:rPr>
              <w:t>Neutral</w:t>
            </w:r>
          </w:p>
        </w:tc>
        <w:tc>
          <w:tcPr>
            <w:tcW w:w="6247" w:type="dxa"/>
            <w:shd w:val="clear" w:color="auto" w:fill="auto"/>
          </w:tcPr>
          <w:p w:rsidR="00511045" w:rsidRDefault="00511045" w:rsidP="002E01ED">
            <w:pPr>
              <w:rPr>
                <w:lang w:val="en-GB" w:eastAsia="x-none"/>
              </w:rPr>
            </w:pPr>
            <w:r>
              <w:rPr>
                <w:lang w:val="en-GB" w:eastAsia="x-none"/>
              </w:rPr>
              <w:t>No effect envisaged</w:t>
            </w:r>
          </w:p>
        </w:tc>
      </w:tr>
      <w:tr w:rsidR="00511045" w:rsidTr="002E01ED">
        <w:tc>
          <w:tcPr>
            <w:tcW w:w="1083" w:type="dxa"/>
            <w:shd w:val="clear" w:color="auto" w:fill="auto"/>
          </w:tcPr>
          <w:p w:rsidR="00511045" w:rsidRDefault="00511045" w:rsidP="002E01ED">
            <w:pPr>
              <w:jc w:val="center"/>
              <w:rPr>
                <w:b/>
                <w:lang w:val="en-GB" w:eastAsia="x-none"/>
              </w:rPr>
            </w:pPr>
            <w:r>
              <w:rPr>
                <w:b/>
                <w:lang w:val="en-GB" w:eastAsia="x-none"/>
              </w:rPr>
              <w:t>-</w:t>
            </w:r>
          </w:p>
        </w:tc>
        <w:tc>
          <w:tcPr>
            <w:tcW w:w="3278" w:type="dxa"/>
            <w:shd w:val="clear" w:color="auto" w:fill="auto"/>
          </w:tcPr>
          <w:p w:rsidR="00511045" w:rsidRDefault="00511045" w:rsidP="002E01ED">
            <w:pPr>
              <w:rPr>
                <w:lang w:val="en-GB" w:eastAsia="x-none"/>
              </w:rPr>
            </w:pPr>
            <w:r>
              <w:rPr>
                <w:lang w:val="en-GB" w:eastAsia="x-none"/>
              </w:rPr>
              <w:t>Negative Impact</w:t>
            </w:r>
          </w:p>
        </w:tc>
        <w:tc>
          <w:tcPr>
            <w:tcW w:w="6247" w:type="dxa"/>
            <w:shd w:val="clear" w:color="auto" w:fill="auto"/>
          </w:tcPr>
          <w:p w:rsidR="00511045" w:rsidRDefault="00511045" w:rsidP="002E01ED">
            <w:pPr>
              <w:rPr>
                <w:lang w:val="en-GB" w:eastAsia="x-none"/>
              </w:rPr>
            </w:pPr>
            <w:r>
              <w:rPr>
                <w:lang w:val="en-GB" w:eastAsia="x-none"/>
              </w:rPr>
              <w:t>Negative impact on the environment which is not</w:t>
            </w:r>
          </w:p>
          <w:p w:rsidR="00511045" w:rsidRDefault="00511045" w:rsidP="002E01ED">
            <w:pPr>
              <w:rPr>
                <w:lang w:val="en-GB" w:eastAsia="x-none"/>
              </w:rPr>
            </w:pPr>
            <w:r>
              <w:rPr>
                <w:lang w:val="en-GB" w:eastAsia="x-none"/>
              </w:rPr>
              <w:t>considered to be significant</w:t>
            </w:r>
          </w:p>
        </w:tc>
      </w:tr>
      <w:tr w:rsidR="00511045" w:rsidTr="002E01ED">
        <w:tc>
          <w:tcPr>
            <w:tcW w:w="1083" w:type="dxa"/>
            <w:shd w:val="clear" w:color="auto" w:fill="auto"/>
          </w:tcPr>
          <w:p w:rsidR="00511045" w:rsidRDefault="00511045" w:rsidP="002E01ED">
            <w:pPr>
              <w:jc w:val="center"/>
              <w:rPr>
                <w:b/>
                <w:lang w:val="en-GB" w:eastAsia="x-none"/>
              </w:rPr>
            </w:pPr>
            <w:r>
              <w:rPr>
                <w:b/>
                <w:lang w:val="en-GB" w:eastAsia="x-none"/>
              </w:rPr>
              <w:t>--</w:t>
            </w:r>
          </w:p>
        </w:tc>
        <w:tc>
          <w:tcPr>
            <w:tcW w:w="3278" w:type="dxa"/>
            <w:shd w:val="clear" w:color="auto" w:fill="auto"/>
          </w:tcPr>
          <w:p w:rsidR="00511045" w:rsidRDefault="00511045" w:rsidP="002E01ED">
            <w:pPr>
              <w:rPr>
                <w:lang w:val="en-GB" w:eastAsia="x-none"/>
              </w:rPr>
            </w:pPr>
            <w:r>
              <w:rPr>
                <w:lang w:val="en-GB" w:eastAsia="x-none"/>
              </w:rPr>
              <w:t>Significant Negative Impact</w:t>
            </w:r>
          </w:p>
        </w:tc>
        <w:tc>
          <w:tcPr>
            <w:tcW w:w="6247" w:type="dxa"/>
            <w:shd w:val="clear" w:color="auto" w:fill="auto"/>
          </w:tcPr>
          <w:p w:rsidR="00511045" w:rsidRDefault="00511045" w:rsidP="002E01ED">
            <w:pPr>
              <w:rPr>
                <w:lang w:val="en-GB" w:eastAsia="x-none"/>
              </w:rPr>
            </w:pPr>
            <w:r>
              <w:rPr>
                <w:lang w:val="en-GB" w:eastAsia="x-none"/>
              </w:rPr>
              <w:t>Highly adverse impacts on aspects of the</w:t>
            </w:r>
          </w:p>
          <w:p w:rsidR="00511045" w:rsidRDefault="00511045" w:rsidP="002E01ED">
            <w:pPr>
              <w:rPr>
                <w:lang w:val="en-GB" w:eastAsia="x-none"/>
              </w:rPr>
            </w:pPr>
            <w:r>
              <w:rPr>
                <w:lang w:val="en-GB" w:eastAsia="x-none"/>
              </w:rPr>
              <w:t>environment which seriously demand to be</w:t>
            </w:r>
          </w:p>
          <w:p w:rsidR="00511045" w:rsidRDefault="00511045" w:rsidP="002E01ED">
            <w:pPr>
              <w:rPr>
                <w:lang w:val="en-GB" w:eastAsia="x-none"/>
              </w:rPr>
            </w:pPr>
            <w:r>
              <w:rPr>
                <w:lang w:val="en-GB" w:eastAsia="x-none"/>
              </w:rPr>
              <w:t>addressed through revision of current stated policy</w:t>
            </w:r>
          </w:p>
        </w:tc>
      </w:tr>
      <w:tr w:rsidR="00511045" w:rsidTr="002E01ED">
        <w:tc>
          <w:tcPr>
            <w:tcW w:w="1083" w:type="dxa"/>
            <w:shd w:val="clear" w:color="auto" w:fill="auto"/>
          </w:tcPr>
          <w:p w:rsidR="00511045" w:rsidRDefault="00511045" w:rsidP="002E01ED">
            <w:pPr>
              <w:jc w:val="center"/>
              <w:rPr>
                <w:b/>
                <w:lang w:val="en-GB" w:eastAsia="x-none"/>
              </w:rPr>
            </w:pPr>
            <w:r>
              <w:rPr>
                <w:b/>
                <w:lang w:val="en-GB" w:eastAsia="x-none"/>
              </w:rPr>
              <w:t>?</w:t>
            </w:r>
          </w:p>
        </w:tc>
        <w:tc>
          <w:tcPr>
            <w:tcW w:w="3278" w:type="dxa"/>
            <w:shd w:val="clear" w:color="auto" w:fill="auto"/>
          </w:tcPr>
          <w:p w:rsidR="00511045" w:rsidRDefault="00511045" w:rsidP="002E01ED">
            <w:pPr>
              <w:rPr>
                <w:lang w:val="en-GB" w:eastAsia="x-none"/>
              </w:rPr>
            </w:pPr>
            <w:r>
              <w:rPr>
                <w:lang w:val="en-GB" w:eastAsia="x-none"/>
              </w:rPr>
              <w:t>Uncertainty</w:t>
            </w:r>
          </w:p>
        </w:tc>
        <w:tc>
          <w:tcPr>
            <w:tcW w:w="6247" w:type="dxa"/>
            <w:shd w:val="clear" w:color="auto" w:fill="auto"/>
          </w:tcPr>
          <w:p w:rsidR="00511045" w:rsidRDefault="00511045" w:rsidP="002E01ED">
            <w:pPr>
              <w:rPr>
                <w:lang w:val="en-GB" w:eastAsia="x-none"/>
              </w:rPr>
            </w:pPr>
            <w:r>
              <w:rPr>
                <w:lang w:val="en-GB" w:eastAsia="x-none"/>
              </w:rPr>
              <w:t>Effect could not be determined due to lack of data</w:t>
            </w:r>
          </w:p>
          <w:p w:rsidR="00511045" w:rsidRDefault="00511045" w:rsidP="002E01ED">
            <w:pPr>
              <w:rPr>
                <w:lang w:val="en-GB" w:eastAsia="x-none"/>
              </w:rPr>
            </w:pPr>
            <w:r>
              <w:rPr>
                <w:lang w:val="en-GB" w:eastAsia="x-none"/>
              </w:rPr>
              <w:t>or information</w:t>
            </w:r>
          </w:p>
        </w:tc>
      </w:tr>
    </w:tbl>
    <w:p w:rsidR="00511045" w:rsidRDefault="00511045" w:rsidP="00511045">
      <w:pPr>
        <w:rPr>
          <w:lang w:val="en-GB" w:eastAsia="x-none"/>
        </w:rPr>
      </w:pPr>
    </w:p>
    <w:p w:rsidR="00511045" w:rsidRDefault="00511045" w:rsidP="00511045">
      <w:pPr>
        <w:ind w:firstLine="720"/>
        <w:jc w:val="both"/>
        <w:rPr>
          <w:lang w:val="en-GB" w:eastAsia="x-none"/>
        </w:rPr>
      </w:pPr>
      <w:r>
        <w:rPr>
          <w:rStyle w:val="hps"/>
          <w:rFonts w:cs="Arial"/>
          <w:color w:val="222222"/>
          <w:lang w:val="en"/>
        </w:rPr>
        <w:t>The assessment methodology</w:t>
      </w:r>
      <w:r>
        <w:rPr>
          <w:rFonts w:cs="Arial"/>
          <w:color w:val="222222"/>
          <w:lang w:val="en"/>
        </w:rPr>
        <w:t xml:space="preserve"> </w:t>
      </w:r>
      <w:r>
        <w:rPr>
          <w:rStyle w:val="hps"/>
          <w:rFonts w:cs="Arial"/>
          <w:color w:val="222222"/>
          <w:lang w:val="en"/>
        </w:rPr>
        <w:t>was achieved by</w:t>
      </w:r>
      <w:r>
        <w:rPr>
          <w:rFonts w:cs="Arial"/>
          <w:color w:val="222222"/>
          <w:lang w:val="en"/>
        </w:rPr>
        <w:t xml:space="preserve"> </w:t>
      </w:r>
      <w:r>
        <w:rPr>
          <w:rStyle w:val="hps"/>
          <w:rFonts w:cs="Arial"/>
          <w:color w:val="222222"/>
          <w:lang w:val="en"/>
        </w:rPr>
        <w:t>estimating</w:t>
      </w:r>
      <w:r>
        <w:rPr>
          <w:rFonts w:cs="Arial"/>
          <w:color w:val="222222"/>
          <w:lang w:val="en"/>
        </w:rPr>
        <w:t xml:space="preserve"> </w:t>
      </w:r>
      <w:r>
        <w:rPr>
          <w:rStyle w:val="hps"/>
          <w:rFonts w:cs="Arial"/>
          <w:color w:val="222222"/>
          <w:lang w:val="en"/>
        </w:rPr>
        <w:t>the environmental</w:t>
      </w:r>
      <w:r>
        <w:rPr>
          <w:rFonts w:cs="Arial"/>
          <w:color w:val="222222"/>
          <w:lang w:val="en"/>
        </w:rPr>
        <w:t xml:space="preserve"> </w:t>
      </w:r>
      <w:r>
        <w:rPr>
          <w:rStyle w:val="hps"/>
          <w:rFonts w:cs="Arial"/>
          <w:color w:val="222222"/>
          <w:lang w:val="en"/>
        </w:rPr>
        <w:t>impact</w:t>
      </w:r>
      <w:r>
        <w:rPr>
          <w:rFonts w:cs="Arial"/>
          <w:color w:val="222222"/>
          <w:lang w:val="en"/>
        </w:rPr>
        <w:t xml:space="preserve"> </w:t>
      </w:r>
      <w:r>
        <w:rPr>
          <w:rStyle w:val="hps"/>
          <w:rFonts w:cs="Arial"/>
          <w:color w:val="222222"/>
          <w:lang w:val="en"/>
        </w:rPr>
        <w:t>of every</w:t>
      </w:r>
      <w:r>
        <w:rPr>
          <w:rFonts w:cs="Arial"/>
          <w:color w:val="222222"/>
          <w:lang w:val="en"/>
        </w:rPr>
        <w:t xml:space="preserve"> </w:t>
      </w:r>
      <w:r>
        <w:rPr>
          <w:rStyle w:val="hps"/>
          <w:rFonts w:cs="Arial"/>
          <w:color w:val="222222"/>
          <w:lang w:val="en"/>
        </w:rPr>
        <w:t>aspect</w:t>
      </w:r>
      <w:r>
        <w:rPr>
          <w:rFonts w:cs="Arial"/>
          <w:color w:val="222222"/>
          <w:lang w:val="en"/>
        </w:rPr>
        <w:t xml:space="preserve"> </w:t>
      </w:r>
      <w:r>
        <w:rPr>
          <w:rStyle w:val="hps"/>
          <w:rFonts w:cs="Arial"/>
          <w:color w:val="222222"/>
          <w:lang w:val="en"/>
        </w:rPr>
        <w:t>that was</w:t>
      </w:r>
      <w:r>
        <w:rPr>
          <w:rFonts w:cs="Arial"/>
          <w:color w:val="222222"/>
          <w:lang w:val="en"/>
        </w:rPr>
        <w:t xml:space="preserve"> </w:t>
      </w:r>
      <w:r>
        <w:rPr>
          <w:rStyle w:val="hps"/>
          <w:rFonts w:cs="Arial"/>
          <w:color w:val="222222"/>
          <w:lang w:val="en"/>
        </w:rPr>
        <w:t>highlighted</w:t>
      </w:r>
      <w:r>
        <w:rPr>
          <w:rFonts w:cs="Arial"/>
          <w:color w:val="222222"/>
          <w:lang w:val="en"/>
        </w:rPr>
        <w:t xml:space="preserve"> </w:t>
      </w:r>
      <w:r>
        <w:rPr>
          <w:rStyle w:val="hps"/>
          <w:rFonts w:cs="Arial"/>
          <w:color w:val="222222"/>
          <w:lang w:val="en"/>
        </w:rPr>
        <w:t>in Table</w:t>
      </w:r>
      <w:r>
        <w:rPr>
          <w:rFonts w:cs="Arial"/>
          <w:color w:val="222222"/>
          <w:lang w:val="en"/>
        </w:rPr>
        <w:t xml:space="preserve"> </w:t>
      </w:r>
      <w:r>
        <w:rPr>
          <w:rStyle w:val="hps"/>
          <w:rFonts w:cs="Arial"/>
          <w:color w:val="222222"/>
          <w:lang w:val="en"/>
        </w:rPr>
        <w:t>7.2.</w:t>
      </w:r>
      <w:r>
        <w:rPr>
          <w:rFonts w:cs="Arial"/>
          <w:color w:val="222222"/>
          <w:lang w:val="en"/>
        </w:rPr>
        <w:t xml:space="preserve"> </w:t>
      </w:r>
      <w:r>
        <w:rPr>
          <w:rStyle w:val="hps"/>
          <w:rFonts w:cs="Arial"/>
          <w:color w:val="222222"/>
          <w:lang w:val="en"/>
        </w:rPr>
        <w:t>At this level</w:t>
      </w:r>
      <w:r>
        <w:rPr>
          <w:rFonts w:cs="Arial"/>
          <w:color w:val="222222"/>
          <w:lang w:val="en"/>
        </w:rPr>
        <w:t xml:space="preserve"> </w:t>
      </w:r>
      <w:r>
        <w:rPr>
          <w:rStyle w:val="hps"/>
          <w:rFonts w:cs="Arial"/>
          <w:color w:val="222222"/>
          <w:lang w:val="en"/>
        </w:rPr>
        <w:t>of detail in the</w:t>
      </w:r>
      <w:r>
        <w:rPr>
          <w:rFonts w:cs="Arial"/>
          <w:color w:val="222222"/>
          <w:lang w:val="en"/>
        </w:rPr>
        <w:t xml:space="preserve"> </w:t>
      </w:r>
      <w:r>
        <w:rPr>
          <w:rStyle w:val="hps"/>
          <w:rFonts w:cs="Arial"/>
          <w:color w:val="222222"/>
          <w:lang w:val="en"/>
        </w:rPr>
        <w:t>program</w:t>
      </w:r>
      <w:r>
        <w:rPr>
          <w:rFonts w:cs="Arial"/>
          <w:color w:val="222222"/>
          <w:lang w:val="en"/>
        </w:rPr>
        <w:t xml:space="preserve"> </w:t>
      </w:r>
      <w:r>
        <w:rPr>
          <w:rStyle w:val="hps"/>
          <w:rFonts w:cs="Arial"/>
          <w:color w:val="222222"/>
          <w:lang w:val="en"/>
        </w:rPr>
        <w:t>was</w:t>
      </w:r>
      <w:r>
        <w:rPr>
          <w:rFonts w:cs="Arial"/>
          <w:color w:val="222222"/>
          <w:lang w:val="en"/>
        </w:rPr>
        <w:t xml:space="preserve"> </w:t>
      </w:r>
      <w:r>
        <w:rPr>
          <w:rStyle w:val="hps"/>
          <w:rFonts w:cs="Arial"/>
          <w:color w:val="222222"/>
          <w:lang w:val="en"/>
        </w:rPr>
        <w:t>used</w:t>
      </w:r>
      <w:r>
        <w:rPr>
          <w:rFonts w:cs="Arial"/>
          <w:color w:val="222222"/>
          <w:lang w:val="en"/>
        </w:rPr>
        <w:t xml:space="preserve"> </w:t>
      </w:r>
      <w:r>
        <w:rPr>
          <w:rStyle w:val="hps"/>
          <w:rFonts w:cs="Arial"/>
          <w:color w:val="222222"/>
          <w:lang w:val="en"/>
        </w:rPr>
        <w:t>a</w:t>
      </w:r>
      <w:r>
        <w:rPr>
          <w:rFonts w:cs="Arial"/>
          <w:color w:val="222222"/>
          <w:lang w:val="en"/>
        </w:rPr>
        <w:t xml:space="preserve"> </w:t>
      </w:r>
      <w:r>
        <w:rPr>
          <w:rStyle w:val="hps"/>
          <w:rFonts w:cs="Arial"/>
          <w:color w:val="222222"/>
          <w:lang w:val="en"/>
        </w:rPr>
        <w:t>comprehensive methodology</w:t>
      </w:r>
      <w:r>
        <w:rPr>
          <w:rFonts w:cs="Arial"/>
          <w:color w:val="222222"/>
          <w:lang w:val="en"/>
        </w:rPr>
        <w:t xml:space="preserve"> </w:t>
      </w:r>
      <w:r>
        <w:rPr>
          <w:rStyle w:val="hps"/>
          <w:rFonts w:cs="Arial"/>
          <w:color w:val="222222"/>
          <w:lang w:val="en"/>
        </w:rPr>
        <w:t>which</w:t>
      </w:r>
      <w:r>
        <w:rPr>
          <w:rFonts w:cs="Arial"/>
          <w:color w:val="222222"/>
          <w:lang w:val="en"/>
        </w:rPr>
        <w:t xml:space="preserve"> </w:t>
      </w:r>
      <w:r>
        <w:rPr>
          <w:rStyle w:val="hps"/>
          <w:rFonts w:cs="Arial"/>
          <w:color w:val="222222"/>
          <w:lang w:val="en"/>
        </w:rPr>
        <w:t>attempted to</w:t>
      </w:r>
      <w:r>
        <w:rPr>
          <w:rFonts w:cs="Arial"/>
          <w:color w:val="222222"/>
          <w:lang w:val="en"/>
        </w:rPr>
        <w:t xml:space="preserve"> </w:t>
      </w:r>
      <w:r>
        <w:rPr>
          <w:rStyle w:val="hps"/>
          <w:rFonts w:cs="Arial"/>
          <w:color w:val="222222"/>
          <w:lang w:val="en"/>
        </w:rPr>
        <w:t>highlight</w:t>
      </w:r>
      <w:r>
        <w:rPr>
          <w:rFonts w:cs="Arial"/>
          <w:color w:val="222222"/>
          <w:lang w:val="en"/>
        </w:rPr>
        <w:t xml:space="preserve"> </w:t>
      </w:r>
      <w:r>
        <w:rPr>
          <w:rStyle w:val="hps"/>
          <w:rFonts w:cs="Arial"/>
          <w:color w:val="222222"/>
          <w:lang w:val="en"/>
        </w:rPr>
        <w:t>the possible effects of</w:t>
      </w:r>
      <w:r>
        <w:rPr>
          <w:rFonts w:cs="Arial"/>
          <w:color w:val="222222"/>
          <w:lang w:val="en"/>
        </w:rPr>
        <w:t xml:space="preserve"> </w:t>
      </w:r>
      <w:r>
        <w:rPr>
          <w:rStyle w:val="hps"/>
          <w:rFonts w:cs="Arial"/>
          <w:color w:val="222222"/>
          <w:lang w:val="en"/>
        </w:rPr>
        <w:t>indicative</w:t>
      </w:r>
      <w:r>
        <w:rPr>
          <w:rFonts w:cs="Arial"/>
          <w:color w:val="222222"/>
          <w:lang w:val="en"/>
        </w:rPr>
        <w:t xml:space="preserve"> </w:t>
      </w:r>
      <w:r>
        <w:rPr>
          <w:rStyle w:val="hps"/>
          <w:rFonts w:cs="Arial"/>
          <w:color w:val="222222"/>
          <w:lang w:val="en"/>
        </w:rPr>
        <w:t>actions</w:t>
      </w:r>
      <w:r>
        <w:rPr>
          <w:rFonts w:cs="Arial"/>
          <w:color w:val="222222"/>
          <w:lang w:val="en"/>
        </w:rPr>
        <w:t xml:space="preserve"> </w:t>
      </w:r>
      <w:r>
        <w:rPr>
          <w:rStyle w:val="hps"/>
          <w:rFonts w:cs="Arial"/>
          <w:color w:val="222222"/>
          <w:lang w:val="en"/>
        </w:rPr>
        <w:t>on</w:t>
      </w:r>
      <w:r>
        <w:rPr>
          <w:rFonts w:cs="Arial"/>
          <w:color w:val="222222"/>
          <w:lang w:val="en"/>
        </w:rPr>
        <w:t xml:space="preserve"> </w:t>
      </w:r>
      <w:r>
        <w:rPr>
          <w:rStyle w:val="hps"/>
          <w:rFonts w:cs="Arial"/>
          <w:color w:val="222222"/>
          <w:lang w:val="en"/>
        </w:rPr>
        <w:t>environmental issues</w:t>
      </w:r>
      <w:r>
        <w:rPr>
          <w:rFonts w:cs="Arial"/>
          <w:color w:val="222222"/>
          <w:lang w:val="en"/>
        </w:rPr>
        <w:t xml:space="preserve">. </w:t>
      </w:r>
      <w:r>
        <w:rPr>
          <w:rStyle w:val="hps"/>
          <w:rFonts w:cs="Arial"/>
          <w:color w:val="222222"/>
          <w:lang w:val="en"/>
        </w:rPr>
        <w:t>Appling</w:t>
      </w:r>
      <w:r>
        <w:rPr>
          <w:rFonts w:cs="Arial"/>
          <w:color w:val="222222"/>
          <w:lang w:val="en"/>
        </w:rPr>
        <w:t xml:space="preserve"> </w:t>
      </w:r>
      <w:r>
        <w:rPr>
          <w:rStyle w:val="hps"/>
          <w:rFonts w:cs="Arial"/>
          <w:color w:val="222222"/>
          <w:lang w:val="en"/>
        </w:rPr>
        <w:t xml:space="preserve">accuracy of the methodology </w:t>
      </w:r>
      <w:r>
        <w:rPr>
          <w:rFonts w:cs="Arial"/>
          <w:color w:val="222222"/>
          <w:lang w:val="en"/>
        </w:rPr>
        <w:t>depends</w:t>
      </w:r>
      <w:r>
        <w:rPr>
          <w:rStyle w:val="hps"/>
          <w:rFonts w:cs="Arial"/>
          <w:color w:val="222222"/>
          <w:lang w:val="en"/>
        </w:rPr>
        <w:t xml:space="preserve"> very much on projects</w:t>
      </w:r>
      <w:r>
        <w:rPr>
          <w:rFonts w:cs="Arial"/>
          <w:color w:val="222222"/>
          <w:lang w:val="en"/>
        </w:rPr>
        <w:t xml:space="preserve"> that will be</w:t>
      </w:r>
      <w:r>
        <w:rPr>
          <w:rStyle w:val="hps"/>
          <w:rFonts w:cs="Arial"/>
          <w:color w:val="222222"/>
          <w:lang w:val="en"/>
        </w:rPr>
        <w:t xml:space="preserve"> funded.</w:t>
      </w:r>
    </w:p>
    <w:p w:rsidR="00511045" w:rsidRDefault="00511045" w:rsidP="00511045">
      <w:pPr>
        <w:ind w:firstLine="720"/>
        <w:jc w:val="both"/>
        <w:rPr>
          <w:lang w:val="en-GB" w:eastAsia="x-none"/>
        </w:rPr>
      </w:pPr>
    </w:p>
    <w:p w:rsidR="00511045" w:rsidRDefault="00511045" w:rsidP="00511045">
      <w:pPr>
        <w:ind w:firstLine="720"/>
        <w:jc w:val="both"/>
        <w:rPr>
          <w:lang w:val="en-GB" w:eastAsia="x-none"/>
        </w:rPr>
      </w:pPr>
      <w:r>
        <w:rPr>
          <w:lang w:val="en-GB" w:eastAsia="x-none"/>
        </w:rPr>
        <w:t>Table 7.2 presents the impact of the indicative action on each relevant environmental aspect.</w:t>
      </w:r>
    </w:p>
    <w:p w:rsidR="00511045" w:rsidRDefault="00511045" w:rsidP="00511045">
      <w:pPr>
        <w:rPr>
          <w:highlight w:val="yellow"/>
          <w:lang w:val="en-GB" w:eastAsia="x-none"/>
        </w:rPr>
      </w:pPr>
    </w:p>
    <w:p w:rsidR="00511045" w:rsidRDefault="00511045" w:rsidP="00511045">
      <w:pPr>
        <w:rPr>
          <w:highlight w:val="yellow"/>
          <w:lang w:val="en-GB" w:eastAsia="x-none"/>
        </w:rPr>
        <w:sectPr w:rsidR="00511045">
          <w:headerReference w:type="default" r:id="rId78"/>
          <w:footerReference w:type="default" r:id="rId79"/>
          <w:pgSz w:w="11909" w:h="16834" w:code="9"/>
          <w:pgMar w:top="567" w:right="749" w:bottom="567" w:left="1134" w:header="284" w:footer="0" w:gutter="0"/>
          <w:cols w:space="708"/>
          <w:docGrid w:linePitch="360"/>
        </w:sect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534"/>
        <w:gridCol w:w="459"/>
        <w:gridCol w:w="567"/>
        <w:gridCol w:w="746"/>
        <w:gridCol w:w="813"/>
        <w:gridCol w:w="709"/>
        <w:gridCol w:w="708"/>
        <w:gridCol w:w="567"/>
        <w:gridCol w:w="567"/>
        <w:gridCol w:w="567"/>
        <w:gridCol w:w="594"/>
      </w:tblGrid>
      <w:tr w:rsidR="00511045" w:rsidTr="002E01ED">
        <w:trPr>
          <w:trHeight w:val="1833"/>
          <w:tblHeader/>
        </w:trPr>
        <w:tc>
          <w:tcPr>
            <w:tcW w:w="6946" w:type="dxa"/>
            <w:shd w:val="clear" w:color="auto" w:fill="auto"/>
            <w:vAlign w:val="center"/>
          </w:tcPr>
          <w:p w:rsidR="00511045" w:rsidRDefault="00511045" w:rsidP="002E01ED">
            <w:pPr>
              <w:jc w:val="center"/>
              <w:rPr>
                <w:rFonts w:eastAsia="Calibri" w:cs="Arial"/>
                <w:b/>
                <w:sz w:val="20"/>
                <w:szCs w:val="20"/>
                <w:lang w:val="en-GB" w:eastAsia="en-US"/>
              </w:rPr>
            </w:pPr>
            <w:r>
              <w:rPr>
                <w:rFonts w:eastAsia="Calibri" w:cs="Arial"/>
                <w:b/>
                <w:sz w:val="20"/>
                <w:szCs w:val="20"/>
                <w:lang w:val="en-GB" w:eastAsia="en-US"/>
              </w:rPr>
              <w:lastRenderedPageBreak/>
              <w:t>Assessement of the Programme Thematic Objectives on Environmental Factors</w:t>
            </w:r>
          </w:p>
        </w:tc>
        <w:tc>
          <w:tcPr>
            <w:tcW w:w="534" w:type="dxa"/>
            <w:shd w:val="clear" w:color="auto" w:fill="auto"/>
            <w:textDirection w:val="btLr"/>
            <w:vAlign w:val="center"/>
          </w:tcPr>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Air</w:t>
            </w:r>
          </w:p>
        </w:tc>
        <w:tc>
          <w:tcPr>
            <w:tcW w:w="459" w:type="dxa"/>
            <w:shd w:val="clear" w:color="auto" w:fill="auto"/>
            <w:textDirection w:val="btLr"/>
            <w:vAlign w:val="center"/>
          </w:tcPr>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Water</w:t>
            </w:r>
          </w:p>
        </w:tc>
        <w:tc>
          <w:tcPr>
            <w:tcW w:w="567" w:type="dxa"/>
            <w:shd w:val="clear" w:color="auto" w:fill="auto"/>
            <w:textDirection w:val="btLr"/>
            <w:vAlign w:val="center"/>
          </w:tcPr>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Soil</w:t>
            </w:r>
          </w:p>
        </w:tc>
        <w:tc>
          <w:tcPr>
            <w:tcW w:w="746" w:type="dxa"/>
            <w:shd w:val="clear" w:color="auto" w:fill="auto"/>
            <w:textDirection w:val="btLr"/>
            <w:vAlign w:val="center"/>
          </w:tcPr>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Climate Chamge</w:t>
            </w:r>
          </w:p>
        </w:tc>
        <w:tc>
          <w:tcPr>
            <w:tcW w:w="813" w:type="dxa"/>
            <w:shd w:val="clear" w:color="auto" w:fill="auto"/>
            <w:textDirection w:val="btLr"/>
            <w:vAlign w:val="center"/>
          </w:tcPr>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Populatio,</w:t>
            </w:r>
          </w:p>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Human Health</w:t>
            </w:r>
          </w:p>
        </w:tc>
        <w:tc>
          <w:tcPr>
            <w:tcW w:w="709" w:type="dxa"/>
            <w:shd w:val="clear" w:color="auto" w:fill="auto"/>
            <w:textDirection w:val="btLr"/>
            <w:vAlign w:val="center"/>
          </w:tcPr>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Biodiversity,</w:t>
            </w:r>
          </w:p>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Flora  and Fauna</w:t>
            </w:r>
          </w:p>
        </w:tc>
        <w:tc>
          <w:tcPr>
            <w:tcW w:w="708" w:type="dxa"/>
            <w:shd w:val="clear" w:color="auto" w:fill="auto"/>
            <w:textDirection w:val="btLr"/>
            <w:vAlign w:val="center"/>
          </w:tcPr>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Waste Management</w:t>
            </w:r>
          </w:p>
        </w:tc>
        <w:tc>
          <w:tcPr>
            <w:tcW w:w="567" w:type="dxa"/>
            <w:shd w:val="clear" w:color="auto" w:fill="auto"/>
            <w:textDirection w:val="btLr"/>
            <w:vAlign w:val="center"/>
          </w:tcPr>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Landscape</w:t>
            </w:r>
          </w:p>
        </w:tc>
        <w:tc>
          <w:tcPr>
            <w:tcW w:w="567" w:type="dxa"/>
            <w:shd w:val="clear" w:color="auto" w:fill="auto"/>
            <w:textDirection w:val="btLr"/>
            <w:vAlign w:val="center"/>
          </w:tcPr>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Cultural Heritage</w:t>
            </w:r>
          </w:p>
        </w:tc>
        <w:tc>
          <w:tcPr>
            <w:tcW w:w="567" w:type="dxa"/>
            <w:shd w:val="clear" w:color="auto" w:fill="auto"/>
            <w:textDirection w:val="btLr"/>
            <w:vAlign w:val="center"/>
          </w:tcPr>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Resource efficiency</w:t>
            </w:r>
          </w:p>
        </w:tc>
        <w:tc>
          <w:tcPr>
            <w:tcW w:w="594" w:type="dxa"/>
            <w:shd w:val="clear" w:color="auto" w:fill="auto"/>
            <w:textDirection w:val="btLr"/>
            <w:vAlign w:val="center"/>
          </w:tcPr>
          <w:p w:rsidR="00511045" w:rsidRDefault="00511045" w:rsidP="002E01ED">
            <w:pPr>
              <w:ind w:right="113"/>
              <w:jc w:val="center"/>
              <w:rPr>
                <w:rFonts w:eastAsia="Calibri" w:cs="Arial"/>
                <w:b/>
                <w:sz w:val="20"/>
                <w:szCs w:val="20"/>
                <w:lang w:val="en-GB" w:eastAsia="en-US"/>
              </w:rPr>
            </w:pPr>
            <w:r>
              <w:rPr>
                <w:rFonts w:eastAsia="Calibri" w:cs="Arial"/>
                <w:b/>
                <w:sz w:val="20"/>
                <w:szCs w:val="20"/>
                <w:lang w:val="en-GB" w:eastAsia="en-US"/>
              </w:rPr>
              <w:t>Social - economic</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sz w:val="20"/>
                <w:szCs w:val="20"/>
                <w:lang w:val="en-GB" w:eastAsia="en-US"/>
              </w:rPr>
              <w:t>TO2 - SUPPORT TO EDUCATION, RESEARCH, TECHNOLOGICAL DEVELOPMENT &amp; INNOVATION</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bCs/>
                <w:i/>
                <w:iCs/>
                <w:sz w:val="20"/>
                <w:szCs w:val="20"/>
                <w:lang w:val="en-GB" w:eastAsia="en-US"/>
              </w:rPr>
              <w:t>Objective 1</w:t>
            </w:r>
            <w:r>
              <w:rPr>
                <w:rFonts w:eastAsia="Calibri" w:cs="Arial"/>
                <w:b/>
                <w:bCs/>
                <w:iCs/>
                <w:sz w:val="20"/>
                <w:szCs w:val="20"/>
                <w:lang w:val="en-GB" w:eastAsia="en-US"/>
              </w:rPr>
              <w:t xml:space="preserve">:  </w:t>
            </w:r>
            <w:r w:rsidRPr="00277EDF">
              <w:rPr>
                <w:rFonts w:eastAsia="Calibri" w:cs="Arial"/>
                <w:i/>
                <w:sz w:val="20"/>
                <w:szCs w:val="20"/>
                <w:lang w:val="en-GB" w:eastAsia="en-US"/>
              </w:rPr>
              <w:t>:  Develop education and support research and innovation at the level of the Programme area by facilitating the cooperation at local, regional and central level</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bCs/>
                <w:iCs/>
                <w:sz w:val="20"/>
                <w:szCs w:val="20"/>
                <w:lang w:val="en-GB" w:eastAsia="en-US"/>
              </w:rPr>
              <w:t xml:space="preserve">Priority 1.1 – Institutional cooperation in the educational field for increasing access to education and quality of education </w:t>
            </w: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sz w:val="20"/>
                <w:szCs w:val="20"/>
                <w:lang w:val="en-GB" w:eastAsia="en-US"/>
              </w:rPr>
              <w:t>Joint planning and joint development of educational strategies</w:t>
            </w:r>
          </w:p>
        </w:tc>
        <w:tc>
          <w:tcPr>
            <w:tcW w:w="534" w:type="dxa"/>
            <w:shd w:val="clear" w:color="auto" w:fill="auto"/>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sz w:val="20"/>
                <w:szCs w:val="20"/>
                <w:lang w:val="en-GB" w:eastAsia="en-US"/>
              </w:rPr>
              <w:t>Exchanges of experience, teacher exchanges, transfer of good practices between institutions from both sides of the border for increasing the effectiveness of education through the diversification of professional training programs for employees in the education system in areas such as:</w:t>
            </w:r>
          </w:p>
          <w:p w:rsidR="00511045" w:rsidRDefault="00511045" w:rsidP="002E01ED">
            <w:pPr>
              <w:numPr>
                <w:ilvl w:val="0"/>
                <w:numId w:val="18"/>
              </w:numPr>
              <w:ind w:left="162" w:hanging="162"/>
              <w:rPr>
                <w:rFonts w:eastAsia="Calibri" w:cs="Arial"/>
                <w:sz w:val="20"/>
                <w:szCs w:val="20"/>
                <w:lang w:val="en-GB" w:eastAsia="en-US"/>
              </w:rPr>
            </w:pPr>
            <w:r>
              <w:rPr>
                <w:rFonts w:eastAsia="Calibri" w:cs="Arial"/>
                <w:sz w:val="20"/>
                <w:szCs w:val="20"/>
                <w:lang w:val="en-GB" w:eastAsia="en-US"/>
              </w:rPr>
              <w:t>School development, school management, developing the relation between schools and communities;</w:t>
            </w:r>
          </w:p>
          <w:p w:rsidR="00511045" w:rsidRDefault="00511045" w:rsidP="002E01ED">
            <w:pPr>
              <w:numPr>
                <w:ilvl w:val="0"/>
                <w:numId w:val="18"/>
              </w:numPr>
              <w:ind w:left="162" w:hanging="162"/>
              <w:rPr>
                <w:rFonts w:eastAsia="Calibri" w:cs="Arial"/>
                <w:sz w:val="20"/>
                <w:szCs w:val="20"/>
                <w:lang w:val="en-GB" w:eastAsia="en-US"/>
              </w:rPr>
            </w:pPr>
            <w:r>
              <w:rPr>
                <w:rFonts w:eastAsia="Calibri" w:cs="Arial"/>
                <w:sz w:val="20"/>
                <w:szCs w:val="20"/>
                <w:lang w:val="en-GB" w:eastAsia="en-US"/>
              </w:rPr>
              <w:t xml:space="preserve">Developing and applying innovative educational methods, for increasing teaching skills  to facilitate and motivate students to perform;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Developing specific joint programs of entrepreneurship education, programmes that stimulate creativity, innovation and active citizenship;</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Rehabilitation/modernization/ extension/ equipment procurement for the educational infrastructure to provide the necessary material preconditions of a quality educational process and increase the participation in the educational processes;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sz w:val="20"/>
                <w:szCs w:val="20"/>
                <w:lang w:val="en-GB" w:eastAsia="en-US"/>
              </w:rPr>
              <w:t>Development and implementation of partnerships between education institutions from both sides of the border to:</w:t>
            </w:r>
          </w:p>
          <w:p w:rsidR="00511045" w:rsidRDefault="00511045" w:rsidP="002E01ED">
            <w:pPr>
              <w:numPr>
                <w:ilvl w:val="0"/>
                <w:numId w:val="63"/>
              </w:numPr>
              <w:ind w:left="162" w:hanging="90"/>
              <w:rPr>
                <w:rFonts w:eastAsia="Calibri" w:cs="Arial"/>
                <w:sz w:val="20"/>
                <w:szCs w:val="20"/>
                <w:lang w:val="en-GB" w:eastAsia="en-US"/>
              </w:rPr>
            </w:pPr>
            <w:r>
              <w:rPr>
                <w:rFonts w:eastAsia="Calibri" w:cs="Arial"/>
                <w:sz w:val="20"/>
                <w:szCs w:val="20"/>
                <w:lang w:val="en-GB" w:eastAsia="en-US"/>
              </w:rPr>
              <w:t>Prevent and correct early school leaving phenomenon through integrated programs (including awareness campaigns) for prevention of school dropout, encourage school attendance and reintegration of those who have left school early;</w:t>
            </w:r>
          </w:p>
          <w:p w:rsidR="00511045" w:rsidRDefault="00511045" w:rsidP="002E01ED">
            <w:pPr>
              <w:numPr>
                <w:ilvl w:val="0"/>
                <w:numId w:val="63"/>
              </w:numPr>
              <w:ind w:left="162" w:hanging="90"/>
              <w:rPr>
                <w:rFonts w:eastAsia="Calibri" w:cs="Arial"/>
                <w:i/>
                <w:sz w:val="20"/>
                <w:szCs w:val="20"/>
                <w:lang w:val="en-GB" w:eastAsia="en-US"/>
              </w:rPr>
            </w:pPr>
            <w:r>
              <w:rPr>
                <w:rFonts w:eastAsia="Calibri" w:cs="Arial"/>
                <w:sz w:val="20"/>
                <w:szCs w:val="20"/>
                <w:lang w:val="en-GB" w:eastAsia="en-US"/>
              </w:rPr>
              <w:t xml:space="preserve">Develop after school programs and extra-curricular activities; </w:t>
            </w:r>
          </w:p>
          <w:p w:rsidR="00511045" w:rsidRDefault="00511045" w:rsidP="002E01ED">
            <w:pPr>
              <w:rPr>
                <w:rFonts w:eastAsia="Calibri" w:cs="Arial"/>
                <w:sz w:val="20"/>
                <w:szCs w:val="20"/>
                <w:lang w:val="en-GB" w:eastAsia="en-US"/>
              </w:rPr>
            </w:pP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sz w:val="20"/>
                <w:szCs w:val="20"/>
                <w:lang w:val="en-GB" w:eastAsia="en-US"/>
              </w:rPr>
              <w:t>Development and implementation of joint actions in support of disadvantaged groups, e.g.:</w:t>
            </w:r>
          </w:p>
          <w:p w:rsidR="00511045" w:rsidRDefault="00511045" w:rsidP="002E01ED">
            <w:pPr>
              <w:numPr>
                <w:ilvl w:val="0"/>
                <w:numId w:val="62"/>
              </w:numPr>
              <w:ind w:left="162" w:hanging="162"/>
              <w:rPr>
                <w:rFonts w:eastAsia="Calibri" w:cs="Arial"/>
                <w:sz w:val="20"/>
                <w:szCs w:val="20"/>
                <w:lang w:val="en-GB" w:eastAsia="en-US"/>
              </w:rPr>
            </w:pPr>
            <w:r>
              <w:rPr>
                <w:rFonts w:eastAsia="Calibri" w:cs="Arial"/>
                <w:sz w:val="20"/>
                <w:szCs w:val="20"/>
                <w:lang w:val="en-GB" w:eastAsia="en-US"/>
              </w:rPr>
              <w:t>Integrated support actions addressing children and youth with parents living abroad (which may include inter alia guidance, counselling, after school programmes, educational and cultural activities);</w:t>
            </w:r>
          </w:p>
          <w:p w:rsidR="00511045" w:rsidRDefault="00511045" w:rsidP="002E01ED">
            <w:pPr>
              <w:numPr>
                <w:ilvl w:val="0"/>
                <w:numId w:val="62"/>
              </w:numPr>
              <w:ind w:left="162" w:hanging="162"/>
              <w:rPr>
                <w:rFonts w:eastAsia="Calibri" w:cs="Arial"/>
                <w:sz w:val="20"/>
                <w:szCs w:val="20"/>
                <w:lang w:val="en-GB" w:eastAsia="en-US"/>
              </w:rPr>
            </w:pPr>
            <w:r>
              <w:rPr>
                <w:rFonts w:eastAsia="Calibri" w:cs="Arial"/>
                <w:sz w:val="20"/>
                <w:szCs w:val="20"/>
                <w:lang w:val="en-GB" w:eastAsia="en-US"/>
              </w:rPr>
              <w:t>Support actions meant to facilitate the social and work integration of people (children, youth and adults) with disabilities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lastRenderedPageBreak/>
              <w:t>Joint support actions for youth for the prevention of drug use, human trafficking, alcohol abuse, etc.</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sz w:val="20"/>
                <w:szCs w:val="20"/>
                <w:lang w:val="en-GB" w:eastAsia="en-US"/>
              </w:rPr>
              <w:t>Development and implementation of cross border actions for enhancing/improving/ facilitating job qualifications and competences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sz w:val="20"/>
                <w:szCs w:val="20"/>
                <w:lang w:val="en-GB" w:eastAsia="en-US"/>
              </w:rPr>
              <w:t>Priority 1.2 – Promotion and support to research and innovation</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 xml:space="preserve">Development of partnerships/networking between universities for joint development of theoretical research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Joint research actions and studies (including related equipment procurement) in the field of environment (climate change challenges, preservation of biodiversity, renewable energy and resource efficiency, etc.).</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sz w:val="20"/>
                <w:szCs w:val="20"/>
                <w:lang w:val="en-GB" w:eastAsia="en-US"/>
              </w:rPr>
              <w:t xml:space="preserve">Promotion and support for research and innovation through rehabilitation/ modernization/extension of the specific infrastructure including the procurement of related equipment.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sz w:val="20"/>
                <w:szCs w:val="20"/>
                <w:lang w:val="en-GB" w:eastAsia="en-US"/>
              </w:rPr>
              <w:t>TO3- PROMOTION OF THE LOCAL CULTURE AND PRESERVATION OF HISTORICAL HERITAGE</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bCs/>
                <w:i/>
                <w:iCs/>
                <w:sz w:val="20"/>
                <w:szCs w:val="20"/>
                <w:lang w:val="en-GB" w:eastAsia="en-US"/>
              </w:rPr>
              <w:t xml:space="preserve">Objective 2:  </w:t>
            </w:r>
            <w:r w:rsidRPr="001739C9">
              <w:rPr>
                <w:rFonts w:ascii="Times New Roman" w:hAnsi="Times New Roman"/>
                <w:bCs/>
                <w:i/>
                <w:sz w:val="22"/>
                <w:szCs w:val="22"/>
              </w:rPr>
              <w:t>Preservation of the cultural and historical heritage in the eli</w:t>
            </w:r>
            <w:r>
              <w:rPr>
                <w:rFonts w:ascii="Times New Roman" w:hAnsi="Times New Roman"/>
                <w:bCs/>
                <w:i/>
                <w:sz w:val="22"/>
                <w:szCs w:val="22"/>
              </w:rPr>
              <w:t xml:space="preserve">gible area, support the development </w:t>
            </w:r>
            <w:r w:rsidRPr="001739C9">
              <w:rPr>
                <w:rFonts w:ascii="Times New Roman" w:hAnsi="Times New Roman"/>
                <w:bCs/>
                <w:i/>
                <w:sz w:val="22"/>
                <w:szCs w:val="22"/>
              </w:rPr>
              <w:t>of local culture, specific cultural identities and the cultural dialog</w:t>
            </w:r>
            <w:r>
              <w:rPr>
                <w:rFonts w:ascii="Times New Roman" w:hAnsi="Times New Roman"/>
                <w:bCs/>
                <w:i/>
                <w:sz w:val="22"/>
                <w:szCs w:val="22"/>
              </w:rPr>
              <w:t xml:space="preserve"> contributing to an enhanced attractiveness of the eligible area.</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bCs/>
                <w:sz w:val="20"/>
                <w:szCs w:val="20"/>
                <w:lang w:val="en-GB" w:eastAsia="en-US"/>
              </w:rPr>
              <w:t xml:space="preserve">Priority 2.1 – Preservation and promotion of the cultural and historical heritage  </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 xml:space="preserve">Restoration, conservation, consolidation, protection, security of cultural and historical monuments (including the corresponding access roads), museums, objects and art collections and their joint promotion based on relevant cross-border strategies/concepts;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 xml:space="preserve">Preservation, security, and joint valorisation of cultural and historical monuments and objects;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 xml:space="preserve">Cultural institutions networks aiming at the promotion of the cultural and historical heritage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Support for specific and traditional craftsman activities</w:t>
            </w:r>
            <w:r>
              <w:rPr>
                <w:rFonts w:eastAsia="Calibri" w:cs="Arial"/>
                <w:b/>
                <w:bCs/>
                <w:sz w:val="20"/>
                <w:szCs w:val="20"/>
                <w:lang w:val="en-GB" w:eastAsia="en-US"/>
              </w:rPr>
              <w:t xml:space="preserve">, </w:t>
            </w:r>
            <w:r>
              <w:rPr>
                <w:rFonts w:eastAsia="Calibri" w:cs="Arial"/>
                <w:bCs/>
                <w:sz w:val="20"/>
                <w:szCs w:val="20"/>
                <w:lang w:val="en-GB" w:eastAsia="en-US"/>
              </w:rPr>
              <w:t xml:space="preserve">important for preserving local culture and identity.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Promotion of specific and traditional activities in the eligible area (including cross border cultural events);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 xml:space="preserve">Preserving, promoting and developing the cultural and historical heritage, mainly through cultural events with a cross-border dimension;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bCs/>
                <w:sz w:val="20"/>
                <w:szCs w:val="20"/>
                <w:lang w:val="en-GB" w:eastAsia="en-US"/>
              </w:rPr>
              <w:t>Valorisation of the historical and cultural heritage through developing joint promotion strategies, common tourism products and services.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13777" w:type="dxa"/>
            <w:gridSpan w:val="12"/>
            <w:shd w:val="clear" w:color="auto" w:fill="auto"/>
          </w:tcPr>
          <w:p w:rsidR="00511045" w:rsidRDefault="00511045" w:rsidP="002E01ED">
            <w:pPr>
              <w:rPr>
                <w:rFonts w:eastAsia="Calibri" w:cs="Arial"/>
                <w:b/>
                <w:sz w:val="20"/>
                <w:szCs w:val="20"/>
                <w:lang w:val="en-GB" w:eastAsia="en-US"/>
              </w:rPr>
            </w:pPr>
          </w:p>
          <w:p w:rsidR="00511045" w:rsidRDefault="00511045" w:rsidP="002E01ED">
            <w:pPr>
              <w:rPr>
                <w:rFonts w:eastAsia="Calibri" w:cs="Arial"/>
                <w:sz w:val="20"/>
                <w:szCs w:val="20"/>
                <w:lang w:val="en-GB" w:eastAsia="en-US"/>
              </w:rPr>
            </w:pPr>
            <w:r>
              <w:rPr>
                <w:rFonts w:eastAsia="Calibri" w:cs="Arial"/>
                <w:b/>
                <w:sz w:val="20"/>
                <w:szCs w:val="20"/>
                <w:lang w:val="en-GB" w:eastAsia="en-US"/>
              </w:rPr>
              <w:t>TO7 - IMPROVEMENT OF ACCESSIBILITY TO THE REGIONS, DEVELOPMENT OF TRANSPORT AND COMMON NETWORKS AND SYSTEMS</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bCs/>
                <w:i/>
                <w:iCs/>
                <w:sz w:val="20"/>
                <w:szCs w:val="20"/>
                <w:lang w:val="en-GB" w:eastAsia="en-US"/>
              </w:rPr>
              <w:t>Objective 3:</w:t>
            </w:r>
            <w:r>
              <w:rPr>
                <w:rFonts w:eastAsia="Calibri" w:cs="Arial"/>
                <w:b/>
                <w:bCs/>
                <w:iCs/>
                <w:sz w:val="20"/>
                <w:szCs w:val="20"/>
                <w:lang w:val="en-GB" w:eastAsia="en-US"/>
              </w:rPr>
              <w:t xml:space="preserve"> </w:t>
            </w:r>
            <w:r>
              <w:rPr>
                <w:rFonts w:eastAsia="Calibri" w:cs="Arial"/>
                <w:i/>
                <w:sz w:val="20"/>
                <w:szCs w:val="20"/>
                <w:lang w:val="en-GB" w:eastAsia="en-US"/>
              </w:rPr>
              <w:t>Improve public transport services, infrastructure and ITC cooperation and networking</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bCs/>
                <w:sz w:val="20"/>
                <w:szCs w:val="20"/>
                <w:lang w:val="en-GB" w:eastAsia="en-US"/>
              </w:rPr>
              <w:t>Priority 3.1 – Development of cross border transport infrastructure and ICT tools</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 xml:space="preserve">Reconstruction, rehabilitation, modernization  of cross-border transport systems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Development of  environmentally friendly (carbon-proofed) cross-border transport initiatives and innovative solutions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Improvements of multimode transport (road/water ) facilities of cross-border interest;</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Reconstruction, rehabilitation, widening of cross-border (segments of) roads connecting settlements alongside the border with main road, which leads to the border;</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 xml:space="preserve">Improvement/restoration/construction of (segments of) access roads  to centres of cross-border interest;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Elaboration of joint strategies/policies/plans for improving the cross-border transport infrastructure;</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 xml:space="preserve">Development of cross-border connections, information and integrated communications network and services;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sz w:val="20"/>
                <w:szCs w:val="20"/>
                <w:lang w:val="en-GB" w:eastAsia="en-US"/>
              </w:rPr>
            </w:pPr>
            <w:r>
              <w:rPr>
                <w:rFonts w:eastAsia="Calibri" w:cs="Arial"/>
                <w:sz w:val="20"/>
                <w:szCs w:val="20"/>
                <w:lang w:val="en-GB" w:eastAsia="en-US"/>
              </w:rPr>
              <w:t>Upgrading existing facilities to enable linkages between communities and public services which promote co-operation on a cross-border and wider international basis;</w:t>
            </w:r>
          </w:p>
        </w:tc>
        <w:tc>
          <w:tcPr>
            <w:tcW w:w="53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sz w:val="20"/>
                <w:szCs w:val="20"/>
                <w:lang w:val="en-GB" w:eastAsia="en-US"/>
              </w:rPr>
              <w:t>TO8 - COMMON CHALLENGES IN THE FIELD OF SAFETY AND SECURITY</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bCs/>
                <w:i/>
                <w:iCs/>
                <w:sz w:val="20"/>
                <w:szCs w:val="20"/>
                <w:lang w:val="en-GB" w:eastAsia="en-US"/>
              </w:rPr>
              <w:t xml:space="preserve">Objective 4:  </w:t>
            </w:r>
            <w:r>
              <w:rPr>
                <w:rFonts w:eastAsia="Calibri" w:cs="Arial"/>
                <w:i/>
                <w:sz w:val="20"/>
                <w:szCs w:val="20"/>
                <w:lang w:val="en-GB" w:eastAsia="en-US"/>
              </w:rPr>
              <w:t>Addressing common challenges in cross-border security, access to health, management of natural and anthropic risks and emergency situations through joint projects</w:t>
            </w:r>
          </w:p>
        </w:tc>
      </w:tr>
      <w:tr w:rsidR="00511045" w:rsidTr="002E01ED">
        <w:tc>
          <w:tcPr>
            <w:tcW w:w="13777" w:type="dxa"/>
            <w:gridSpan w:val="12"/>
            <w:shd w:val="clear" w:color="auto" w:fill="auto"/>
          </w:tcPr>
          <w:p w:rsidR="00511045" w:rsidRDefault="00511045" w:rsidP="002E01ED">
            <w:pPr>
              <w:rPr>
                <w:rFonts w:eastAsia="Calibri" w:cs="Arial"/>
                <w:sz w:val="20"/>
                <w:szCs w:val="20"/>
                <w:lang w:val="en-GB" w:eastAsia="en-US"/>
              </w:rPr>
            </w:pPr>
            <w:r>
              <w:rPr>
                <w:rFonts w:eastAsia="Calibri" w:cs="Arial"/>
                <w:b/>
                <w:bCs/>
                <w:iCs/>
                <w:sz w:val="20"/>
                <w:szCs w:val="20"/>
                <w:lang w:val="en-GB" w:eastAsia="en-US"/>
              </w:rPr>
              <w:t>Priority 4.1 - Support to the development of health services and access to health</w:t>
            </w:r>
          </w:p>
        </w:tc>
      </w:tr>
      <w:tr w:rsidR="00511045" w:rsidTr="002E01ED">
        <w:tc>
          <w:tcPr>
            <w:tcW w:w="6946" w:type="dxa"/>
            <w:shd w:val="clear" w:color="auto" w:fill="auto"/>
          </w:tcPr>
          <w:p w:rsidR="00511045" w:rsidRDefault="00511045" w:rsidP="002E01ED">
            <w:pPr>
              <w:jc w:val="both"/>
              <w:rPr>
                <w:rFonts w:eastAsia="Calibri" w:cs="Arial"/>
                <w:bCs/>
                <w:iCs/>
                <w:sz w:val="20"/>
                <w:szCs w:val="20"/>
                <w:lang w:val="en-GB" w:eastAsia="en-US"/>
              </w:rPr>
            </w:pPr>
            <w:r>
              <w:rPr>
                <w:rFonts w:eastAsia="Calibri" w:cs="Arial"/>
                <w:bCs/>
                <w:iCs/>
                <w:sz w:val="20"/>
                <w:szCs w:val="20"/>
                <w:lang w:val="en-GB" w:eastAsia="en-US"/>
              </w:rPr>
              <w:t>Joint activities meant to enhance the access to health in the border area through construction / rehabilitation / modernization of infrastructure of public health services (including through the use of renewable energy etc.);</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bCs/>
                <w:iCs/>
                <w:sz w:val="20"/>
                <w:szCs w:val="20"/>
                <w:lang w:val="en-GB" w:eastAsia="en-US"/>
              </w:rPr>
            </w:pPr>
            <w:r>
              <w:rPr>
                <w:rFonts w:eastAsia="Calibri" w:cs="Arial"/>
                <w:bCs/>
                <w:iCs/>
                <w:sz w:val="20"/>
                <w:szCs w:val="20"/>
                <w:lang w:val="en-GB" w:eastAsia="en-US"/>
              </w:rPr>
              <w:t>Developing labs and mobile labs for screening / clinical monitoring of diseases and prevention of cross border epidemics;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59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iCs/>
                <w:sz w:val="20"/>
                <w:szCs w:val="20"/>
                <w:lang w:val="en-GB" w:eastAsia="en-US"/>
              </w:rPr>
            </w:pPr>
            <w:r>
              <w:rPr>
                <w:rFonts w:eastAsia="Calibri" w:cs="Arial"/>
                <w:bCs/>
                <w:iCs/>
                <w:sz w:val="20"/>
                <w:szCs w:val="20"/>
                <w:lang w:val="en-GB" w:eastAsia="en-US"/>
              </w:rPr>
              <w:t>Equipping specific public medical service infrastructure (outpatient, emergency room facilities, medical centres, integrated social intervention, etc.);</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iCs/>
                <w:sz w:val="20"/>
                <w:szCs w:val="20"/>
                <w:lang w:val="en-GB" w:eastAsia="en-US"/>
              </w:rPr>
            </w:pPr>
            <w:r>
              <w:rPr>
                <w:rFonts w:eastAsia="Calibri" w:cs="Arial"/>
                <w:bCs/>
                <w:iCs/>
                <w:sz w:val="20"/>
                <w:szCs w:val="20"/>
                <w:lang w:val="en-GB" w:eastAsia="en-US"/>
              </w:rPr>
              <w:lastRenderedPageBreak/>
              <w:t>Joint training programs and exchange of experience, networking for supporting the functioning of the specific public medical services, telemedicine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iCs/>
                <w:sz w:val="20"/>
                <w:szCs w:val="20"/>
                <w:lang w:val="en-GB" w:eastAsia="en-US"/>
              </w:rPr>
            </w:pPr>
            <w:r>
              <w:rPr>
                <w:rFonts w:eastAsia="Calibri" w:cs="Arial"/>
                <w:bCs/>
                <w:iCs/>
                <w:sz w:val="20"/>
                <w:szCs w:val="20"/>
                <w:lang w:val="en-GB" w:eastAsia="en-US"/>
              </w:rPr>
              <w:t>Exchange of experience, joint activities in order to ensure compatibility of the treatment guidelines, joint diagnosis programmes;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iCs/>
                <w:sz w:val="20"/>
                <w:szCs w:val="20"/>
                <w:lang w:val="en-GB" w:eastAsia="en-US"/>
              </w:rPr>
            </w:pPr>
            <w:r>
              <w:rPr>
                <w:rFonts w:eastAsia="Calibri" w:cs="Arial"/>
                <w:bCs/>
                <w:iCs/>
                <w:sz w:val="20"/>
                <w:szCs w:val="20"/>
                <w:lang w:val="en-GB" w:eastAsia="en-US"/>
              </w:rPr>
              <w:t>Awareness campaigns concerning public education on health, diseases and prevention of epidemics.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b/>
                <w:bCs/>
                <w:iCs/>
                <w:sz w:val="20"/>
                <w:szCs w:val="20"/>
                <w:lang w:val="en-GB" w:eastAsia="en-US"/>
              </w:rPr>
              <w:t>Priority 4.2 – Support to joint activities for the prevention of natural and man-made disasters as well as joint actions during emergency situations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p>
        </w:tc>
        <w:tc>
          <w:tcPr>
            <w:tcW w:w="459"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746" w:type="dxa"/>
            <w:shd w:val="clear" w:color="auto" w:fill="auto"/>
            <w:vAlign w:val="center"/>
          </w:tcPr>
          <w:p w:rsidR="00511045" w:rsidRDefault="00511045" w:rsidP="002E01ED">
            <w:pPr>
              <w:jc w:val="center"/>
              <w:rPr>
                <w:rFonts w:eastAsia="Calibri" w:cs="Arial"/>
                <w:sz w:val="20"/>
                <w:szCs w:val="20"/>
                <w:lang w:val="en-GB" w:eastAsia="en-US"/>
              </w:rPr>
            </w:pPr>
          </w:p>
        </w:tc>
        <w:tc>
          <w:tcPr>
            <w:tcW w:w="813" w:type="dxa"/>
            <w:shd w:val="clear" w:color="auto" w:fill="auto"/>
            <w:vAlign w:val="center"/>
          </w:tcPr>
          <w:p w:rsidR="00511045" w:rsidRDefault="00511045" w:rsidP="002E01ED">
            <w:pPr>
              <w:jc w:val="center"/>
              <w:rPr>
                <w:rFonts w:eastAsia="Calibri" w:cs="Arial"/>
                <w:sz w:val="20"/>
                <w:szCs w:val="20"/>
                <w:lang w:val="en-GB" w:eastAsia="en-US"/>
              </w:rPr>
            </w:pPr>
          </w:p>
        </w:tc>
        <w:tc>
          <w:tcPr>
            <w:tcW w:w="709" w:type="dxa"/>
            <w:shd w:val="clear" w:color="auto" w:fill="auto"/>
            <w:vAlign w:val="center"/>
          </w:tcPr>
          <w:p w:rsidR="00511045" w:rsidRDefault="00511045" w:rsidP="002E01ED">
            <w:pPr>
              <w:jc w:val="center"/>
              <w:rPr>
                <w:rFonts w:eastAsia="Calibri" w:cs="Arial"/>
                <w:sz w:val="20"/>
                <w:szCs w:val="20"/>
                <w:lang w:val="en-GB" w:eastAsia="en-US"/>
              </w:rPr>
            </w:pPr>
          </w:p>
        </w:tc>
        <w:tc>
          <w:tcPr>
            <w:tcW w:w="708"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94" w:type="dxa"/>
            <w:shd w:val="clear" w:color="auto" w:fill="auto"/>
            <w:vAlign w:val="center"/>
          </w:tcPr>
          <w:p w:rsidR="00511045" w:rsidRDefault="00511045" w:rsidP="002E01ED">
            <w:pPr>
              <w:jc w:val="center"/>
              <w:rPr>
                <w:rFonts w:eastAsia="Calibri" w:cs="Arial"/>
                <w:sz w:val="20"/>
                <w:szCs w:val="20"/>
                <w:lang w:val="en-GB" w:eastAsia="en-US"/>
              </w:rPr>
            </w:pP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Common measures for preventing land slide and flooding of the cross border areas;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Joint integrated systems for efficient monitoring and disaster prevention and for the mitigation of consequences;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 xml:space="preserve">Common strategies and tools for hazard management and risk prevention including joint action plans;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Elaborating of joint detailed maps and databases (indicating natural and technological risks, and land use for regional planning authorities, environmental agencies and emergency services);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Exchanging experience and knowledge, including raising awareness in the field of efficient risk prevention and management in the cross-border area;</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Development of integrated and common standards for the urban planning and risk management;</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 xml:space="preserve">Investments and development of common, integrated, emergency management systems.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Planning co-ordinated actions of the authorities in emergency situations caused by natural and man-made disasters (flood, fire, heat waves, earthquakes, storms).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p>
        </w:tc>
        <w:tc>
          <w:tcPr>
            <w:tcW w:w="534" w:type="dxa"/>
            <w:shd w:val="clear" w:color="auto" w:fill="auto"/>
            <w:vAlign w:val="center"/>
          </w:tcPr>
          <w:p w:rsidR="00511045" w:rsidRDefault="00511045" w:rsidP="002E01ED">
            <w:pPr>
              <w:jc w:val="center"/>
              <w:rPr>
                <w:rFonts w:eastAsia="Calibri" w:cs="Arial"/>
                <w:sz w:val="20"/>
                <w:szCs w:val="20"/>
                <w:lang w:val="en-GB" w:eastAsia="en-US"/>
              </w:rPr>
            </w:pPr>
          </w:p>
        </w:tc>
        <w:tc>
          <w:tcPr>
            <w:tcW w:w="459"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746" w:type="dxa"/>
            <w:shd w:val="clear" w:color="auto" w:fill="auto"/>
            <w:vAlign w:val="center"/>
          </w:tcPr>
          <w:p w:rsidR="00511045" w:rsidRDefault="00511045" w:rsidP="002E01ED">
            <w:pPr>
              <w:jc w:val="center"/>
              <w:rPr>
                <w:rFonts w:eastAsia="Calibri" w:cs="Arial"/>
                <w:sz w:val="20"/>
                <w:szCs w:val="20"/>
                <w:lang w:val="en-GB" w:eastAsia="en-US"/>
              </w:rPr>
            </w:pPr>
          </w:p>
        </w:tc>
        <w:tc>
          <w:tcPr>
            <w:tcW w:w="813" w:type="dxa"/>
            <w:shd w:val="clear" w:color="auto" w:fill="auto"/>
            <w:vAlign w:val="center"/>
          </w:tcPr>
          <w:p w:rsidR="00511045" w:rsidRDefault="00511045" w:rsidP="002E01ED">
            <w:pPr>
              <w:jc w:val="center"/>
              <w:rPr>
                <w:rFonts w:eastAsia="Calibri" w:cs="Arial"/>
                <w:sz w:val="20"/>
                <w:szCs w:val="20"/>
                <w:lang w:val="en-GB" w:eastAsia="en-US"/>
              </w:rPr>
            </w:pPr>
          </w:p>
        </w:tc>
        <w:tc>
          <w:tcPr>
            <w:tcW w:w="709" w:type="dxa"/>
            <w:shd w:val="clear" w:color="auto" w:fill="auto"/>
            <w:vAlign w:val="center"/>
          </w:tcPr>
          <w:p w:rsidR="00511045" w:rsidRDefault="00511045" w:rsidP="002E01ED">
            <w:pPr>
              <w:jc w:val="center"/>
              <w:rPr>
                <w:rFonts w:eastAsia="Calibri" w:cs="Arial"/>
                <w:sz w:val="20"/>
                <w:szCs w:val="20"/>
                <w:lang w:val="en-GB" w:eastAsia="en-US"/>
              </w:rPr>
            </w:pPr>
          </w:p>
        </w:tc>
        <w:tc>
          <w:tcPr>
            <w:tcW w:w="708"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94" w:type="dxa"/>
            <w:shd w:val="clear" w:color="auto" w:fill="auto"/>
            <w:vAlign w:val="center"/>
          </w:tcPr>
          <w:p w:rsidR="00511045" w:rsidRDefault="00511045" w:rsidP="002E01ED">
            <w:pPr>
              <w:jc w:val="center"/>
              <w:rPr>
                <w:rFonts w:eastAsia="Calibri" w:cs="Arial"/>
                <w:sz w:val="20"/>
                <w:szCs w:val="20"/>
                <w:lang w:val="en-GB" w:eastAsia="en-US"/>
              </w:rPr>
            </w:pP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b/>
                <w:bCs/>
                <w:iCs/>
                <w:sz w:val="20"/>
                <w:szCs w:val="20"/>
                <w:lang w:val="en-GB" w:eastAsia="en-US"/>
              </w:rPr>
              <w:t>Priority 4.3 Prevention and fight against organised crime and police cooperation</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p>
        </w:tc>
        <w:tc>
          <w:tcPr>
            <w:tcW w:w="459"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746" w:type="dxa"/>
            <w:shd w:val="clear" w:color="auto" w:fill="auto"/>
            <w:vAlign w:val="center"/>
          </w:tcPr>
          <w:p w:rsidR="00511045" w:rsidRDefault="00511045" w:rsidP="002E01ED">
            <w:pPr>
              <w:jc w:val="center"/>
              <w:rPr>
                <w:rFonts w:eastAsia="Calibri" w:cs="Arial"/>
                <w:sz w:val="20"/>
                <w:szCs w:val="20"/>
                <w:lang w:val="en-GB" w:eastAsia="en-US"/>
              </w:rPr>
            </w:pPr>
          </w:p>
        </w:tc>
        <w:tc>
          <w:tcPr>
            <w:tcW w:w="813" w:type="dxa"/>
            <w:shd w:val="clear" w:color="auto" w:fill="auto"/>
            <w:vAlign w:val="center"/>
          </w:tcPr>
          <w:p w:rsidR="00511045" w:rsidRDefault="00511045" w:rsidP="002E01ED">
            <w:pPr>
              <w:jc w:val="center"/>
              <w:rPr>
                <w:rFonts w:eastAsia="Calibri" w:cs="Arial"/>
                <w:sz w:val="20"/>
                <w:szCs w:val="20"/>
                <w:lang w:val="en-GB" w:eastAsia="en-US"/>
              </w:rPr>
            </w:pPr>
          </w:p>
        </w:tc>
        <w:tc>
          <w:tcPr>
            <w:tcW w:w="709" w:type="dxa"/>
            <w:shd w:val="clear" w:color="auto" w:fill="auto"/>
            <w:vAlign w:val="center"/>
          </w:tcPr>
          <w:p w:rsidR="00511045" w:rsidRDefault="00511045" w:rsidP="002E01ED">
            <w:pPr>
              <w:jc w:val="center"/>
              <w:rPr>
                <w:rFonts w:eastAsia="Calibri" w:cs="Arial"/>
                <w:sz w:val="20"/>
                <w:szCs w:val="20"/>
                <w:lang w:val="en-GB" w:eastAsia="en-US"/>
              </w:rPr>
            </w:pPr>
          </w:p>
        </w:tc>
        <w:tc>
          <w:tcPr>
            <w:tcW w:w="708"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94" w:type="dxa"/>
            <w:shd w:val="clear" w:color="auto" w:fill="auto"/>
            <w:vAlign w:val="center"/>
          </w:tcPr>
          <w:p w:rsidR="00511045" w:rsidRDefault="00511045" w:rsidP="002E01ED">
            <w:pPr>
              <w:jc w:val="center"/>
              <w:rPr>
                <w:rFonts w:eastAsia="Calibri" w:cs="Arial"/>
                <w:sz w:val="20"/>
                <w:szCs w:val="20"/>
                <w:lang w:val="en-GB" w:eastAsia="en-US"/>
              </w:rPr>
            </w:pP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Common actions for increasing mobility and administrative capacity of police units (including border police);</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 xml:space="preserve">Creating collaborative working platforms in order to increase the efficiency </w:t>
            </w:r>
            <w:r>
              <w:rPr>
                <w:rFonts w:eastAsia="Calibri" w:cs="Arial"/>
                <w:bCs/>
                <w:sz w:val="20"/>
                <w:szCs w:val="20"/>
                <w:lang w:val="en-GB" w:eastAsia="en-US"/>
              </w:rPr>
              <w:lastRenderedPageBreak/>
              <w:t>of police, border police and custom structures in the exchange of data and information;</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lastRenderedPageBreak/>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lastRenderedPageBreak/>
              <w:t>Joint trainings of police, customs, border police, gendarmerie, exchange of best practices on specific areas of activity (analysis, criminal investigation, organized crime).</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 xml:space="preserve">Investment in construction, renovation or upgrading of police and border crossing infrastructure and related buildings; </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sz w:val="20"/>
                <w:szCs w:val="20"/>
                <w:lang w:val="en-GB" w:eastAsia="en-US"/>
              </w:rPr>
            </w:pPr>
            <w:r>
              <w:rPr>
                <w:rFonts w:eastAsia="Calibri" w:cs="Arial"/>
                <w:bCs/>
                <w:sz w:val="20"/>
                <w:szCs w:val="20"/>
                <w:lang w:val="en-GB" w:eastAsia="en-US"/>
              </w:rPr>
              <w:t>Investments in operating equipment and facilities specific for the activity of police/customs/border police/gendarmerie (e.g. laboratories,  equipment, detection tools,  hardware and software, means of transport);</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rPr>
                <w:rFonts w:eastAsia="Calibri"/>
                <w:sz w:val="20"/>
                <w:szCs w:val="20"/>
                <w:lang w:val="en-GB" w:eastAsia="en-US"/>
              </w:rPr>
            </w:pPr>
            <w:r>
              <w:rPr>
                <w:rFonts w:eastAsia="Calibri" w:cs="Arial"/>
                <w:bCs/>
                <w:sz w:val="20"/>
                <w:szCs w:val="20"/>
                <w:lang w:val="en-GB" w:eastAsia="en-US"/>
              </w:rPr>
              <w:t>Developing common policies and strategies, experience exchange for fighting organised crime.</w:t>
            </w:r>
          </w:p>
        </w:tc>
        <w:tc>
          <w:tcPr>
            <w:tcW w:w="53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jc w:val="both"/>
              <w:rPr>
                <w:rFonts w:eastAsia="Calibri" w:cs="Arial"/>
                <w:bCs/>
                <w:color w:val="FF0000"/>
                <w:sz w:val="20"/>
                <w:szCs w:val="20"/>
                <w:lang w:val="en-GB" w:eastAsia="en-US"/>
              </w:rPr>
            </w:pPr>
          </w:p>
        </w:tc>
        <w:tc>
          <w:tcPr>
            <w:tcW w:w="534" w:type="dxa"/>
            <w:shd w:val="clear" w:color="auto" w:fill="auto"/>
            <w:vAlign w:val="center"/>
          </w:tcPr>
          <w:p w:rsidR="00511045" w:rsidRDefault="00511045" w:rsidP="002E01ED">
            <w:pPr>
              <w:jc w:val="center"/>
              <w:rPr>
                <w:rFonts w:eastAsia="Calibri"/>
                <w:sz w:val="20"/>
                <w:szCs w:val="20"/>
                <w:lang w:val="en-GB" w:eastAsia="en-US"/>
              </w:rPr>
            </w:pPr>
          </w:p>
        </w:tc>
        <w:tc>
          <w:tcPr>
            <w:tcW w:w="459"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746" w:type="dxa"/>
            <w:shd w:val="clear" w:color="auto" w:fill="auto"/>
            <w:vAlign w:val="center"/>
          </w:tcPr>
          <w:p w:rsidR="00511045" w:rsidRDefault="00511045" w:rsidP="002E01ED">
            <w:pPr>
              <w:jc w:val="center"/>
              <w:rPr>
                <w:rFonts w:eastAsia="Calibri"/>
                <w:sz w:val="20"/>
                <w:szCs w:val="20"/>
                <w:lang w:val="en-GB" w:eastAsia="en-US"/>
              </w:rPr>
            </w:pPr>
          </w:p>
        </w:tc>
        <w:tc>
          <w:tcPr>
            <w:tcW w:w="813" w:type="dxa"/>
            <w:shd w:val="clear" w:color="auto" w:fill="auto"/>
            <w:vAlign w:val="center"/>
          </w:tcPr>
          <w:p w:rsidR="00511045" w:rsidRDefault="00511045" w:rsidP="002E01ED">
            <w:pPr>
              <w:jc w:val="center"/>
              <w:rPr>
                <w:rFonts w:eastAsia="Calibri"/>
                <w:sz w:val="20"/>
                <w:szCs w:val="20"/>
                <w:lang w:val="en-GB" w:eastAsia="en-US"/>
              </w:rPr>
            </w:pPr>
          </w:p>
        </w:tc>
        <w:tc>
          <w:tcPr>
            <w:tcW w:w="709" w:type="dxa"/>
            <w:shd w:val="clear" w:color="auto" w:fill="auto"/>
            <w:vAlign w:val="center"/>
          </w:tcPr>
          <w:p w:rsidR="00511045" w:rsidRDefault="00511045" w:rsidP="002E01ED">
            <w:pPr>
              <w:jc w:val="center"/>
              <w:rPr>
                <w:rFonts w:eastAsia="Calibri"/>
                <w:sz w:val="20"/>
                <w:szCs w:val="20"/>
                <w:lang w:val="en-GB" w:eastAsia="en-US"/>
              </w:rPr>
            </w:pPr>
          </w:p>
        </w:tc>
        <w:tc>
          <w:tcPr>
            <w:tcW w:w="708"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594" w:type="dxa"/>
            <w:shd w:val="clear" w:color="auto" w:fill="auto"/>
            <w:vAlign w:val="center"/>
          </w:tcPr>
          <w:p w:rsidR="00511045" w:rsidRDefault="00511045" w:rsidP="002E01ED">
            <w:pPr>
              <w:jc w:val="center"/>
              <w:rPr>
                <w:rFonts w:eastAsia="Calibri"/>
                <w:sz w:val="20"/>
                <w:szCs w:val="20"/>
                <w:lang w:val="en-GB" w:eastAsia="en-US"/>
              </w:rPr>
            </w:pPr>
          </w:p>
        </w:tc>
      </w:tr>
      <w:tr w:rsidR="00511045" w:rsidTr="002E01ED">
        <w:tc>
          <w:tcPr>
            <w:tcW w:w="6946" w:type="dxa"/>
            <w:shd w:val="clear" w:color="auto" w:fill="auto"/>
          </w:tcPr>
          <w:p w:rsidR="00511045" w:rsidRDefault="00511045" w:rsidP="002E01ED">
            <w:pPr>
              <w:jc w:val="both"/>
              <w:rPr>
                <w:rFonts w:eastAsia="Calibri" w:cs="Arial"/>
                <w:bCs/>
                <w:color w:val="FF0000"/>
                <w:sz w:val="20"/>
                <w:szCs w:val="20"/>
                <w:lang w:val="en-GB" w:eastAsia="en-US"/>
              </w:rPr>
            </w:pPr>
          </w:p>
        </w:tc>
        <w:tc>
          <w:tcPr>
            <w:tcW w:w="534" w:type="dxa"/>
            <w:shd w:val="clear" w:color="auto" w:fill="auto"/>
            <w:vAlign w:val="center"/>
          </w:tcPr>
          <w:p w:rsidR="00511045" w:rsidRDefault="00511045" w:rsidP="002E01ED">
            <w:pPr>
              <w:jc w:val="center"/>
              <w:rPr>
                <w:rFonts w:eastAsia="Calibri"/>
                <w:sz w:val="20"/>
                <w:szCs w:val="20"/>
                <w:lang w:val="en-GB" w:eastAsia="en-US"/>
              </w:rPr>
            </w:pPr>
          </w:p>
        </w:tc>
        <w:tc>
          <w:tcPr>
            <w:tcW w:w="459"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746" w:type="dxa"/>
            <w:shd w:val="clear" w:color="auto" w:fill="auto"/>
            <w:vAlign w:val="center"/>
          </w:tcPr>
          <w:p w:rsidR="00511045" w:rsidRDefault="00511045" w:rsidP="002E01ED">
            <w:pPr>
              <w:jc w:val="center"/>
              <w:rPr>
                <w:rFonts w:eastAsia="Calibri"/>
                <w:sz w:val="20"/>
                <w:szCs w:val="20"/>
                <w:lang w:val="en-GB" w:eastAsia="en-US"/>
              </w:rPr>
            </w:pPr>
          </w:p>
        </w:tc>
        <w:tc>
          <w:tcPr>
            <w:tcW w:w="813" w:type="dxa"/>
            <w:shd w:val="clear" w:color="auto" w:fill="auto"/>
            <w:vAlign w:val="center"/>
          </w:tcPr>
          <w:p w:rsidR="00511045" w:rsidRDefault="00511045" w:rsidP="002E01ED">
            <w:pPr>
              <w:jc w:val="center"/>
              <w:rPr>
                <w:rFonts w:eastAsia="Calibri"/>
                <w:sz w:val="20"/>
                <w:szCs w:val="20"/>
                <w:lang w:val="en-GB" w:eastAsia="en-US"/>
              </w:rPr>
            </w:pPr>
          </w:p>
        </w:tc>
        <w:tc>
          <w:tcPr>
            <w:tcW w:w="709" w:type="dxa"/>
            <w:shd w:val="clear" w:color="auto" w:fill="auto"/>
            <w:vAlign w:val="center"/>
          </w:tcPr>
          <w:p w:rsidR="00511045" w:rsidRDefault="00511045" w:rsidP="002E01ED">
            <w:pPr>
              <w:jc w:val="center"/>
              <w:rPr>
                <w:rFonts w:eastAsia="Calibri"/>
                <w:sz w:val="20"/>
                <w:szCs w:val="20"/>
                <w:lang w:val="en-GB" w:eastAsia="en-US"/>
              </w:rPr>
            </w:pPr>
          </w:p>
        </w:tc>
        <w:tc>
          <w:tcPr>
            <w:tcW w:w="708"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594" w:type="dxa"/>
            <w:shd w:val="clear" w:color="auto" w:fill="auto"/>
            <w:vAlign w:val="center"/>
          </w:tcPr>
          <w:p w:rsidR="00511045" w:rsidRDefault="00511045" w:rsidP="002E01ED">
            <w:pPr>
              <w:jc w:val="center"/>
              <w:rPr>
                <w:rFonts w:eastAsia="Calibri"/>
                <w:sz w:val="20"/>
                <w:szCs w:val="20"/>
                <w:lang w:val="en-GB" w:eastAsia="en-US"/>
              </w:rPr>
            </w:pP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b/>
                <w:sz w:val="20"/>
                <w:szCs w:val="20"/>
                <w:lang w:val="en-GB" w:eastAsia="en-US"/>
              </w:rPr>
              <w:t>LARGE INFRASTRUCTURE Projects</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p>
        </w:tc>
        <w:tc>
          <w:tcPr>
            <w:tcW w:w="459"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746" w:type="dxa"/>
            <w:shd w:val="clear" w:color="auto" w:fill="auto"/>
            <w:vAlign w:val="center"/>
          </w:tcPr>
          <w:p w:rsidR="00511045" w:rsidRDefault="00511045" w:rsidP="002E01ED">
            <w:pPr>
              <w:jc w:val="center"/>
              <w:rPr>
                <w:rFonts w:eastAsia="Calibri" w:cs="Arial"/>
                <w:sz w:val="20"/>
                <w:szCs w:val="20"/>
                <w:lang w:val="en-GB" w:eastAsia="en-US"/>
              </w:rPr>
            </w:pPr>
          </w:p>
        </w:tc>
        <w:tc>
          <w:tcPr>
            <w:tcW w:w="813" w:type="dxa"/>
            <w:shd w:val="clear" w:color="auto" w:fill="auto"/>
            <w:vAlign w:val="center"/>
          </w:tcPr>
          <w:p w:rsidR="00511045" w:rsidRDefault="00511045" w:rsidP="002E01ED">
            <w:pPr>
              <w:jc w:val="center"/>
              <w:rPr>
                <w:rFonts w:eastAsia="Calibri" w:cs="Arial"/>
                <w:sz w:val="20"/>
                <w:szCs w:val="20"/>
                <w:lang w:val="en-GB" w:eastAsia="en-US"/>
              </w:rPr>
            </w:pPr>
          </w:p>
        </w:tc>
        <w:tc>
          <w:tcPr>
            <w:tcW w:w="709" w:type="dxa"/>
            <w:shd w:val="clear" w:color="auto" w:fill="auto"/>
            <w:vAlign w:val="center"/>
          </w:tcPr>
          <w:p w:rsidR="00511045" w:rsidRDefault="00511045" w:rsidP="002E01ED">
            <w:pPr>
              <w:jc w:val="center"/>
              <w:rPr>
                <w:rFonts w:eastAsia="Calibri" w:cs="Arial"/>
                <w:sz w:val="20"/>
                <w:szCs w:val="20"/>
                <w:lang w:val="en-GB" w:eastAsia="en-US"/>
              </w:rPr>
            </w:pPr>
          </w:p>
        </w:tc>
        <w:tc>
          <w:tcPr>
            <w:tcW w:w="708"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67" w:type="dxa"/>
            <w:shd w:val="clear" w:color="auto" w:fill="auto"/>
            <w:vAlign w:val="center"/>
          </w:tcPr>
          <w:p w:rsidR="00511045" w:rsidRDefault="00511045" w:rsidP="002E01ED">
            <w:pPr>
              <w:jc w:val="center"/>
              <w:rPr>
                <w:rFonts w:eastAsia="Calibri" w:cs="Arial"/>
                <w:sz w:val="20"/>
                <w:szCs w:val="20"/>
                <w:lang w:val="en-GB" w:eastAsia="en-US"/>
              </w:rPr>
            </w:pPr>
          </w:p>
        </w:tc>
        <w:tc>
          <w:tcPr>
            <w:tcW w:w="594" w:type="dxa"/>
            <w:shd w:val="clear" w:color="auto" w:fill="auto"/>
            <w:vAlign w:val="center"/>
          </w:tcPr>
          <w:p w:rsidR="00511045" w:rsidRDefault="00511045" w:rsidP="002E01ED">
            <w:pPr>
              <w:jc w:val="center"/>
              <w:rPr>
                <w:rFonts w:eastAsia="Calibri" w:cs="Arial"/>
                <w:sz w:val="20"/>
                <w:szCs w:val="20"/>
                <w:lang w:val="en-GB" w:eastAsia="en-US"/>
              </w:rPr>
            </w:pP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sz w:val="20"/>
                <w:szCs w:val="20"/>
                <w:lang w:val="en-GB" w:eastAsia="en-US"/>
              </w:rPr>
              <w:t>«Clean river» Dunărea</w:t>
            </w:r>
          </w:p>
        </w:tc>
        <w:tc>
          <w:tcPr>
            <w:tcW w:w="53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sz w:val="20"/>
                <w:szCs w:val="20"/>
                <w:lang w:val="en-GB" w:eastAsia="en-US"/>
              </w:rPr>
            </w:pPr>
            <w:r>
              <w:rPr>
                <w:rFonts w:eastAsia="Calibri"/>
                <w:sz w:val="20"/>
                <w:szCs w:val="20"/>
                <w:lang w:val="en-GB" w:eastAsia="en-US"/>
              </w:rPr>
              <w:t>++</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sz w:val="20"/>
                <w:szCs w:val="20"/>
                <w:lang w:val="en-GB" w:eastAsia="en-US"/>
              </w:rPr>
              <w:t>++</w:t>
            </w:r>
          </w:p>
        </w:tc>
        <w:tc>
          <w:tcPr>
            <w:tcW w:w="746"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70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708"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sz w:val="20"/>
                <w:szCs w:val="20"/>
                <w:lang w:val="en-GB" w:eastAsia="en-US"/>
              </w:rPr>
              <w:t>++</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p>
        </w:tc>
        <w:tc>
          <w:tcPr>
            <w:tcW w:w="534" w:type="dxa"/>
            <w:shd w:val="clear" w:color="auto" w:fill="auto"/>
            <w:vAlign w:val="center"/>
          </w:tcPr>
          <w:p w:rsidR="00511045" w:rsidRDefault="00511045" w:rsidP="002E01ED">
            <w:pPr>
              <w:jc w:val="center"/>
              <w:rPr>
                <w:rFonts w:eastAsia="Calibri"/>
                <w:sz w:val="20"/>
                <w:szCs w:val="20"/>
                <w:lang w:val="en-GB" w:eastAsia="en-US"/>
              </w:rPr>
            </w:pPr>
          </w:p>
        </w:tc>
        <w:tc>
          <w:tcPr>
            <w:tcW w:w="459"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746" w:type="dxa"/>
            <w:shd w:val="clear" w:color="auto" w:fill="auto"/>
            <w:vAlign w:val="center"/>
          </w:tcPr>
          <w:p w:rsidR="00511045" w:rsidRDefault="00511045" w:rsidP="002E01ED">
            <w:pPr>
              <w:jc w:val="center"/>
              <w:rPr>
                <w:rFonts w:eastAsia="Calibri"/>
                <w:sz w:val="20"/>
                <w:szCs w:val="20"/>
                <w:lang w:val="en-GB" w:eastAsia="en-US"/>
              </w:rPr>
            </w:pPr>
          </w:p>
        </w:tc>
        <w:tc>
          <w:tcPr>
            <w:tcW w:w="813" w:type="dxa"/>
            <w:shd w:val="clear" w:color="auto" w:fill="auto"/>
            <w:vAlign w:val="center"/>
          </w:tcPr>
          <w:p w:rsidR="00511045" w:rsidRDefault="00511045" w:rsidP="002E01ED">
            <w:pPr>
              <w:jc w:val="center"/>
              <w:rPr>
                <w:rFonts w:eastAsia="Calibri"/>
                <w:sz w:val="20"/>
                <w:szCs w:val="20"/>
                <w:lang w:val="en-GB" w:eastAsia="en-US"/>
              </w:rPr>
            </w:pPr>
          </w:p>
        </w:tc>
        <w:tc>
          <w:tcPr>
            <w:tcW w:w="709" w:type="dxa"/>
            <w:shd w:val="clear" w:color="auto" w:fill="auto"/>
            <w:vAlign w:val="center"/>
          </w:tcPr>
          <w:p w:rsidR="00511045" w:rsidRDefault="00511045" w:rsidP="002E01ED">
            <w:pPr>
              <w:jc w:val="center"/>
              <w:rPr>
                <w:rFonts w:eastAsia="Calibri"/>
                <w:sz w:val="20"/>
                <w:szCs w:val="20"/>
                <w:lang w:val="en-GB" w:eastAsia="en-US"/>
              </w:rPr>
            </w:pPr>
          </w:p>
        </w:tc>
        <w:tc>
          <w:tcPr>
            <w:tcW w:w="708"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567" w:type="dxa"/>
            <w:shd w:val="clear" w:color="auto" w:fill="auto"/>
            <w:vAlign w:val="center"/>
          </w:tcPr>
          <w:p w:rsidR="00511045" w:rsidRDefault="00511045" w:rsidP="002E01ED">
            <w:pPr>
              <w:jc w:val="center"/>
              <w:rPr>
                <w:rFonts w:eastAsia="Calibri"/>
                <w:sz w:val="20"/>
                <w:szCs w:val="20"/>
                <w:lang w:val="en-GB" w:eastAsia="en-US"/>
              </w:rPr>
            </w:pPr>
          </w:p>
        </w:tc>
        <w:tc>
          <w:tcPr>
            <w:tcW w:w="594" w:type="dxa"/>
            <w:shd w:val="clear" w:color="auto" w:fill="auto"/>
            <w:vAlign w:val="center"/>
          </w:tcPr>
          <w:p w:rsidR="00511045" w:rsidRDefault="00511045" w:rsidP="002E01ED">
            <w:pPr>
              <w:jc w:val="center"/>
              <w:rPr>
                <w:rFonts w:eastAsia="Calibri" w:cs="Arial"/>
                <w:sz w:val="20"/>
                <w:szCs w:val="20"/>
                <w:lang w:val="en-GB" w:eastAsia="en-US"/>
              </w:rPr>
            </w:pPr>
          </w:p>
        </w:tc>
      </w:tr>
      <w:tr w:rsidR="00511045" w:rsidTr="002E01ED">
        <w:tc>
          <w:tcPr>
            <w:tcW w:w="6946" w:type="dxa"/>
            <w:shd w:val="clear" w:color="auto" w:fill="auto"/>
          </w:tcPr>
          <w:p w:rsidR="00511045" w:rsidRDefault="00511045" w:rsidP="002E01ED">
            <w:pPr>
              <w:rPr>
                <w:rFonts w:eastAsia="Calibri" w:cs="Arial"/>
                <w:color w:val="000000"/>
                <w:sz w:val="20"/>
                <w:szCs w:val="20"/>
                <w:u w:color="000000"/>
                <w:lang w:val="en-GB" w:eastAsia="en-US"/>
              </w:rPr>
            </w:pPr>
            <w:r>
              <w:rPr>
                <w:rFonts w:eastAsia="Calibri" w:cs="Arial"/>
                <w:color w:val="000000"/>
                <w:sz w:val="20"/>
                <w:szCs w:val="20"/>
                <w:u w:color="000000"/>
                <w:lang w:val="en-GB" w:eastAsia="en-US"/>
              </w:rPr>
              <w:t>Improving the cross-border infrastructure – opening the gate to Europe</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459"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c>
          <w:tcPr>
            <w:tcW w:w="746"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813"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0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rPr>
                <w:rFonts w:eastAsia="Calibri" w:cs="Arial"/>
                <w:color w:val="000000"/>
                <w:sz w:val="20"/>
                <w:szCs w:val="20"/>
                <w:u w:color="000000"/>
                <w:lang w:val="en-GB" w:eastAsia="en-US"/>
              </w:rPr>
            </w:pPr>
            <w:r>
              <w:rPr>
                <w:rFonts w:eastAsia="Calibri" w:cs="Arial"/>
                <w:color w:val="000000"/>
                <w:sz w:val="20"/>
                <w:szCs w:val="20"/>
                <w:u w:color="000000"/>
                <w:lang w:val="en-GB" w:eastAsia="en-US"/>
              </w:rPr>
              <w:t>Regional Cooperation for Prevention and Fighting of Cross-border Crime between Romania-Ukraine</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sz w:val="20"/>
                <w:szCs w:val="20"/>
                <w:lang w:val="en-GB" w:eastAsia="en-US"/>
              </w:rPr>
            </w:pPr>
            <w:r>
              <w:rPr>
                <w:rFonts w:eastAsia="Calibri"/>
                <w:sz w:val="20"/>
                <w:szCs w:val="20"/>
                <w:lang w:val="en-GB" w:eastAsia="en-US"/>
              </w:rPr>
              <w:t>+</w:t>
            </w:r>
          </w:p>
        </w:tc>
        <w:tc>
          <w:tcPr>
            <w:tcW w:w="70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r>
      <w:tr w:rsidR="00511045" w:rsidTr="002E01ED">
        <w:tc>
          <w:tcPr>
            <w:tcW w:w="6946" w:type="dxa"/>
            <w:shd w:val="clear" w:color="auto" w:fill="auto"/>
          </w:tcPr>
          <w:p w:rsidR="00511045" w:rsidRDefault="00511045" w:rsidP="002E01ED">
            <w:pPr>
              <w:rPr>
                <w:rFonts w:eastAsia="Calibri" w:cs="Arial"/>
                <w:sz w:val="20"/>
                <w:szCs w:val="20"/>
                <w:lang w:val="en-GB" w:eastAsia="en-US"/>
              </w:rPr>
            </w:pPr>
            <w:r>
              <w:rPr>
                <w:rFonts w:eastAsia="Calibri" w:cs="Arial"/>
                <w:sz w:val="20"/>
                <w:szCs w:val="20"/>
                <w:lang w:val="en-GB" w:eastAsia="en-US"/>
              </w:rPr>
              <w:t>Improvement of the population safety and security level in the cross-border area by enhancing the joint training and cooperation actions in emergency management.</w:t>
            </w:r>
          </w:p>
        </w:tc>
        <w:tc>
          <w:tcPr>
            <w:tcW w:w="534" w:type="dxa"/>
            <w:shd w:val="clear" w:color="auto" w:fill="auto"/>
            <w:vAlign w:val="center"/>
          </w:tcPr>
          <w:p w:rsidR="00511045" w:rsidRDefault="00511045" w:rsidP="002E01ED">
            <w:pPr>
              <w:jc w:val="center"/>
              <w:rPr>
                <w:rFonts w:eastAsia="Calibri" w:cs="Arial"/>
                <w:sz w:val="20"/>
                <w:szCs w:val="20"/>
                <w:lang w:val="en-GB" w:eastAsia="en-US"/>
              </w:rPr>
            </w:pPr>
            <w:r>
              <w:rPr>
                <w:rFonts w:eastAsia="Calibri" w:cs="Arial"/>
                <w:sz w:val="20"/>
                <w:szCs w:val="20"/>
                <w:lang w:val="en-GB" w:eastAsia="en-US"/>
              </w:rPr>
              <w:t>0</w:t>
            </w:r>
          </w:p>
        </w:tc>
        <w:tc>
          <w:tcPr>
            <w:tcW w:w="45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46"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813" w:type="dxa"/>
            <w:shd w:val="clear" w:color="auto" w:fill="auto"/>
            <w:vAlign w:val="center"/>
          </w:tcPr>
          <w:p w:rsidR="00511045" w:rsidRDefault="00511045" w:rsidP="002E01ED">
            <w:pPr>
              <w:jc w:val="center"/>
              <w:rPr>
                <w:rFonts w:eastAsia="Calibri"/>
                <w:sz w:val="20"/>
                <w:szCs w:val="20"/>
                <w:lang w:val="en-GB" w:eastAsia="en-US"/>
              </w:rPr>
            </w:pPr>
            <w:r>
              <w:rPr>
                <w:rFonts w:eastAsia="Calibri"/>
                <w:sz w:val="20"/>
                <w:szCs w:val="20"/>
                <w:lang w:val="en-GB" w:eastAsia="en-US"/>
              </w:rPr>
              <w:t>+</w:t>
            </w:r>
          </w:p>
        </w:tc>
        <w:tc>
          <w:tcPr>
            <w:tcW w:w="709"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708"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67"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0</w:t>
            </w:r>
          </w:p>
        </w:tc>
        <w:tc>
          <w:tcPr>
            <w:tcW w:w="594" w:type="dxa"/>
            <w:shd w:val="clear" w:color="auto" w:fill="auto"/>
            <w:vAlign w:val="center"/>
          </w:tcPr>
          <w:p w:rsidR="00511045" w:rsidRDefault="00511045" w:rsidP="002E01ED">
            <w:pPr>
              <w:jc w:val="center"/>
              <w:rPr>
                <w:rFonts w:eastAsia="Calibri"/>
                <w:sz w:val="20"/>
                <w:szCs w:val="20"/>
                <w:lang w:val="en-GB" w:eastAsia="en-US"/>
              </w:rPr>
            </w:pPr>
            <w:r>
              <w:rPr>
                <w:rFonts w:eastAsia="Calibri" w:cs="Arial"/>
                <w:sz w:val="20"/>
                <w:szCs w:val="20"/>
                <w:lang w:val="en-GB" w:eastAsia="en-US"/>
              </w:rPr>
              <w:t>++</w:t>
            </w:r>
          </w:p>
        </w:tc>
      </w:tr>
    </w:tbl>
    <w:p w:rsidR="00511045" w:rsidRDefault="00511045" w:rsidP="00511045">
      <w:pPr>
        <w:spacing w:after="200" w:line="276" w:lineRule="auto"/>
        <w:rPr>
          <w:rFonts w:ascii="Calibri" w:eastAsia="Calibri" w:hAnsi="Calibri"/>
          <w:sz w:val="22"/>
          <w:szCs w:val="22"/>
          <w:lang w:val="en-GB" w:eastAsia="en-US"/>
        </w:rPr>
      </w:pPr>
    </w:p>
    <w:p w:rsidR="00511045" w:rsidRDefault="00511045" w:rsidP="00511045">
      <w:pPr>
        <w:rPr>
          <w:highlight w:val="yellow"/>
          <w:lang w:val="en-GB" w:eastAsia="x-none"/>
        </w:rPr>
      </w:pPr>
    </w:p>
    <w:p w:rsidR="00511045" w:rsidRDefault="00511045" w:rsidP="00511045">
      <w:pPr>
        <w:rPr>
          <w:highlight w:val="yellow"/>
          <w:lang w:val="en-GB" w:eastAsia="x-none"/>
        </w:rPr>
      </w:pPr>
    </w:p>
    <w:p w:rsidR="00252B38" w:rsidRDefault="00252B38">
      <w:pPr>
        <w:rPr>
          <w:highlight w:val="yellow"/>
          <w:lang w:val="en-GB" w:eastAsia="x-none"/>
        </w:rPr>
        <w:sectPr w:rsidR="00252B38">
          <w:headerReference w:type="default" r:id="rId80"/>
          <w:footerReference w:type="default" r:id="rId81"/>
          <w:pgSz w:w="16834" w:h="11909" w:orient="landscape" w:code="9"/>
          <w:pgMar w:top="1134" w:right="567" w:bottom="749" w:left="567" w:header="284" w:footer="0" w:gutter="0"/>
          <w:cols w:space="708"/>
          <w:docGrid w:linePitch="360"/>
        </w:sectPr>
      </w:pPr>
    </w:p>
    <w:p w:rsidR="00252B38" w:rsidRDefault="008C6885">
      <w:pPr>
        <w:pStyle w:val="Title"/>
        <w:numPr>
          <w:ilvl w:val="0"/>
          <w:numId w:val="6"/>
        </w:numPr>
        <w:jc w:val="left"/>
        <w:rPr>
          <w:rFonts w:ascii="Arial" w:hAnsi="Arial" w:cs="Arial"/>
          <w:sz w:val="24"/>
          <w:szCs w:val="24"/>
          <w:lang w:val="en-GB"/>
        </w:rPr>
      </w:pPr>
      <w:bookmarkStart w:id="176" w:name="_Toc419704938"/>
      <w:bookmarkEnd w:id="27"/>
      <w:r>
        <w:rPr>
          <w:rFonts w:ascii="Arial" w:hAnsi="Arial" w:cs="Arial"/>
          <w:sz w:val="24"/>
          <w:szCs w:val="24"/>
          <w:lang w:val="en-GB"/>
        </w:rPr>
        <w:lastRenderedPageBreak/>
        <w:t>THE MEASURES ENVISAGED TO PREVENT, REDUCE AND AS FULLY AS POSSIBLE OFFSET ANY SIGNIFICANT ADVERSE EFFECTS ON THE ENVIRONMENT OF IMPLEMENTING THE PLAN OR PROGRAMME</w:t>
      </w:r>
      <w:r w:rsidR="003E2913">
        <w:rPr>
          <w:rStyle w:val="FootnoteReference"/>
          <w:rFonts w:ascii="Arial" w:hAnsi="Arial" w:cs="Arial"/>
          <w:sz w:val="24"/>
          <w:szCs w:val="24"/>
          <w:lang w:val="en-GB"/>
        </w:rPr>
        <w:footnoteReference w:id="1"/>
      </w:r>
      <w:bookmarkEnd w:id="176"/>
    </w:p>
    <w:p w:rsidR="00252B38" w:rsidRDefault="00252B38">
      <w:pPr>
        <w:ind w:firstLine="567"/>
        <w:rPr>
          <w:highlight w:val="yellow"/>
          <w:lang w:val="en" w:eastAsia="x-none"/>
        </w:rPr>
      </w:pPr>
    </w:p>
    <w:p w:rsidR="00252B38" w:rsidRDefault="008C6885">
      <w:pPr>
        <w:numPr>
          <w:ilvl w:val="0"/>
          <w:numId w:val="4"/>
        </w:numPr>
        <w:spacing w:before="60" w:after="60" w:line="288" w:lineRule="auto"/>
        <w:ind w:left="993" w:hanging="284"/>
        <w:jc w:val="both"/>
      </w:pPr>
      <w:r>
        <w:rPr>
          <w:rFonts w:eastAsia="EUAlbertina-Regular-Identity-H" w:cs="Arial"/>
          <w:lang w:val="en-GB" w:eastAsia="en-US"/>
        </w:rPr>
        <w:t xml:space="preserve">Environmental impact assessment of indicative actions under the 4 thematic objectives of the Programme Ro-Ua performed in chapter 7 of this Environmental Report </w:t>
      </w:r>
      <w:r w:rsidRPr="002E01ED">
        <w:rPr>
          <w:rFonts w:eastAsia="EUAlbertina-Regular-Identity-H" w:cs="Arial"/>
          <w:lang w:val="en-GB" w:eastAsia="en-US"/>
        </w:rPr>
        <w:t xml:space="preserve">revealed that most of them have an indirect effect, </w:t>
      </w:r>
      <w:r>
        <w:rPr>
          <w:rFonts w:eastAsia="EUAlbertina-Regular-Identity-H" w:cs="Arial"/>
          <w:lang w:val="en-GB" w:eastAsia="en-US"/>
        </w:rPr>
        <w:t>activities of cooperation and support between the two partner states having a</w:t>
      </w:r>
      <w:r w:rsidRPr="002E01ED">
        <w:rPr>
          <w:rFonts w:eastAsia="EUAlbertina-Regular-Identity-H" w:cs="Arial"/>
          <w:lang w:val="en-GB" w:eastAsia="en-US"/>
        </w:rPr>
        <w:t xml:space="preserve"> </w:t>
      </w:r>
      <w:r>
        <w:rPr>
          <w:rFonts w:eastAsia="EUAlbertina-Regular-Identity-H" w:cs="Arial"/>
          <w:lang w:val="en-GB" w:eastAsia="en-US"/>
        </w:rPr>
        <w:t xml:space="preserve">neutral </w:t>
      </w:r>
      <w:r w:rsidRPr="002E01ED">
        <w:rPr>
          <w:rFonts w:eastAsia="EUAlbertina-Regular-Identity-H" w:cs="Arial"/>
          <w:lang w:val="en-GB" w:eastAsia="en-US"/>
        </w:rPr>
        <w:t>impact:</w:t>
      </w:r>
      <w:r>
        <w:t>Education, research, technological development and innovation;</w:t>
      </w:r>
    </w:p>
    <w:p w:rsidR="00252B38" w:rsidRDefault="008C6885">
      <w:pPr>
        <w:numPr>
          <w:ilvl w:val="0"/>
          <w:numId w:val="4"/>
        </w:numPr>
        <w:spacing w:before="60" w:after="60" w:line="288" w:lineRule="auto"/>
        <w:ind w:left="993" w:hanging="284"/>
        <w:jc w:val="both"/>
      </w:pPr>
      <w:r>
        <w:t>Preservation of cultural and historical heritage;</w:t>
      </w:r>
    </w:p>
    <w:p w:rsidR="00252B38" w:rsidRDefault="008C6885">
      <w:pPr>
        <w:numPr>
          <w:ilvl w:val="0"/>
          <w:numId w:val="4"/>
        </w:numPr>
        <w:spacing w:before="60" w:after="60" w:line="288" w:lineRule="auto"/>
        <w:ind w:left="993" w:hanging="284"/>
        <w:jc w:val="both"/>
      </w:pPr>
      <w:r>
        <w:t>Strategies for improving cross-border transport infrastructure;</w:t>
      </w:r>
    </w:p>
    <w:p w:rsidR="00252B38" w:rsidRDefault="008C6885">
      <w:pPr>
        <w:numPr>
          <w:ilvl w:val="0"/>
          <w:numId w:val="4"/>
        </w:numPr>
        <w:spacing w:before="60" w:after="60" w:line="288" w:lineRule="auto"/>
        <w:ind w:left="993" w:hanging="284"/>
        <w:jc w:val="both"/>
      </w:pPr>
      <w:r>
        <w:t>Development of health and access to health;</w:t>
      </w:r>
    </w:p>
    <w:p w:rsidR="00252B38" w:rsidRDefault="008C6885">
      <w:pPr>
        <w:numPr>
          <w:ilvl w:val="0"/>
          <w:numId w:val="4"/>
        </w:numPr>
        <w:spacing w:before="60" w:after="60" w:line="288" w:lineRule="auto"/>
        <w:ind w:left="993" w:hanging="284"/>
        <w:jc w:val="both"/>
      </w:pPr>
      <w:r>
        <w:t>Strategies to prevent and manage natural and man made disasters;</w:t>
      </w:r>
    </w:p>
    <w:p w:rsidR="00252B38" w:rsidRDefault="008C6885">
      <w:pPr>
        <w:numPr>
          <w:ilvl w:val="0"/>
          <w:numId w:val="4"/>
        </w:numPr>
        <w:spacing w:before="60" w:after="60" w:line="288" w:lineRule="auto"/>
        <w:ind w:left="993" w:hanging="284"/>
        <w:jc w:val="both"/>
      </w:pPr>
      <w:r>
        <w:t>Prevention and fight against organized crime and police cooperation.</w:t>
      </w:r>
    </w:p>
    <w:p w:rsidR="00252B38" w:rsidRDefault="008C6885" w:rsidP="002E01ED">
      <w:pPr>
        <w:spacing w:before="60" w:after="60" w:line="288" w:lineRule="auto"/>
        <w:jc w:val="both"/>
      </w:pPr>
      <w:r>
        <w:t xml:space="preserve">Given that the effects on the environment of future projects funded by the indicative actions of the four thematic objectives and the five large infrastructure projects should be reduced as far as possible the following actions are recommended: </w:t>
      </w:r>
    </w:p>
    <w:p w:rsidR="00252B38" w:rsidRDefault="008C6885">
      <w:pPr>
        <w:numPr>
          <w:ilvl w:val="0"/>
          <w:numId w:val="101"/>
        </w:numPr>
        <w:spacing w:before="60" w:after="60" w:line="288" w:lineRule="auto"/>
        <w:jc w:val="both"/>
      </w:pPr>
      <w:r>
        <w:t>Reduce the electricity and / or heat consumption;</w:t>
      </w:r>
    </w:p>
    <w:p w:rsidR="00252B38" w:rsidRDefault="008C6885">
      <w:pPr>
        <w:numPr>
          <w:ilvl w:val="0"/>
          <w:numId w:val="101"/>
        </w:numPr>
        <w:spacing w:before="60" w:after="60" w:line="288" w:lineRule="auto"/>
        <w:jc w:val="both"/>
      </w:pPr>
      <w:r>
        <w:t>Reduce fuel, raw materials and  hazardous substances consumption;</w:t>
      </w:r>
    </w:p>
    <w:p w:rsidR="00252B38" w:rsidRDefault="008C6885">
      <w:pPr>
        <w:numPr>
          <w:ilvl w:val="0"/>
          <w:numId w:val="101"/>
        </w:numPr>
        <w:spacing w:before="60" w:after="60" w:line="288" w:lineRule="auto"/>
        <w:jc w:val="both"/>
      </w:pPr>
      <w:r>
        <w:t>Use of high energy performance equipments;</w:t>
      </w:r>
    </w:p>
    <w:p w:rsidR="00252B38" w:rsidRDefault="008C6885">
      <w:pPr>
        <w:numPr>
          <w:ilvl w:val="0"/>
          <w:numId w:val="101"/>
        </w:numPr>
        <w:spacing w:before="60" w:after="60" w:line="288" w:lineRule="auto"/>
        <w:jc w:val="both"/>
      </w:pPr>
      <w:r>
        <w:t>Cho</w:t>
      </w:r>
      <w:r w:rsidR="00CD36D4">
        <w:t>ose</w:t>
      </w:r>
      <w:r>
        <w:t xml:space="preserve"> appropriate technologies for restoration/ preservation and respect them accurately so that the solutions chosen do not affect species of flora, fauna and aquatic ecosystems in the area;</w:t>
      </w:r>
    </w:p>
    <w:p w:rsidR="00252B38" w:rsidRDefault="008C6885">
      <w:pPr>
        <w:numPr>
          <w:ilvl w:val="0"/>
          <w:numId w:val="101"/>
        </w:numPr>
        <w:spacing w:before="60" w:after="60" w:line="288" w:lineRule="auto"/>
        <w:jc w:val="both"/>
      </w:pPr>
      <w:r>
        <w:t xml:space="preserve">Valorification of cultural/ historical heritage </w:t>
      </w:r>
      <w:r w:rsidR="00CD36D4">
        <w:t>should take into account the fact that it should</w:t>
      </w:r>
      <w:r>
        <w:t xml:space="preserve"> not affect flora and fauna and aquatic ecosystems in the area;</w:t>
      </w:r>
    </w:p>
    <w:p w:rsidR="00CD36D4" w:rsidRDefault="00CD36D4">
      <w:pPr>
        <w:numPr>
          <w:ilvl w:val="0"/>
          <w:numId w:val="101"/>
        </w:numPr>
        <w:spacing w:before="60" w:after="60" w:line="288" w:lineRule="auto"/>
        <w:jc w:val="both"/>
      </w:pPr>
      <w:r>
        <w:t>Preservation and conservation of protected species and habitats</w:t>
      </w:r>
    </w:p>
    <w:p w:rsidR="00252B38" w:rsidRDefault="008C6885">
      <w:pPr>
        <w:numPr>
          <w:ilvl w:val="0"/>
          <w:numId w:val="101"/>
        </w:numPr>
        <w:spacing w:before="60" w:after="60" w:line="288" w:lineRule="auto"/>
        <w:jc w:val="both"/>
      </w:pPr>
      <w:r>
        <w:t>Minimize waste</w:t>
      </w:r>
      <w:r w:rsidR="00CD36D4">
        <w:t xml:space="preserve"> production</w:t>
      </w:r>
      <w:r>
        <w:t>;</w:t>
      </w:r>
    </w:p>
    <w:p w:rsidR="00CD36D4" w:rsidRDefault="00CD36D4">
      <w:pPr>
        <w:numPr>
          <w:ilvl w:val="0"/>
          <w:numId w:val="101"/>
        </w:numPr>
        <w:spacing w:before="60" w:after="60" w:line="288" w:lineRule="auto"/>
        <w:jc w:val="both"/>
      </w:pPr>
      <w:r>
        <w:t>Minimize production of waste both during construction and functioning.</w:t>
      </w:r>
    </w:p>
    <w:p w:rsidR="00252B38" w:rsidRDefault="008C6885">
      <w:pPr>
        <w:numPr>
          <w:ilvl w:val="0"/>
          <w:numId w:val="101"/>
        </w:numPr>
        <w:spacing w:before="60" w:after="60" w:line="288" w:lineRule="auto"/>
        <w:jc w:val="both"/>
      </w:pPr>
      <w:r>
        <w:t>Ensure collection/ sorting/ recycling/ waste recovery;</w:t>
      </w:r>
    </w:p>
    <w:p w:rsidR="00252B38" w:rsidRDefault="008C6885">
      <w:pPr>
        <w:numPr>
          <w:ilvl w:val="0"/>
          <w:numId w:val="101"/>
        </w:numPr>
        <w:spacing w:before="60" w:after="60" w:line="288" w:lineRule="auto"/>
        <w:jc w:val="both"/>
      </w:pPr>
      <w:r>
        <w:t>Choice of technologies for construction/ rehabilitation/ widening roads with reduced emissions of particulate matter;</w:t>
      </w:r>
    </w:p>
    <w:p w:rsidR="00252B38" w:rsidRDefault="008C6885">
      <w:pPr>
        <w:numPr>
          <w:ilvl w:val="0"/>
          <w:numId w:val="101"/>
        </w:numPr>
        <w:spacing w:before="60" w:after="60" w:line="288" w:lineRule="auto"/>
        <w:jc w:val="both"/>
      </w:pPr>
      <w:r>
        <w:t>Solutions for infrastructure</w:t>
      </w:r>
      <w:r w:rsidR="00CD36D4">
        <w:t xml:space="preserve"> construction</w:t>
      </w:r>
      <w:r>
        <w:t xml:space="preserve"> so as to avoid contamination of soil and water by </w:t>
      </w:r>
      <w:r w:rsidR="00CD36D4">
        <w:t xml:space="preserve">liquid </w:t>
      </w:r>
      <w:r w:rsidR="00F07B1A">
        <w:t>fuel</w:t>
      </w:r>
      <w:r>
        <w:t xml:space="preserve"> or other materials during construction period;</w:t>
      </w:r>
    </w:p>
    <w:p w:rsidR="00252B38" w:rsidRDefault="008C6885">
      <w:pPr>
        <w:numPr>
          <w:ilvl w:val="0"/>
          <w:numId w:val="101"/>
        </w:numPr>
        <w:spacing w:before="60" w:after="60" w:line="288" w:lineRule="auto"/>
        <w:jc w:val="both"/>
      </w:pPr>
      <w:r>
        <w:t>Choice of routes for new roads or access parts so as to not affect flora and fauna species and aquatic ecosystems;</w:t>
      </w:r>
    </w:p>
    <w:p w:rsidR="00252B38" w:rsidRDefault="008C6885">
      <w:pPr>
        <w:numPr>
          <w:ilvl w:val="0"/>
          <w:numId w:val="101"/>
        </w:numPr>
        <w:spacing w:before="60" w:after="60" w:line="288" w:lineRule="auto"/>
        <w:jc w:val="both"/>
      </w:pPr>
      <w:r>
        <w:t xml:space="preserve">Choice of </w:t>
      </w:r>
      <w:r w:rsidR="00B03AA2">
        <w:t>low</w:t>
      </w:r>
      <w:r>
        <w:t xml:space="preserve"> emission transportation solutions.</w:t>
      </w:r>
    </w:p>
    <w:p w:rsidR="00B03AA2" w:rsidRDefault="00B03AA2" w:rsidP="002E01ED">
      <w:pPr>
        <w:spacing w:before="60" w:after="60" w:line="288" w:lineRule="auto"/>
        <w:jc w:val="both"/>
      </w:pPr>
    </w:p>
    <w:p w:rsidR="00B03AA2" w:rsidRDefault="00B03AA2" w:rsidP="002E01ED">
      <w:pPr>
        <w:spacing w:before="60" w:after="60" w:line="288" w:lineRule="auto"/>
        <w:jc w:val="both"/>
      </w:pPr>
    </w:p>
    <w:p w:rsidR="00B03AA2" w:rsidRDefault="00B03AA2" w:rsidP="00B03AA2">
      <w:pPr>
        <w:spacing w:before="60" w:after="60" w:line="288" w:lineRule="auto"/>
        <w:ind w:firstLine="709"/>
        <w:jc w:val="both"/>
      </w:pPr>
      <w:r>
        <w:t xml:space="preserve">For the implementation of the thematic objectives of the Romania-Ukraine Programme the relevant Directives, Decisions and EU Regulations regarding air quality, surface and phreatic waters, soil and subsoil, climatic change, waste management, population health, biodiversity, cultural heritage preservation, efficient use of resources and/or of the national legislation (of Romania/Ukraine) if those are more restrictive. </w:t>
      </w:r>
    </w:p>
    <w:p w:rsidR="00A55406" w:rsidRDefault="00B03AA2" w:rsidP="002E01ED">
      <w:pPr>
        <w:spacing w:before="60" w:after="60" w:line="288" w:lineRule="auto"/>
        <w:ind w:firstLine="709"/>
        <w:jc w:val="both"/>
      </w:pPr>
      <w:r>
        <w:t xml:space="preserve">Investment projects that will be financed within the indicative activities of the programme </w:t>
      </w:r>
      <w:r w:rsidR="00A55406">
        <w:t xml:space="preserve">should consider the following measures reccommended for the reduction of the impact on the environment: </w:t>
      </w:r>
    </w:p>
    <w:p w:rsidR="00B03AA2" w:rsidRDefault="00A55406" w:rsidP="002E01ED">
      <w:pPr>
        <w:numPr>
          <w:ilvl w:val="1"/>
          <w:numId w:val="126"/>
        </w:numPr>
        <w:tabs>
          <w:tab w:val="clear" w:pos="1440"/>
          <w:tab w:val="num" w:pos="993"/>
        </w:tabs>
        <w:spacing w:before="60" w:after="60" w:line="288" w:lineRule="auto"/>
        <w:ind w:left="993" w:hanging="284"/>
        <w:jc w:val="both"/>
      </w:pPr>
      <w:r>
        <w:t xml:space="preserve">Obtaining the agreements/statements/authorisations necessary for the construction and functioning, according to the national legislation in force, from the relevant authorities; </w:t>
      </w:r>
    </w:p>
    <w:p w:rsidR="00A55406" w:rsidRDefault="00A55406" w:rsidP="00B03AA2">
      <w:pPr>
        <w:numPr>
          <w:ilvl w:val="1"/>
          <w:numId w:val="126"/>
        </w:numPr>
        <w:tabs>
          <w:tab w:val="clear" w:pos="1440"/>
          <w:tab w:val="num" w:pos="993"/>
        </w:tabs>
        <w:spacing w:before="60" w:after="60" w:line="288" w:lineRule="auto"/>
        <w:ind w:left="993" w:hanging="284"/>
        <w:jc w:val="both"/>
      </w:pPr>
      <w:r>
        <w:t>In the case of projects relating to water resources, obtaining the relevant agreements according to national legislation in force ( for Romania- agreement from the National Administration of Romanian Waters, or of the relevant Basin Administration from the area of the projects</w:t>
      </w:r>
      <w:r w:rsidR="004C5EB0">
        <w:t>)</w:t>
      </w:r>
      <w:r>
        <w:t xml:space="preserve"> and in the case of cross border waters also from the authorities in Romania/Ukraine </w:t>
      </w:r>
      <w:r w:rsidR="004C5EB0">
        <w:t xml:space="preserve">(in accordance with the Agreement between the Government of Romania and the </w:t>
      </w:r>
      <w:r w:rsidR="00DE0A06">
        <w:t>Government of Ukraine regarding cooperation in the area of cross border water management, Galati 1997)</w:t>
      </w:r>
    </w:p>
    <w:p w:rsidR="00B03AA2" w:rsidRPr="002E01ED" w:rsidRDefault="00A55406" w:rsidP="00B03AA2">
      <w:pPr>
        <w:numPr>
          <w:ilvl w:val="1"/>
          <w:numId w:val="126"/>
        </w:numPr>
        <w:tabs>
          <w:tab w:val="clear" w:pos="1440"/>
          <w:tab w:val="num" w:pos="993"/>
        </w:tabs>
        <w:spacing w:before="60" w:after="60" w:line="288" w:lineRule="auto"/>
        <w:ind w:left="993" w:hanging="284"/>
        <w:jc w:val="both"/>
      </w:pPr>
      <w:r>
        <w:t xml:space="preserve"> </w:t>
      </w:r>
      <w:r w:rsidR="00DE0A06" w:rsidRPr="002E01ED">
        <w:t xml:space="preserve">Obligation of conducting </w:t>
      </w:r>
      <w:r w:rsidR="00511045" w:rsidRPr="002E01ED">
        <w:t>the biodiveristy assessment of the potential effects on the natural protected areas of community interest for the projects that take place in natural protected areas, in accordance with national legal provisions in force which implement art 6.3 from the Habitat Directive</w:t>
      </w:r>
    </w:p>
    <w:p w:rsidR="00DE0A06" w:rsidRPr="002E01ED" w:rsidRDefault="00DE0A06" w:rsidP="00B03AA2">
      <w:pPr>
        <w:numPr>
          <w:ilvl w:val="1"/>
          <w:numId w:val="126"/>
        </w:numPr>
        <w:tabs>
          <w:tab w:val="clear" w:pos="1440"/>
          <w:tab w:val="num" w:pos="993"/>
        </w:tabs>
        <w:spacing w:before="60" w:after="60" w:line="288" w:lineRule="auto"/>
        <w:ind w:left="993" w:hanging="284"/>
        <w:jc w:val="both"/>
      </w:pPr>
      <w:r w:rsidRPr="002E01ED">
        <w:t>the requirements of the Framework Convention of the United Nations regarding climatic change and of the Kyoto Protocol and of the euorpean/national policies and strategies regarding adaptation and reduction of the effects of climate change;</w:t>
      </w:r>
    </w:p>
    <w:p w:rsidR="00B03AA2" w:rsidRPr="002E01ED" w:rsidRDefault="00DE0A06" w:rsidP="00B03AA2">
      <w:pPr>
        <w:numPr>
          <w:ilvl w:val="1"/>
          <w:numId w:val="126"/>
        </w:numPr>
        <w:tabs>
          <w:tab w:val="clear" w:pos="1440"/>
          <w:tab w:val="num" w:pos="993"/>
        </w:tabs>
        <w:spacing w:before="60" w:after="60" w:line="288" w:lineRule="auto"/>
        <w:ind w:left="993" w:hanging="284"/>
        <w:jc w:val="both"/>
      </w:pPr>
      <w:r w:rsidRPr="002E01ED">
        <w:t>the principles and directions regarding waste management from SNGD, PNGD, PRGD</w:t>
      </w:r>
    </w:p>
    <w:p w:rsidR="00B03AA2" w:rsidRDefault="00B03AA2" w:rsidP="002E01ED">
      <w:pPr>
        <w:spacing w:before="60" w:after="60" w:line="288" w:lineRule="auto"/>
        <w:ind w:left="993"/>
        <w:jc w:val="both"/>
      </w:pPr>
      <w:r>
        <w:t>.</w:t>
      </w:r>
    </w:p>
    <w:p w:rsidR="00B03AA2" w:rsidRDefault="00B03AA2" w:rsidP="002E01ED">
      <w:pPr>
        <w:spacing w:before="60" w:after="60" w:line="288" w:lineRule="auto"/>
        <w:jc w:val="both"/>
      </w:pPr>
    </w:p>
    <w:p w:rsidR="00252B38" w:rsidRDefault="008C6885" w:rsidP="002E01ED">
      <w:pPr>
        <w:spacing w:before="60" w:after="60" w:line="288" w:lineRule="auto"/>
        <w:jc w:val="both"/>
      </w:pPr>
      <w:r>
        <w:t xml:space="preserve">For those indicative actions with impact on </w:t>
      </w:r>
      <w:r w:rsidR="00967C8C">
        <w:t xml:space="preserve">the </w:t>
      </w:r>
      <w:r>
        <w:t>environment</w:t>
      </w:r>
      <w:r w:rsidR="00967C8C">
        <w:t xml:space="preserve"> have been proposed</w:t>
      </w:r>
      <w:r>
        <w:t xml:space="preserve"> measures to prevent and reduce any likely impact:</w:t>
      </w:r>
    </w:p>
    <w:p w:rsidR="00252B38" w:rsidRDefault="00252B38">
      <w:pPr>
        <w:spacing w:before="60" w:after="60" w:line="288" w:lineRule="auto"/>
        <w:ind w:firstLine="709"/>
        <w:jc w:val="both"/>
      </w:pPr>
    </w:p>
    <w:p w:rsidR="00252B38" w:rsidRDefault="00252B38">
      <w:pPr>
        <w:ind w:firstLine="709"/>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2"/>
        <w:gridCol w:w="46"/>
        <w:gridCol w:w="3364"/>
      </w:tblGrid>
      <w:tr w:rsidR="00252B38">
        <w:tc>
          <w:tcPr>
            <w:tcW w:w="6832" w:type="dxa"/>
            <w:shd w:val="clear" w:color="auto" w:fill="auto"/>
            <w:vAlign w:val="center"/>
          </w:tcPr>
          <w:p w:rsidR="00252B38" w:rsidRDefault="008C6885">
            <w:pPr>
              <w:jc w:val="center"/>
              <w:rPr>
                <w:b/>
                <w:sz w:val="22"/>
                <w:szCs w:val="22"/>
              </w:rPr>
            </w:pPr>
            <w:r>
              <w:rPr>
                <w:b/>
                <w:sz w:val="22"/>
                <w:szCs w:val="22"/>
                <w:lang w:val="en-GB" w:eastAsia="en-US"/>
              </w:rPr>
              <w:t>Ro-Ua Programme Indicative activities</w:t>
            </w:r>
            <w:r>
              <w:rPr>
                <w:b/>
                <w:sz w:val="22"/>
                <w:szCs w:val="22"/>
              </w:rPr>
              <w:t xml:space="preserve"> </w:t>
            </w:r>
          </w:p>
        </w:tc>
        <w:tc>
          <w:tcPr>
            <w:tcW w:w="3410" w:type="dxa"/>
            <w:gridSpan w:val="2"/>
            <w:shd w:val="clear" w:color="auto" w:fill="auto"/>
            <w:vAlign w:val="center"/>
          </w:tcPr>
          <w:p w:rsidR="00252B38" w:rsidRDefault="008C6885">
            <w:pPr>
              <w:jc w:val="center"/>
              <w:rPr>
                <w:b/>
                <w:sz w:val="22"/>
                <w:szCs w:val="22"/>
              </w:rPr>
            </w:pPr>
            <w:r>
              <w:t xml:space="preserve">Measures to prevent and reduce the impact </w:t>
            </w:r>
          </w:p>
        </w:tc>
      </w:tr>
      <w:tr w:rsidR="00252B38" w:rsidTr="002E01ED">
        <w:trPr>
          <w:trHeight w:val="845"/>
        </w:trPr>
        <w:tc>
          <w:tcPr>
            <w:tcW w:w="10242" w:type="dxa"/>
            <w:gridSpan w:val="3"/>
            <w:shd w:val="clear" w:color="auto" w:fill="auto"/>
          </w:tcPr>
          <w:p w:rsidR="00252B38" w:rsidRDefault="008C6885">
            <w:pPr>
              <w:jc w:val="both"/>
              <w:rPr>
                <w:b/>
                <w:sz w:val="22"/>
                <w:szCs w:val="22"/>
              </w:rPr>
            </w:pPr>
            <w:r>
              <w:rPr>
                <w:b/>
                <w:sz w:val="22"/>
                <w:szCs w:val="22"/>
              </w:rPr>
              <w:t xml:space="preserve">OT2 - </w:t>
            </w:r>
            <w:r>
              <w:rPr>
                <w:b/>
                <w:sz w:val="22"/>
                <w:szCs w:val="22"/>
                <w:lang w:val="en-GB" w:eastAsia="en-US"/>
              </w:rPr>
              <w:t>SUPPORT TO EDUCATION, RESEARCH, TECHNOLOGICAL DEVELOPMENT &amp; INNOVATION</w:t>
            </w:r>
            <w:r>
              <w:rPr>
                <w:b/>
                <w:sz w:val="22"/>
                <w:szCs w:val="22"/>
              </w:rPr>
              <w:t xml:space="preserve"> </w:t>
            </w:r>
          </w:p>
          <w:p w:rsidR="00252B38" w:rsidRDefault="008C6885">
            <w:pPr>
              <w:jc w:val="both"/>
            </w:pPr>
            <w:r>
              <w:rPr>
                <w:b/>
                <w:sz w:val="22"/>
                <w:szCs w:val="22"/>
              </w:rPr>
              <w:t>Objective 1</w:t>
            </w:r>
            <w:r>
              <w:rPr>
                <w:sz w:val="22"/>
                <w:szCs w:val="22"/>
              </w:rPr>
              <w:t xml:space="preserve">: </w:t>
            </w:r>
            <w:r w:rsidR="00967C8C" w:rsidRPr="001739C9">
              <w:rPr>
                <w:rFonts w:ascii="Times New Roman" w:hAnsi="Times New Roman"/>
                <w:i/>
                <w:sz w:val="22"/>
                <w:szCs w:val="22"/>
              </w:rPr>
              <w:t xml:space="preserve">Develop </w:t>
            </w:r>
            <w:r w:rsidR="00967C8C" w:rsidRPr="008D4781">
              <w:rPr>
                <w:rFonts w:ascii="Times New Roman" w:hAnsi="Times New Roman"/>
                <w:i/>
                <w:sz w:val="22"/>
                <w:szCs w:val="22"/>
              </w:rPr>
              <w:t>education</w:t>
            </w:r>
            <w:r w:rsidR="00967C8C" w:rsidRPr="001739C9">
              <w:rPr>
                <w:rFonts w:ascii="Times New Roman" w:hAnsi="Times New Roman"/>
                <w:i/>
                <w:sz w:val="22"/>
                <w:szCs w:val="22"/>
              </w:rPr>
              <w:t xml:space="preserve"> and</w:t>
            </w:r>
            <w:r w:rsidR="00967C8C" w:rsidRPr="00EF3C14">
              <w:rPr>
                <w:rFonts w:ascii="Times New Roman" w:hAnsi="Times New Roman"/>
                <w:i/>
                <w:sz w:val="22"/>
              </w:rPr>
              <w:t xml:space="preserve"> </w:t>
            </w:r>
            <w:r w:rsidR="00967C8C" w:rsidRPr="001739C9">
              <w:rPr>
                <w:rFonts w:ascii="Times New Roman" w:hAnsi="Times New Roman"/>
                <w:i/>
                <w:sz w:val="22"/>
                <w:szCs w:val="22"/>
              </w:rPr>
              <w:t>support research and innovation</w:t>
            </w:r>
            <w:r w:rsidR="00967C8C" w:rsidRPr="008D4781">
              <w:rPr>
                <w:rFonts w:ascii="Times New Roman" w:hAnsi="Times New Roman"/>
                <w:i/>
                <w:sz w:val="22"/>
                <w:szCs w:val="22"/>
              </w:rPr>
              <w:t xml:space="preserve"> at the level of the Programme area</w:t>
            </w:r>
            <w:r w:rsidR="00967C8C" w:rsidRPr="001739C9">
              <w:rPr>
                <w:rFonts w:ascii="Times New Roman" w:hAnsi="Times New Roman"/>
                <w:i/>
                <w:sz w:val="22"/>
                <w:szCs w:val="22"/>
              </w:rPr>
              <w:t xml:space="preserve"> by facilitating the cooperation at local, regional and central level</w:t>
            </w:r>
          </w:p>
        </w:tc>
      </w:tr>
      <w:tr w:rsidR="00252B38">
        <w:tc>
          <w:tcPr>
            <w:tcW w:w="10242" w:type="dxa"/>
            <w:gridSpan w:val="3"/>
            <w:shd w:val="clear" w:color="auto" w:fill="auto"/>
          </w:tcPr>
          <w:p w:rsidR="00252B38" w:rsidRDefault="008C6885">
            <w:pPr>
              <w:jc w:val="both"/>
            </w:pPr>
            <w:r>
              <w:rPr>
                <w:i/>
                <w:sz w:val="22"/>
                <w:szCs w:val="22"/>
              </w:rPr>
              <w:t>Priority1.1</w:t>
            </w:r>
            <w:r>
              <w:rPr>
                <w:sz w:val="22"/>
                <w:szCs w:val="22"/>
              </w:rPr>
              <w:t xml:space="preserve"> </w:t>
            </w:r>
            <w:r w:rsidRPr="002E01ED">
              <w:rPr>
                <w:bCs/>
                <w:i/>
                <w:iCs/>
                <w:sz w:val="22"/>
                <w:szCs w:val="22"/>
                <w:lang w:val="en-GB" w:eastAsia="en-US"/>
              </w:rPr>
              <w:t>Institutional cooperation in the educational field for increasing access to education and quality of education</w:t>
            </w:r>
          </w:p>
        </w:tc>
      </w:tr>
      <w:tr w:rsidR="00252B38">
        <w:tc>
          <w:tcPr>
            <w:tcW w:w="6878" w:type="dxa"/>
            <w:gridSpan w:val="2"/>
            <w:shd w:val="clear" w:color="auto" w:fill="auto"/>
          </w:tcPr>
          <w:p w:rsidR="00252B38" w:rsidRDefault="008C6885">
            <w:pPr>
              <w:jc w:val="both"/>
              <w:rPr>
                <w:sz w:val="22"/>
                <w:szCs w:val="22"/>
              </w:rPr>
            </w:pPr>
            <w:r>
              <w:rPr>
                <w:rFonts w:cs="Arial"/>
                <w:sz w:val="22"/>
                <w:szCs w:val="22"/>
                <w:lang w:val="en-GB"/>
              </w:rPr>
              <w:t xml:space="preserve">Rehabilitation/modernization/ extension/ equipment procurement for the educational infrastructure to provide the necessary material preconditions of a quality educational process and increase the </w:t>
            </w:r>
            <w:r>
              <w:rPr>
                <w:rFonts w:cs="Arial"/>
                <w:sz w:val="22"/>
                <w:szCs w:val="22"/>
                <w:lang w:val="en-GB"/>
              </w:rPr>
              <w:lastRenderedPageBreak/>
              <w:t>participation in the educational processes</w:t>
            </w:r>
          </w:p>
        </w:tc>
        <w:tc>
          <w:tcPr>
            <w:tcW w:w="3364" w:type="dxa"/>
            <w:shd w:val="clear" w:color="auto" w:fill="auto"/>
          </w:tcPr>
          <w:p w:rsidR="00252B38" w:rsidRDefault="008C6885">
            <w:pPr>
              <w:numPr>
                <w:ilvl w:val="0"/>
                <w:numId w:val="4"/>
              </w:numPr>
              <w:ind w:left="176" w:hanging="142"/>
              <w:jc w:val="both"/>
              <w:rPr>
                <w:sz w:val="22"/>
                <w:szCs w:val="22"/>
              </w:rPr>
            </w:pPr>
            <w:r>
              <w:rPr>
                <w:sz w:val="22"/>
                <w:szCs w:val="22"/>
              </w:rPr>
              <w:lastRenderedPageBreak/>
              <w:t>Reducing consumption of electricity an</w:t>
            </w:r>
            <w:r w:rsidR="0095314B">
              <w:rPr>
                <w:sz w:val="22"/>
                <w:szCs w:val="22"/>
              </w:rPr>
              <w:t>d/or</w:t>
            </w:r>
            <w:r>
              <w:rPr>
                <w:sz w:val="22"/>
                <w:szCs w:val="22"/>
              </w:rPr>
              <w:t>heat</w:t>
            </w:r>
          </w:p>
          <w:p w:rsidR="00252B38" w:rsidRDefault="008C6885">
            <w:pPr>
              <w:numPr>
                <w:ilvl w:val="0"/>
                <w:numId w:val="4"/>
              </w:numPr>
              <w:ind w:left="176" w:hanging="142"/>
              <w:jc w:val="both"/>
              <w:rPr>
                <w:sz w:val="22"/>
                <w:szCs w:val="22"/>
              </w:rPr>
            </w:pPr>
            <w:r>
              <w:rPr>
                <w:sz w:val="22"/>
                <w:szCs w:val="22"/>
              </w:rPr>
              <w:lastRenderedPageBreak/>
              <w:t>Reducing consumption of fuel, raw material, hazarduos substances;</w:t>
            </w:r>
          </w:p>
          <w:p w:rsidR="00252B38" w:rsidRDefault="008C6885">
            <w:pPr>
              <w:numPr>
                <w:ilvl w:val="0"/>
                <w:numId w:val="4"/>
              </w:numPr>
              <w:ind w:left="176" w:hanging="142"/>
              <w:jc w:val="both"/>
              <w:rPr>
                <w:sz w:val="22"/>
                <w:szCs w:val="22"/>
              </w:rPr>
            </w:pPr>
            <w:r>
              <w:rPr>
                <w:sz w:val="22"/>
                <w:szCs w:val="22"/>
              </w:rPr>
              <w:t>Energy efficient equipments;</w:t>
            </w:r>
          </w:p>
          <w:p w:rsidR="00252B38" w:rsidRDefault="008C6885">
            <w:pPr>
              <w:numPr>
                <w:ilvl w:val="0"/>
                <w:numId w:val="4"/>
              </w:numPr>
              <w:ind w:left="176" w:hanging="142"/>
              <w:jc w:val="both"/>
              <w:rPr>
                <w:sz w:val="22"/>
                <w:szCs w:val="22"/>
              </w:rPr>
            </w:pPr>
            <w:r>
              <w:rPr>
                <w:sz w:val="22"/>
                <w:szCs w:val="22"/>
              </w:rPr>
              <w:t>Reducing waste;</w:t>
            </w:r>
          </w:p>
          <w:p w:rsidR="00252B38" w:rsidRDefault="0095314B">
            <w:pPr>
              <w:numPr>
                <w:ilvl w:val="0"/>
                <w:numId w:val="4"/>
              </w:numPr>
              <w:ind w:left="176" w:hanging="142"/>
              <w:jc w:val="both"/>
              <w:rPr>
                <w:sz w:val="22"/>
                <w:szCs w:val="22"/>
              </w:rPr>
            </w:pPr>
            <w:r>
              <w:t>C</w:t>
            </w:r>
            <w:r w:rsidR="008C6885">
              <w:t>ollection/ sorting/ recycling/ recovery of waste</w:t>
            </w:r>
          </w:p>
        </w:tc>
      </w:tr>
      <w:tr w:rsidR="00252B38">
        <w:tc>
          <w:tcPr>
            <w:tcW w:w="10242" w:type="dxa"/>
            <w:gridSpan w:val="3"/>
            <w:shd w:val="clear" w:color="auto" w:fill="auto"/>
          </w:tcPr>
          <w:p w:rsidR="00252B38" w:rsidRDefault="008C6885">
            <w:pPr>
              <w:jc w:val="both"/>
              <w:rPr>
                <w:sz w:val="22"/>
                <w:szCs w:val="22"/>
              </w:rPr>
            </w:pPr>
            <w:r>
              <w:rPr>
                <w:i/>
                <w:sz w:val="22"/>
                <w:szCs w:val="22"/>
              </w:rPr>
              <w:lastRenderedPageBreak/>
              <w:t xml:space="preserve">Priority 1.2 </w:t>
            </w:r>
            <w:r w:rsidRPr="002E01ED">
              <w:rPr>
                <w:i/>
                <w:sz w:val="22"/>
                <w:szCs w:val="22"/>
                <w:lang w:val="en-GB" w:eastAsia="en-US"/>
              </w:rPr>
              <w:t>Promotion and support to research and innovation</w:t>
            </w:r>
          </w:p>
        </w:tc>
      </w:tr>
      <w:tr w:rsidR="00252B38">
        <w:tc>
          <w:tcPr>
            <w:tcW w:w="6878" w:type="dxa"/>
            <w:gridSpan w:val="2"/>
            <w:shd w:val="clear" w:color="auto" w:fill="auto"/>
          </w:tcPr>
          <w:p w:rsidR="00252B38" w:rsidRDefault="008C6885">
            <w:pPr>
              <w:jc w:val="both"/>
              <w:rPr>
                <w:sz w:val="22"/>
                <w:szCs w:val="22"/>
              </w:rPr>
            </w:pPr>
            <w:r>
              <w:rPr>
                <w:rFonts w:cs="Arial"/>
                <w:sz w:val="22"/>
                <w:szCs w:val="22"/>
                <w:lang w:val="en-GB"/>
              </w:rPr>
              <w:t>Promotion and support for research and innovation through rehabilitation/ modernization/extension of the specific infrastructure including the procurement of related equipment</w:t>
            </w:r>
          </w:p>
        </w:tc>
        <w:tc>
          <w:tcPr>
            <w:tcW w:w="3364" w:type="dxa"/>
            <w:shd w:val="clear" w:color="auto" w:fill="auto"/>
          </w:tcPr>
          <w:p w:rsidR="00252B38" w:rsidRDefault="008C6885">
            <w:pPr>
              <w:numPr>
                <w:ilvl w:val="0"/>
                <w:numId w:val="4"/>
              </w:numPr>
              <w:ind w:left="176" w:hanging="142"/>
              <w:jc w:val="both"/>
              <w:rPr>
                <w:sz w:val="22"/>
                <w:szCs w:val="22"/>
              </w:rPr>
            </w:pPr>
            <w:r>
              <w:rPr>
                <w:sz w:val="22"/>
                <w:szCs w:val="22"/>
              </w:rPr>
              <w:t>Reducing consumption of electricity anf heat</w:t>
            </w:r>
          </w:p>
          <w:p w:rsidR="00252B38" w:rsidRDefault="008C6885">
            <w:pPr>
              <w:numPr>
                <w:ilvl w:val="0"/>
                <w:numId w:val="4"/>
              </w:numPr>
              <w:ind w:left="176" w:hanging="142"/>
              <w:jc w:val="both"/>
              <w:rPr>
                <w:sz w:val="22"/>
                <w:szCs w:val="22"/>
              </w:rPr>
            </w:pPr>
            <w:r>
              <w:rPr>
                <w:sz w:val="22"/>
                <w:szCs w:val="22"/>
              </w:rPr>
              <w:t>Reducing consumption of fuel, raw material, hazarduos substances;</w:t>
            </w:r>
          </w:p>
          <w:p w:rsidR="00252B38" w:rsidRDefault="008C6885" w:rsidP="002E01ED">
            <w:pPr>
              <w:numPr>
                <w:ilvl w:val="0"/>
                <w:numId w:val="4"/>
              </w:numPr>
              <w:ind w:left="176" w:hanging="142"/>
              <w:jc w:val="both"/>
              <w:rPr>
                <w:sz w:val="22"/>
                <w:szCs w:val="22"/>
              </w:rPr>
            </w:pPr>
            <w:r>
              <w:rPr>
                <w:sz w:val="22"/>
                <w:szCs w:val="22"/>
              </w:rPr>
              <w:t>Energy efficient equipments;</w:t>
            </w:r>
          </w:p>
        </w:tc>
      </w:tr>
      <w:tr w:rsidR="00252B38">
        <w:tc>
          <w:tcPr>
            <w:tcW w:w="10242" w:type="dxa"/>
            <w:gridSpan w:val="3"/>
            <w:shd w:val="clear" w:color="auto" w:fill="auto"/>
          </w:tcPr>
          <w:p w:rsidR="00252B38" w:rsidRDefault="008C6885">
            <w:pPr>
              <w:jc w:val="both"/>
              <w:rPr>
                <w:b/>
                <w:sz w:val="22"/>
                <w:szCs w:val="22"/>
              </w:rPr>
            </w:pPr>
            <w:r>
              <w:rPr>
                <w:b/>
                <w:sz w:val="22"/>
                <w:szCs w:val="22"/>
              </w:rPr>
              <w:t>OT3</w:t>
            </w:r>
            <w:r>
              <w:rPr>
                <w:b/>
                <w:lang w:val="en-GB"/>
              </w:rPr>
              <w:t xml:space="preserve"> PROMOTION OF THE LOCAL CULTURE AND PRESERVATION OF HISTORICAL HERITAGE</w:t>
            </w:r>
          </w:p>
          <w:p w:rsidR="00252B38" w:rsidRDefault="008C6885">
            <w:pPr>
              <w:jc w:val="both"/>
              <w:rPr>
                <w:sz w:val="22"/>
                <w:szCs w:val="22"/>
              </w:rPr>
            </w:pPr>
            <w:r>
              <w:rPr>
                <w:b/>
                <w:sz w:val="22"/>
                <w:szCs w:val="22"/>
              </w:rPr>
              <w:t>Objective</w:t>
            </w:r>
            <w:r>
              <w:rPr>
                <w:b/>
                <w:i/>
                <w:sz w:val="22"/>
                <w:szCs w:val="22"/>
              </w:rPr>
              <w:t xml:space="preserve"> 2: </w:t>
            </w:r>
            <w:r>
              <w:rPr>
                <w:sz w:val="22"/>
                <w:szCs w:val="22"/>
              </w:rPr>
              <w:t xml:space="preserve"> </w:t>
            </w:r>
            <w:r>
              <w:rPr>
                <w:b/>
                <w:lang w:val="en-GB"/>
              </w:rPr>
              <w:t>:</w:t>
            </w:r>
            <w:r>
              <w:rPr>
                <w:lang w:val="en-GB"/>
              </w:rPr>
              <w:t xml:space="preserve">  </w:t>
            </w:r>
            <w:r w:rsidR="00967C8C" w:rsidRPr="001739C9">
              <w:rPr>
                <w:rFonts w:ascii="Times New Roman" w:hAnsi="Times New Roman"/>
                <w:bCs/>
                <w:i/>
                <w:sz w:val="22"/>
                <w:szCs w:val="22"/>
              </w:rPr>
              <w:t>Preservation of the cultural and historical heritage in the eli</w:t>
            </w:r>
            <w:r w:rsidR="00967C8C">
              <w:rPr>
                <w:rFonts w:ascii="Times New Roman" w:hAnsi="Times New Roman"/>
                <w:bCs/>
                <w:i/>
                <w:sz w:val="22"/>
                <w:szCs w:val="22"/>
              </w:rPr>
              <w:t xml:space="preserve">gible area, support the development </w:t>
            </w:r>
            <w:r w:rsidR="00967C8C" w:rsidRPr="001739C9">
              <w:rPr>
                <w:rFonts w:ascii="Times New Roman" w:hAnsi="Times New Roman"/>
                <w:bCs/>
                <w:i/>
                <w:sz w:val="22"/>
                <w:szCs w:val="22"/>
              </w:rPr>
              <w:t>of local culture, specific cultural identities and the cultural dialog</w:t>
            </w:r>
            <w:r w:rsidR="00967C8C">
              <w:rPr>
                <w:rFonts w:ascii="Times New Roman" w:hAnsi="Times New Roman"/>
                <w:bCs/>
                <w:i/>
                <w:sz w:val="22"/>
                <w:szCs w:val="22"/>
              </w:rPr>
              <w:t xml:space="preserve"> contributing to an enhanced attractiveness of the eligible area.</w:t>
            </w:r>
            <w:r>
              <w:rPr>
                <w:i/>
                <w:sz w:val="22"/>
                <w:szCs w:val="22"/>
              </w:rPr>
              <w:t xml:space="preserve">Priority 2.1 </w:t>
            </w:r>
            <w:r w:rsidRPr="002E01ED">
              <w:rPr>
                <w:i/>
                <w:lang w:val="en-GB"/>
              </w:rPr>
              <w:t xml:space="preserve">Preservation and promotion of the cultural and historical heritage </w:t>
            </w:r>
            <w:r>
              <w:rPr>
                <w:i/>
                <w:lang w:val="en-GB"/>
              </w:rPr>
              <w:t>Indicative activities</w:t>
            </w:r>
          </w:p>
        </w:tc>
      </w:tr>
      <w:tr w:rsidR="00252B38">
        <w:tc>
          <w:tcPr>
            <w:tcW w:w="6878" w:type="dxa"/>
            <w:gridSpan w:val="2"/>
            <w:shd w:val="clear" w:color="auto" w:fill="auto"/>
          </w:tcPr>
          <w:p w:rsidR="00252B38" w:rsidRDefault="008C6885">
            <w:pPr>
              <w:jc w:val="both"/>
              <w:rPr>
                <w:sz w:val="22"/>
                <w:szCs w:val="22"/>
                <w:lang w:eastAsia="en-US"/>
              </w:rPr>
            </w:pPr>
            <w:r>
              <w:rPr>
                <w:rFonts w:eastAsia="EUAlbertina-Regular-Identity-H" w:cs="Arial"/>
                <w:bCs/>
                <w:sz w:val="22"/>
                <w:szCs w:val="22"/>
                <w:lang w:val="en-GB" w:eastAsia="en-US"/>
              </w:rPr>
              <w:t>Restoration, conservation, consolidation, protection, security of cultural and historical monuments</w:t>
            </w:r>
            <w:r w:rsidR="00967C8C">
              <w:rPr>
                <w:rFonts w:eastAsia="EUAlbertina-Regular-Identity-H" w:cs="Arial"/>
                <w:bCs/>
                <w:sz w:val="22"/>
                <w:szCs w:val="22"/>
                <w:lang w:val="en-GB" w:eastAsia="en-US"/>
              </w:rPr>
              <w:t>, archaeological sites</w:t>
            </w:r>
            <w:r>
              <w:rPr>
                <w:rFonts w:eastAsia="EUAlbertina-Regular-Identity-H" w:cs="Arial"/>
                <w:bCs/>
                <w:sz w:val="22"/>
                <w:szCs w:val="22"/>
                <w:lang w:val="en-GB" w:eastAsia="en-US"/>
              </w:rPr>
              <w:t xml:space="preserve"> (including the corresponding access roads), museums, objects and art collections and their joint promotion based on relevant cross-border strategies/ concepts</w:t>
            </w:r>
          </w:p>
        </w:tc>
        <w:tc>
          <w:tcPr>
            <w:tcW w:w="3364" w:type="dxa"/>
            <w:shd w:val="clear" w:color="auto" w:fill="auto"/>
          </w:tcPr>
          <w:p w:rsidR="00252B38" w:rsidRDefault="008C6885" w:rsidP="002E01ED">
            <w:pPr>
              <w:numPr>
                <w:ilvl w:val="0"/>
                <w:numId w:val="4"/>
              </w:numPr>
              <w:ind w:left="176" w:hanging="176"/>
              <w:jc w:val="both"/>
              <w:rPr>
                <w:sz w:val="22"/>
                <w:szCs w:val="22"/>
              </w:rPr>
            </w:pPr>
            <w:r>
              <w:rPr>
                <w:sz w:val="22"/>
                <w:szCs w:val="22"/>
              </w:rPr>
              <w:t xml:space="preserve"> Accuracy in respect</w:t>
            </w:r>
            <w:r w:rsidR="0095314B">
              <w:rPr>
                <w:sz w:val="22"/>
                <w:szCs w:val="22"/>
              </w:rPr>
              <w:t>ing</w:t>
            </w:r>
            <w:r>
              <w:rPr>
                <w:sz w:val="22"/>
                <w:szCs w:val="22"/>
              </w:rPr>
              <w:t xml:space="preserve"> restoration, conservation technologies,;</w:t>
            </w:r>
          </w:p>
          <w:p w:rsidR="00252B38" w:rsidRDefault="008C6885">
            <w:pPr>
              <w:numPr>
                <w:ilvl w:val="0"/>
                <w:numId w:val="4"/>
              </w:numPr>
              <w:ind w:left="176" w:hanging="176"/>
              <w:jc w:val="both"/>
              <w:rPr>
                <w:sz w:val="22"/>
                <w:szCs w:val="22"/>
              </w:rPr>
            </w:pPr>
            <w:r>
              <w:rPr>
                <w:sz w:val="22"/>
                <w:szCs w:val="22"/>
              </w:rPr>
              <w:t xml:space="preserve"> Choosing solutions that do not affect species of flora, fauna and aquatic ecosystems in the area.</w:t>
            </w:r>
          </w:p>
        </w:tc>
      </w:tr>
      <w:tr w:rsidR="00252B38">
        <w:tc>
          <w:tcPr>
            <w:tcW w:w="6878" w:type="dxa"/>
            <w:gridSpan w:val="2"/>
            <w:shd w:val="clear" w:color="auto" w:fill="auto"/>
          </w:tcPr>
          <w:p w:rsidR="00252B38" w:rsidRDefault="008C6885">
            <w:pPr>
              <w:jc w:val="both"/>
              <w:rPr>
                <w:sz w:val="22"/>
                <w:szCs w:val="22"/>
                <w:lang w:eastAsia="en-US"/>
              </w:rPr>
            </w:pPr>
            <w:r>
              <w:rPr>
                <w:rFonts w:eastAsia="EUAlbertina-Regular-Identity-H" w:cs="Arial"/>
                <w:bCs/>
                <w:sz w:val="22"/>
                <w:szCs w:val="22"/>
                <w:lang w:val="en-GB" w:eastAsia="en-US"/>
              </w:rPr>
              <w:t xml:space="preserve">Preservation, security, and joint valorisation of cultural and historical monuments and objects   </w:t>
            </w:r>
          </w:p>
        </w:tc>
        <w:tc>
          <w:tcPr>
            <w:tcW w:w="3364" w:type="dxa"/>
            <w:shd w:val="clear" w:color="auto" w:fill="auto"/>
          </w:tcPr>
          <w:p w:rsidR="00252B38" w:rsidRDefault="008C6885" w:rsidP="002E01ED">
            <w:pPr>
              <w:numPr>
                <w:ilvl w:val="0"/>
                <w:numId w:val="4"/>
              </w:numPr>
              <w:ind w:left="176" w:hanging="176"/>
              <w:jc w:val="both"/>
              <w:rPr>
                <w:sz w:val="22"/>
                <w:szCs w:val="22"/>
              </w:rPr>
            </w:pPr>
            <w:r>
              <w:rPr>
                <w:sz w:val="22"/>
                <w:szCs w:val="22"/>
              </w:rPr>
              <w:t>Choosing appropriate conservation technologies;</w:t>
            </w:r>
          </w:p>
          <w:p w:rsidR="0095314B" w:rsidRDefault="0095314B" w:rsidP="002E01ED">
            <w:pPr>
              <w:numPr>
                <w:ilvl w:val="0"/>
                <w:numId w:val="4"/>
              </w:numPr>
              <w:ind w:left="176" w:hanging="176"/>
              <w:jc w:val="both"/>
              <w:rPr>
                <w:sz w:val="22"/>
                <w:szCs w:val="22"/>
              </w:rPr>
            </w:pPr>
            <w:r>
              <w:rPr>
                <w:sz w:val="22"/>
                <w:szCs w:val="22"/>
              </w:rPr>
              <w:t>Choosing solutions that do not affect species of flora, fauna and aquatic ecosystems in the area.</w:t>
            </w:r>
          </w:p>
          <w:p w:rsidR="0095314B" w:rsidRPr="002E01ED" w:rsidRDefault="0095314B" w:rsidP="002E01ED">
            <w:pPr>
              <w:numPr>
                <w:ilvl w:val="0"/>
                <w:numId w:val="4"/>
              </w:numPr>
              <w:ind w:left="176" w:hanging="176"/>
              <w:jc w:val="both"/>
              <w:rPr>
                <w:sz w:val="22"/>
                <w:szCs w:val="22"/>
              </w:rPr>
            </w:pPr>
            <w:r w:rsidRPr="002E01ED">
              <w:rPr>
                <w:sz w:val="22"/>
                <w:szCs w:val="22"/>
              </w:rPr>
              <w:t>Preservation and conservation of protected species and habitats</w:t>
            </w:r>
          </w:p>
          <w:p w:rsidR="0095314B" w:rsidRPr="0095314B" w:rsidRDefault="0095314B" w:rsidP="002E01ED">
            <w:pPr>
              <w:numPr>
                <w:ilvl w:val="0"/>
                <w:numId w:val="4"/>
              </w:numPr>
              <w:jc w:val="both"/>
              <w:rPr>
                <w:sz w:val="22"/>
                <w:szCs w:val="22"/>
              </w:rPr>
            </w:pPr>
          </w:p>
        </w:tc>
      </w:tr>
      <w:tr w:rsidR="00252B38">
        <w:tc>
          <w:tcPr>
            <w:tcW w:w="10242" w:type="dxa"/>
            <w:gridSpan w:val="3"/>
            <w:shd w:val="clear" w:color="auto" w:fill="auto"/>
          </w:tcPr>
          <w:p w:rsidR="00252B38" w:rsidRDefault="008C6885">
            <w:pPr>
              <w:jc w:val="both"/>
              <w:rPr>
                <w:b/>
                <w:sz w:val="22"/>
                <w:szCs w:val="22"/>
              </w:rPr>
            </w:pPr>
            <w:r>
              <w:rPr>
                <w:b/>
                <w:sz w:val="22"/>
                <w:szCs w:val="22"/>
              </w:rPr>
              <w:t xml:space="preserve">OT7 - </w:t>
            </w:r>
            <w:r>
              <w:rPr>
                <w:b/>
                <w:sz w:val="22"/>
                <w:szCs w:val="22"/>
                <w:lang w:val="en-GB"/>
              </w:rPr>
              <w:t>IMPROVEMENT OF ACCESSIBILITY TO THE REGIONS, DEVELOPMENT OF TRANSPORT AND COMMON NETWORKS AND SYSTEMS</w:t>
            </w:r>
            <w:r>
              <w:rPr>
                <w:b/>
              </w:rPr>
              <w:t xml:space="preserve"> </w:t>
            </w:r>
            <w:r>
              <w:rPr>
                <w:b/>
                <w:sz w:val="22"/>
                <w:szCs w:val="22"/>
              </w:rPr>
              <w:t xml:space="preserve"> </w:t>
            </w:r>
          </w:p>
          <w:p w:rsidR="00252B38" w:rsidRDefault="008C6885">
            <w:pPr>
              <w:jc w:val="both"/>
              <w:rPr>
                <w:sz w:val="22"/>
                <w:szCs w:val="22"/>
              </w:rPr>
            </w:pPr>
            <w:r>
              <w:rPr>
                <w:b/>
                <w:sz w:val="22"/>
                <w:szCs w:val="22"/>
              </w:rPr>
              <w:t>Objective 3</w:t>
            </w:r>
            <w:r>
              <w:rPr>
                <w:sz w:val="22"/>
                <w:szCs w:val="22"/>
              </w:rPr>
              <w:t xml:space="preserve">: </w:t>
            </w:r>
            <w:r>
              <w:rPr>
                <w:b/>
                <w:bCs/>
                <w:i/>
                <w:iCs/>
                <w:sz w:val="22"/>
                <w:szCs w:val="22"/>
                <w:lang w:val="en-GB"/>
              </w:rPr>
              <w:t>:</w:t>
            </w:r>
            <w:r>
              <w:rPr>
                <w:b/>
                <w:bCs/>
                <w:iCs/>
                <w:sz w:val="22"/>
                <w:szCs w:val="22"/>
                <w:lang w:val="en-GB"/>
              </w:rPr>
              <w:t xml:space="preserve">  </w:t>
            </w:r>
            <w:r>
              <w:rPr>
                <w:i/>
                <w:sz w:val="22"/>
                <w:szCs w:val="22"/>
                <w:lang w:val="en-GB"/>
              </w:rPr>
              <w:t>Improve public transport services, infrastructure and ITC cooperation and networking</w:t>
            </w:r>
          </w:p>
          <w:p w:rsidR="00252B38" w:rsidRDefault="008C6885">
            <w:pPr>
              <w:jc w:val="both"/>
              <w:rPr>
                <w:sz w:val="22"/>
                <w:szCs w:val="22"/>
              </w:rPr>
            </w:pPr>
            <w:r>
              <w:rPr>
                <w:i/>
                <w:sz w:val="22"/>
                <w:szCs w:val="22"/>
              </w:rPr>
              <w:t xml:space="preserve">Priority 3.1 </w:t>
            </w:r>
            <w:r w:rsidRPr="002E01ED">
              <w:rPr>
                <w:bCs/>
                <w:i/>
                <w:sz w:val="22"/>
                <w:szCs w:val="22"/>
                <w:lang w:val="en-GB"/>
              </w:rPr>
              <w:t>Development of cross border transport infrastructure and ICT tools</w:t>
            </w:r>
          </w:p>
        </w:tc>
      </w:tr>
      <w:tr w:rsidR="00252B38">
        <w:tc>
          <w:tcPr>
            <w:tcW w:w="6878" w:type="dxa"/>
            <w:gridSpan w:val="2"/>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Reconstruction, rehabilitation, modernization  of cross-border transport systems</w:t>
            </w:r>
          </w:p>
        </w:tc>
        <w:tc>
          <w:tcPr>
            <w:tcW w:w="3364" w:type="dxa"/>
            <w:shd w:val="clear" w:color="auto" w:fill="auto"/>
          </w:tcPr>
          <w:p w:rsidR="00252B38" w:rsidRDefault="008C6885" w:rsidP="002E01ED">
            <w:pPr>
              <w:numPr>
                <w:ilvl w:val="0"/>
                <w:numId w:val="4"/>
              </w:numPr>
              <w:ind w:left="176" w:hanging="142"/>
              <w:jc w:val="both"/>
              <w:rPr>
                <w:sz w:val="22"/>
                <w:szCs w:val="22"/>
              </w:rPr>
            </w:pPr>
            <w:r>
              <w:rPr>
                <w:sz w:val="22"/>
                <w:szCs w:val="22"/>
              </w:rPr>
              <w:t xml:space="preserve">use of technologies with low emissions of particulate matter </w:t>
            </w:r>
          </w:p>
          <w:p w:rsidR="0095314B" w:rsidRPr="0095314B" w:rsidRDefault="0095314B" w:rsidP="002E01ED">
            <w:pPr>
              <w:numPr>
                <w:ilvl w:val="0"/>
                <w:numId w:val="4"/>
              </w:numPr>
              <w:ind w:left="176" w:hanging="176"/>
              <w:jc w:val="both"/>
              <w:rPr>
                <w:sz w:val="22"/>
                <w:szCs w:val="22"/>
              </w:rPr>
            </w:pPr>
            <w:r w:rsidRPr="002E01ED">
              <w:rPr>
                <w:sz w:val="22"/>
                <w:szCs w:val="22"/>
              </w:rPr>
              <w:t>Choice of technologies for construction/ rehabilitation/ widening roads with reduced emissions of particulate matter</w:t>
            </w:r>
            <w:r w:rsidDel="0095314B">
              <w:rPr>
                <w:sz w:val="22"/>
                <w:szCs w:val="22"/>
              </w:rPr>
              <w:t xml:space="preserve"> </w:t>
            </w:r>
            <w:r>
              <w:rPr>
                <w:sz w:val="22"/>
                <w:szCs w:val="22"/>
              </w:rPr>
              <w:t>Choosing solutions that do not affect species of flora, fauna and aquatic ecosystems in the area.</w:t>
            </w:r>
          </w:p>
          <w:p w:rsidR="0095314B" w:rsidRPr="00213DB6" w:rsidRDefault="0095314B" w:rsidP="0095314B">
            <w:pPr>
              <w:numPr>
                <w:ilvl w:val="0"/>
                <w:numId w:val="4"/>
              </w:numPr>
              <w:ind w:left="176" w:hanging="176"/>
              <w:jc w:val="both"/>
              <w:rPr>
                <w:sz w:val="22"/>
                <w:szCs w:val="22"/>
              </w:rPr>
            </w:pPr>
            <w:r w:rsidRPr="00213DB6">
              <w:rPr>
                <w:sz w:val="22"/>
                <w:szCs w:val="22"/>
              </w:rPr>
              <w:t>Preservation and conservation of protected species and habitats</w:t>
            </w:r>
          </w:p>
          <w:p w:rsidR="00252B38" w:rsidRDefault="008C6885" w:rsidP="002E01ED">
            <w:pPr>
              <w:ind w:left="176"/>
              <w:jc w:val="both"/>
              <w:rPr>
                <w:rFonts w:eastAsiaTheme="majorEastAsia" w:cstheme="majorBidi"/>
                <w:b/>
                <w:bCs/>
                <w:i/>
                <w:iCs/>
                <w:color w:val="404040" w:themeColor="text1" w:themeTint="BF"/>
                <w:sz w:val="22"/>
                <w:szCs w:val="22"/>
              </w:rPr>
            </w:pPr>
            <w:r>
              <w:rPr>
                <w:sz w:val="22"/>
                <w:szCs w:val="22"/>
              </w:rPr>
              <w:t>.</w:t>
            </w:r>
          </w:p>
        </w:tc>
      </w:tr>
      <w:tr w:rsidR="00252B38">
        <w:tc>
          <w:tcPr>
            <w:tcW w:w="6878" w:type="dxa"/>
            <w:gridSpan w:val="2"/>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lastRenderedPageBreak/>
              <w:t>Development of  environmentally friendly (carbon-proofed) cross-border transport initiatives and innovative solutions</w:t>
            </w:r>
          </w:p>
        </w:tc>
        <w:tc>
          <w:tcPr>
            <w:tcW w:w="3364" w:type="dxa"/>
            <w:shd w:val="clear" w:color="auto" w:fill="auto"/>
          </w:tcPr>
          <w:p w:rsidR="00252B38" w:rsidRDefault="008C6885">
            <w:pPr>
              <w:numPr>
                <w:ilvl w:val="0"/>
                <w:numId w:val="4"/>
              </w:numPr>
              <w:ind w:left="176" w:hanging="142"/>
              <w:jc w:val="both"/>
              <w:rPr>
                <w:sz w:val="22"/>
                <w:szCs w:val="22"/>
              </w:rPr>
            </w:pPr>
            <w:r>
              <w:rPr>
                <w:sz w:val="22"/>
                <w:szCs w:val="22"/>
              </w:rPr>
              <w:t>Eco-friendly transport (electric, hydrogen, etc.)</w:t>
            </w:r>
          </w:p>
        </w:tc>
      </w:tr>
      <w:tr w:rsidR="00252B38">
        <w:tc>
          <w:tcPr>
            <w:tcW w:w="6878" w:type="dxa"/>
            <w:gridSpan w:val="2"/>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Improvements of multimode transport (road/water) facilities of cross-border interest</w:t>
            </w:r>
          </w:p>
        </w:tc>
        <w:tc>
          <w:tcPr>
            <w:tcW w:w="3364" w:type="dxa"/>
            <w:shd w:val="clear" w:color="auto" w:fill="auto"/>
          </w:tcPr>
          <w:p w:rsidR="00252B38" w:rsidRDefault="008C6885">
            <w:pPr>
              <w:numPr>
                <w:ilvl w:val="0"/>
                <w:numId w:val="4"/>
              </w:numPr>
              <w:ind w:left="176" w:hanging="142"/>
              <w:jc w:val="both"/>
              <w:rPr>
                <w:sz w:val="22"/>
                <w:szCs w:val="22"/>
              </w:rPr>
            </w:pPr>
            <w:r>
              <w:rPr>
                <w:sz w:val="22"/>
                <w:szCs w:val="22"/>
              </w:rPr>
              <w:t>Zero emission transport with minimal effect on soil, water, fauna and flora</w:t>
            </w:r>
          </w:p>
          <w:p w:rsidR="00252B38" w:rsidRDefault="00252B38">
            <w:pPr>
              <w:numPr>
                <w:ilvl w:val="0"/>
                <w:numId w:val="4"/>
              </w:numPr>
              <w:ind w:left="176" w:hanging="142"/>
              <w:jc w:val="both"/>
              <w:rPr>
                <w:sz w:val="22"/>
                <w:szCs w:val="22"/>
              </w:rPr>
            </w:pPr>
          </w:p>
        </w:tc>
      </w:tr>
      <w:tr w:rsidR="00252B38">
        <w:tc>
          <w:tcPr>
            <w:tcW w:w="6878" w:type="dxa"/>
            <w:gridSpan w:val="2"/>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Reconstruction, rehabilitation, widening of cross-border (segments of) roads connecting settlements alongside the border with main road, which leads to the border</w:t>
            </w:r>
          </w:p>
        </w:tc>
        <w:tc>
          <w:tcPr>
            <w:tcW w:w="3364" w:type="dxa"/>
            <w:shd w:val="clear" w:color="auto" w:fill="auto"/>
          </w:tcPr>
          <w:p w:rsidR="0095314B" w:rsidRPr="002E01ED" w:rsidRDefault="008C6885" w:rsidP="002E01ED">
            <w:pPr>
              <w:numPr>
                <w:ilvl w:val="0"/>
                <w:numId w:val="4"/>
              </w:numPr>
              <w:ind w:left="176" w:hanging="142"/>
              <w:jc w:val="both"/>
              <w:rPr>
                <w:sz w:val="22"/>
                <w:szCs w:val="22"/>
              </w:rPr>
            </w:pPr>
            <w:r>
              <w:rPr>
                <w:sz w:val="22"/>
                <w:szCs w:val="22"/>
              </w:rPr>
              <w:t xml:space="preserve">use of technologies with low emissions of particulate matter </w:t>
            </w:r>
            <w:r w:rsidR="0095314B" w:rsidRPr="002E01ED">
              <w:rPr>
                <w:sz w:val="22"/>
                <w:szCs w:val="22"/>
              </w:rPr>
              <w:t>Solutions for infrastructure construction so as to avoid contamination of soil and water by liquid fuel or other materials during construction period;</w:t>
            </w:r>
          </w:p>
          <w:p w:rsidR="00B17C78" w:rsidRDefault="00B17C78" w:rsidP="002E01ED">
            <w:pPr>
              <w:numPr>
                <w:ilvl w:val="0"/>
                <w:numId w:val="4"/>
              </w:numPr>
              <w:spacing w:before="60" w:after="60" w:line="288" w:lineRule="auto"/>
              <w:ind w:left="176" w:hanging="142"/>
              <w:jc w:val="both"/>
              <w:rPr>
                <w:rFonts w:eastAsiaTheme="majorEastAsia" w:cstheme="majorBidi"/>
                <w:b/>
                <w:bCs/>
                <w:i/>
                <w:iCs/>
                <w:color w:val="404040" w:themeColor="text1" w:themeTint="BF"/>
                <w:sz w:val="22"/>
                <w:szCs w:val="22"/>
              </w:rPr>
            </w:pPr>
            <w:r w:rsidRPr="002E01ED">
              <w:rPr>
                <w:sz w:val="22"/>
                <w:szCs w:val="22"/>
              </w:rPr>
              <w:t>Choice of routes for new roads or access parts so as to not affect flora and fauna species and aquatic ecosystems;</w:t>
            </w:r>
          </w:p>
          <w:p w:rsidR="00B17C78" w:rsidRPr="00213DB6" w:rsidRDefault="00B17C78" w:rsidP="00B17C78">
            <w:pPr>
              <w:numPr>
                <w:ilvl w:val="0"/>
                <w:numId w:val="4"/>
              </w:numPr>
              <w:ind w:left="176" w:hanging="176"/>
              <w:jc w:val="both"/>
              <w:rPr>
                <w:sz w:val="22"/>
                <w:szCs w:val="22"/>
              </w:rPr>
            </w:pPr>
            <w:r w:rsidRPr="00213DB6">
              <w:rPr>
                <w:sz w:val="22"/>
                <w:szCs w:val="22"/>
              </w:rPr>
              <w:t>Preservation and conservation of protected species and habitats</w:t>
            </w:r>
          </w:p>
          <w:p w:rsidR="00252B38" w:rsidRDefault="00252B38" w:rsidP="00B17C78">
            <w:pPr>
              <w:ind w:left="176"/>
              <w:jc w:val="both"/>
              <w:rPr>
                <w:sz w:val="22"/>
                <w:szCs w:val="22"/>
              </w:rPr>
            </w:pPr>
          </w:p>
        </w:tc>
      </w:tr>
      <w:tr w:rsidR="00252B38">
        <w:tc>
          <w:tcPr>
            <w:tcW w:w="6878" w:type="dxa"/>
            <w:gridSpan w:val="2"/>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Improvement/restoration/construction of (segments of) access roads  to centres of cross-border interest</w:t>
            </w:r>
          </w:p>
        </w:tc>
        <w:tc>
          <w:tcPr>
            <w:tcW w:w="3364" w:type="dxa"/>
            <w:shd w:val="clear" w:color="auto" w:fill="auto"/>
          </w:tcPr>
          <w:p w:rsidR="00B17C78" w:rsidRDefault="008C6885">
            <w:pPr>
              <w:numPr>
                <w:ilvl w:val="0"/>
                <w:numId w:val="4"/>
              </w:numPr>
              <w:ind w:left="210" w:hanging="142"/>
              <w:jc w:val="both"/>
              <w:rPr>
                <w:sz w:val="22"/>
                <w:szCs w:val="22"/>
              </w:rPr>
            </w:pPr>
            <w:r>
              <w:rPr>
                <w:sz w:val="22"/>
                <w:szCs w:val="22"/>
              </w:rPr>
              <w:t xml:space="preserve">use of technologies with low emissions of particulate matter </w:t>
            </w:r>
          </w:p>
          <w:p w:rsidR="00B17C78" w:rsidRPr="00213DB6" w:rsidRDefault="00B17C78" w:rsidP="00B17C78">
            <w:pPr>
              <w:numPr>
                <w:ilvl w:val="0"/>
                <w:numId w:val="4"/>
              </w:numPr>
              <w:ind w:left="176" w:hanging="142"/>
              <w:jc w:val="both"/>
              <w:rPr>
                <w:sz w:val="22"/>
                <w:szCs w:val="22"/>
              </w:rPr>
            </w:pPr>
            <w:r w:rsidRPr="00213DB6">
              <w:rPr>
                <w:sz w:val="22"/>
                <w:szCs w:val="22"/>
              </w:rPr>
              <w:t>Solutions for infrastructure construction so as to avoid contamination of soil and water by liquid fuel or other materials during construction period;</w:t>
            </w:r>
          </w:p>
          <w:p w:rsidR="00B17C78" w:rsidRDefault="00B17C78" w:rsidP="00B17C78">
            <w:pPr>
              <w:numPr>
                <w:ilvl w:val="0"/>
                <w:numId w:val="4"/>
              </w:numPr>
              <w:spacing w:before="60" w:after="60" w:line="288" w:lineRule="auto"/>
              <w:ind w:left="176" w:hanging="142"/>
              <w:jc w:val="both"/>
              <w:rPr>
                <w:sz w:val="22"/>
                <w:szCs w:val="22"/>
              </w:rPr>
            </w:pPr>
            <w:r w:rsidRPr="00213DB6">
              <w:rPr>
                <w:sz w:val="22"/>
                <w:szCs w:val="22"/>
              </w:rPr>
              <w:t>Choice of routes for new roads or access parts so as to not affect flora and fauna species and aquatic ecosystems;</w:t>
            </w:r>
          </w:p>
          <w:p w:rsidR="00B17C78" w:rsidRPr="00B17C78" w:rsidRDefault="00B17C78" w:rsidP="002E01ED">
            <w:pPr>
              <w:numPr>
                <w:ilvl w:val="0"/>
                <w:numId w:val="4"/>
              </w:numPr>
              <w:ind w:left="176" w:hanging="176"/>
              <w:jc w:val="both"/>
              <w:rPr>
                <w:sz w:val="22"/>
                <w:szCs w:val="22"/>
              </w:rPr>
            </w:pPr>
            <w:r w:rsidRPr="00213DB6">
              <w:rPr>
                <w:sz w:val="22"/>
                <w:szCs w:val="22"/>
              </w:rPr>
              <w:t>Preservation and conservation of protected species and habitats</w:t>
            </w:r>
          </w:p>
          <w:p w:rsidR="00252B38" w:rsidRDefault="00252B38">
            <w:pPr>
              <w:numPr>
                <w:ilvl w:val="0"/>
                <w:numId w:val="4"/>
              </w:numPr>
              <w:ind w:left="210" w:hanging="142"/>
              <w:jc w:val="both"/>
              <w:rPr>
                <w:sz w:val="22"/>
                <w:szCs w:val="22"/>
              </w:rPr>
            </w:pPr>
          </w:p>
        </w:tc>
      </w:tr>
      <w:tr w:rsidR="00252B38" w:rsidTr="002E01ED">
        <w:trPr>
          <w:trHeight w:val="575"/>
        </w:trPr>
        <w:tc>
          <w:tcPr>
            <w:tcW w:w="10242" w:type="dxa"/>
            <w:gridSpan w:val="3"/>
            <w:shd w:val="clear" w:color="auto" w:fill="auto"/>
          </w:tcPr>
          <w:p w:rsidR="00252B38" w:rsidRDefault="008C6885">
            <w:pPr>
              <w:jc w:val="both"/>
              <w:rPr>
                <w:b/>
                <w:sz w:val="22"/>
                <w:szCs w:val="22"/>
              </w:rPr>
            </w:pPr>
            <w:r>
              <w:rPr>
                <w:b/>
                <w:sz w:val="22"/>
                <w:szCs w:val="22"/>
              </w:rPr>
              <w:t xml:space="preserve">OT8 - </w:t>
            </w:r>
            <w:r>
              <w:rPr>
                <w:b/>
                <w:sz w:val="22"/>
                <w:szCs w:val="22"/>
                <w:lang w:val="en-GB"/>
              </w:rPr>
              <w:t>COMMON CHALLENGES IN THE FIELD OF SAFETY AND SECURITY</w:t>
            </w:r>
          </w:p>
          <w:p w:rsidR="00252B38" w:rsidRDefault="008C6885">
            <w:pPr>
              <w:jc w:val="both"/>
              <w:rPr>
                <w:sz w:val="22"/>
                <w:szCs w:val="22"/>
              </w:rPr>
            </w:pPr>
            <w:r>
              <w:rPr>
                <w:b/>
                <w:sz w:val="22"/>
                <w:szCs w:val="22"/>
              </w:rPr>
              <w:t>Objective</w:t>
            </w:r>
            <w:r>
              <w:rPr>
                <w:b/>
                <w:i/>
                <w:sz w:val="22"/>
                <w:szCs w:val="22"/>
              </w:rPr>
              <w:t xml:space="preserve"> 4: </w:t>
            </w:r>
            <w:r>
              <w:rPr>
                <w:i/>
                <w:sz w:val="22"/>
                <w:szCs w:val="22"/>
                <w:lang w:val="en-GB"/>
              </w:rPr>
              <w:t>Addressing common challenges in cross-border security, access to health, management of natural and anthropic risks and emergency situations through joint projects</w:t>
            </w:r>
            <w:r>
              <w:rPr>
                <w:sz w:val="22"/>
                <w:szCs w:val="22"/>
              </w:rPr>
              <w:t xml:space="preserve"> </w:t>
            </w:r>
          </w:p>
        </w:tc>
      </w:tr>
      <w:tr w:rsidR="00252B38" w:rsidTr="002E01ED">
        <w:trPr>
          <w:trHeight w:val="388"/>
        </w:trPr>
        <w:tc>
          <w:tcPr>
            <w:tcW w:w="10242" w:type="dxa"/>
            <w:gridSpan w:val="3"/>
            <w:shd w:val="clear" w:color="auto" w:fill="auto"/>
          </w:tcPr>
          <w:p w:rsidR="00252B38" w:rsidRDefault="008C6885">
            <w:pPr>
              <w:jc w:val="both"/>
              <w:rPr>
                <w:sz w:val="22"/>
                <w:szCs w:val="22"/>
              </w:rPr>
            </w:pPr>
            <w:r w:rsidRPr="002E01ED">
              <w:rPr>
                <w:bCs/>
                <w:i/>
                <w:iCs/>
                <w:sz w:val="22"/>
                <w:szCs w:val="22"/>
                <w:lang w:val="en-GB"/>
              </w:rPr>
              <w:t>Priority</w:t>
            </w:r>
            <w:r>
              <w:rPr>
                <w:i/>
                <w:sz w:val="22"/>
                <w:szCs w:val="22"/>
              </w:rPr>
              <w:t xml:space="preserve"> 4.1 </w:t>
            </w:r>
            <w:r w:rsidRPr="002E01ED">
              <w:rPr>
                <w:bCs/>
                <w:i/>
                <w:iCs/>
                <w:sz w:val="22"/>
                <w:szCs w:val="22"/>
                <w:lang w:val="en-GB"/>
              </w:rPr>
              <w:t>Support to the development of health services and access to health</w:t>
            </w:r>
          </w:p>
        </w:tc>
      </w:tr>
      <w:tr w:rsidR="00252B38">
        <w:tc>
          <w:tcPr>
            <w:tcW w:w="6878" w:type="dxa"/>
            <w:gridSpan w:val="2"/>
            <w:shd w:val="clear" w:color="auto" w:fill="auto"/>
          </w:tcPr>
          <w:p w:rsidR="00252B38" w:rsidRDefault="008C6885">
            <w:pPr>
              <w:jc w:val="both"/>
              <w:rPr>
                <w:sz w:val="22"/>
                <w:szCs w:val="22"/>
                <w:lang w:eastAsia="en-US"/>
              </w:rPr>
            </w:pPr>
            <w:r>
              <w:rPr>
                <w:rFonts w:eastAsia="Calibri" w:cs="Arial"/>
                <w:bCs/>
                <w:iCs/>
                <w:sz w:val="22"/>
                <w:szCs w:val="22"/>
                <w:lang w:val="en-GB" w:eastAsia="en-US"/>
              </w:rPr>
              <w:t>Joint activities meant to enhance the access to health in the border area through construction / rehabilitation / modernization of infrastructure of public health services (including through the use of renewable energy etc.)</w:t>
            </w:r>
          </w:p>
        </w:tc>
        <w:tc>
          <w:tcPr>
            <w:tcW w:w="3364" w:type="dxa"/>
            <w:shd w:val="clear" w:color="auto" w:fill="auto"/>
          </w:tcPr>
          <w:p w:rsidR="00252B38" w:rsidRDefault="008C6885" w:rsidP="002E01ED">
            <w:pPr>
              <w:numPr>
                <w:ilvl w:val="0"/>
                <w:numId w:val="4"/>
              </w:numPr>
              <w:ind w:left="176" w:hanging="176"/>
              <w:jc w:val="both"/>
              <w:rPr>
                <w:sz w:val="22"/>
                <w:szCs w:val="22"/>
              </w:rPr>
            </w:pPr>
            <w:r>
              <w:rPr>
                <w:sz w:val="22"/>
                <w:szCs w:val="22"/>
              </w:rPr>
              <w:t>Reducing consumption of electricity an</w:t>
            </w:r>
            <w:r w:rsidR="00204055">
              <w:rPr>
                <w:sz w:val="22"/>
                <w:szCs w:val="22"/>
              </w:rPr>
              <w:t>d</w:t>
            </w:r>
            <w:r>
              <w:rPr>
                <w:sz w:val="22"/>
                <w:szCs w:val="22"/>
              </w:rPr>
              <w:t xml:space="preserve"> heat</w:t>
            </w:r>
          </w:p>
          <w:p w:rsidR="00204055" w:rsidRPr="002E01ED" w:rsidRDefault="00204055" w:rsidP="002E01ED">
            <w:pPr>
              <w:numPr>
                <w:ilvl w:val="0"/>
                <w:numId w:val="4"/>
              </w:numPr>
              <w:ind w:left="176" w:hanging="176"/>
              <w:jc w:val="both"/>
              <w:rPr>
                <w:sz w:val="22"/>
                <w:szCs w:val="22"/>
              </w:rPr>
            </w:pPr>
            <w:r w:rsidRPr="002E01ED">
              <w:rPr>
                <w:sz w:val="22"/>
                <w:szCs w:val="22"/>
              </w:rPr>
              <w:t>Reduce fuel, raw materials and  hazardous substances consumption;</w:t>
            </w:r>
          </w:p>
          <w:p w:rsidR="00252B38" w:rsidRDefault="008C6885" w:rsidP="002E01ED">
            <w:pPr>
              <w:numPr>
                <w:ilvl w:val="0"/>
                <w:numId w:val="4"/>
              </w:numPr>
              <w:ind w:left="176" w:hanging="176"/>
              <w:jc w:val="both"/>
              <w:rPr>
                <w:sz w:val="22"/>
                <w:szCs w:val="22"/>
              </w:rPr>
            </w:pPr>
            <w:r>
              <w:rPr>
                <w:sz w:val="22"/>
                <w:szCs w:val="22"/>
              </w:rPr>
              <w:t>Energy efficient equipments;</w:t>
            </w:r>
          </w:p>
          <w:p w:rsidR="00252B38" w:rsidRDefault="008C6885" w:rsidP="002E01ED">
            <w:pPr>
              <w:numPr>
                <w:ilvl w:val="0"/>
                <w:numId w:val="4"/>
              </w:numPr>
              <w:ind w:left="176" w:hanging="176"/>
              <w:jc w:val="both"/>
              <w:rPr>
                <w:sz w:val="22"/>
                <w:szCs w:val="22"/>
              </w:rPr>
            </w:pPr>
            <w:r>
              <w:rPr>
                <w:sz w:val="22"/>
                <w:szCs w:val="22"/>
              </w:rPr>
              <w:t>Reducing waste;</w:t>
            </w:r>
          </w:p>
          <w:p w:rsidR="00252B38" w:rsidRDefault="008C6885" w:rsidP="002E01ED">
            <w:pPr>
              <w:numPr>
                <w:ilvl w:val="0"/>
                <w:numId w:val="4"/>
              </w:numPr>
              <w:ind w:left="176" w:hanging="176"/>
              <w:jc w:val="both"/>
              <w:rPr>
                <w:sz w:val="22"/>
                <w:szCs w:val="22"/>
              </w:rPr>
            </w:pPr>
            <w:r w:rsidRPr="002E01ED">
              <w:rPr>
                <w:sz w:val="22"/>
                <w:szCs w:val="22"/>
              </w:rPr>
              <w:t xml:space="preserve">collection/ sorting/ recycling/ </w:t>
            </w:r>
            <w:r w:rsidRPr="002E01ED">
              <w:rPr>
                <w:sz w:val="22"/>
                <w:szCs w:val="22"/>
              </w:rPr>
              <w:lastRenderedPageBreak/>
              <w:t>recovery of waste</w:t>
            </w:r>
          </w:p>
        </w:tc>
      </w:tr>
      <w:tr w:rsidR="00252B38">
        <w:tc>
          <w:tcPr>
            <w:tcW w:w="6878" w:type="dxa"/>
            <w:gridSpan w:val="2"/>
            <w:shd w:val="clear" w:color="auto" w:fill="auto"/>
          </w:tcPr>
          <w:p w:rsidR="00252B38" w:rsidRDefault="008C6885">
            <w:pPr>
              <w:jc w:val="both"/>
              <w:rPr>
                <w:sz w:val="22"/>
                <w:szCs w:val="22"/>
                <w:lang w:eastAsia="en-US"/>
              </w:rPr>
            </w:pPr>
            <w:r>
              <w:rPr>
                <w:rFonts w:eastAsia="Calibri" w:cs="Arial"/>
                <w:bCs/>
                <w:iCs/>
                <w:sz w:val="22"/>
                <w:szCs w:val="22"/>
                <w:lang w:val="en-GB" w:eastAsia="en-US"/>
              </w:rPr>
              <w:lastRenderedPageBreak/>
              <w:t>Developing labs and mobile labs for screening / clinical monitoring of diseases and prevention of cross border epidemics</w:t>
            </w:r>
          </w:p>
        </w:tc>
        <w:tc>
          <w:tcPr>
            <w:tcW w:w="3364" w:type="dxa"/>
            <w:shd w:val="clear" w:color="auto" w:fill="auto"/>
          </w:tcPr>
          <w:p w:rsidR="00252B38" w:rsidRDefault="008C6885">
            <w:pPr>
              <w:numPr>
                <w:ilvl w:val="0"/>
                <w:numId w:val="4"/>
              </w:numPr>
              <w:ind w:left="176" w:hanging="176"/>
              <w:jc w:val="both"/>
              <w:rPr>
                <w:sz w:val="22"/>
                <w:szCs w:val="22"/>
              </w:rPr>
            </w:pPr>
            <w:r>
              <w:rPr>
                <w:sz w:val="22"/>
                <w:szCs w:val="22"/>
              </w:rPr>
              <w:t>Energy efficient equipments</w:t>
            </w:r>
          </w:p>
        </w:tc>
      </w:tr>
      <w:tr w:rsidR="00252B38" w:rsidTr="002E01ED">
        <w:trPr>
          <w:trHeight w:val="889"/>
        </w:trPr>
        <w:tc>
          <w:tcPr>
            <w:tcW w:w="6878" w:type="dxa"/>
            <w:gridSpan w:val="2"/>
            <w:shd w:val="clear" w:color="auto" w:fill="auto"/>
          </w:tcPr>
          <w:p w:rsidR="00252B38" w:rsidRDefault="008C6885">
            <w:pPr>
              <w:jc w:val="both"/>
              <w:rPr>
                <w:sz w:val="22"/>
                <w:szCs w:val="22"/>
                <w:lang w:eastAsia="en-US"/>
              </w:rPr>
            </w:pPr>
            <w:r>
              <w:rPr>
                <w:rFonts w:eastAsia="Calibri" w:cs="Arial"/>
                <w:bCs/>
                <w:iCs/>
                <w:sz w:val="22"/>
                <w:szCs w:val="22"/>
                <w:lang w:val="en-GB" w:eastAsia="en-US"/>
              </w:rPr>
              <w:t>Equipping specific public medical service infrastructure (outpatient, emergency room facilities, medical centres, integrated social intervention, etc.)</w:t>
            </w:r>
          </w:p>
        </w:tc>
        <w:tc>
          <w:tcPr>
            <w:tcW w:w="3364" w:type="dxa"/>
            <w:shd w:val="clear" w:color="auto" w:fill="auto"/>
          </w:tcPr>
          <w:p w:rsidR="00252B38" w:rsidRDefault="008C6885">
            <w:pPr>
              <w:numPr>
                <w:ilvl w:val="0"/>
                <w:numId w:val="4"/>
              </w:numPr>
              <w:ind w:left="176" w:hanging="176"/>
              <w:jc w:val="both"/>
              <w:rPr>
                <w:sz w:val="22"/>
                <w:szCs w:val="22"/>
              </w:rPr>
            </w:pPr>
            <w:r>
              <w:rPr>
                <w:sz w:val="22"/>
                <w:szCs w:val="22"/>
              </w:rPr>
              <w:t>Energy efficient equipments</w:t>
            </w:r>
          </w:p>
        </w:tc>
      </w:tr>
      <w:tr w:rsidR="00252B38">
        <w:tc>
          <w:tcPr>
            <w:tcW w:w="10242" w:type="dxa"/>
            <w:gridSpan w:val="3"/>
            <w:shd w:val="clear" w:color="auto" w:fill="auto"/>
          </w:tcPr>
          <w:p w:rsidR="00252B38" w:rsidRDefault="008C6885">
            <w:pPr>
              <w:jc w:val="both"/>
              <w:rPr>
                <w:sz w:val="22"/>
                <w:szCs w:val="22"/>
              </w:rPr>
            </w:pPr>
            <w:r w:rsidRPr="002E01ED">
              <w:rPr>
                <w:bCs/>
                <w:i/>
                <w:iCs/>
                <w:sz w:val="22"/>
                <w:szCs w:val="22"/>
                <w:lang w:val="en-GB"/>
              </w:rPr>
              <w:t>Priority</w:t>
            </w:r>
            <w:r>
              <w:rPr>
                <w:bCs/>
                <w:i/>
                <w:iCs/>
                <w:sz w:val="22"/>
                <w:szCs w:val="22"/>
              </w:rPr>
              <w:t xml:space="preserve"> 4.2 Support to joint activities for the prevention of natural and man-made disasters as well as joint actions during emergency situations</w:t>
            </w:r>
          </w:p>
        </w:tc>
      </w:tr>
      <w:tr w:rsidR="00252B38">
        <w:tc>
          <w:tcPr>
            <w:tcW w:w="6878" w:type="dxa"/>
            <w:gridSpan w:val="2"/>
            <w:shd w:val="clear" w:color="auto" w:fill="auto"/>
          </w:tcPr>
          <w:p w:rsidR="00252B38" w:rsidRDefault="008C6885">
            <w:pPr>
              <w:jc w:val="both"/>
              <w:rPr>
                <w:sz w:val="22"/>
                <w:szCs w:val="22"/>
                <w:lang w:eastAsia="en-US"/>
              </w:rPr>
            </w:pPr>
            <w:r>
              <w:rPr>
                <w:rFonts w:eastAsia="Calibri" w:cs="Arial"/>
                <w:bCs/>
                <w:sz w:val="22"/>
                <w:szCs w:val="22"/>
                <w:lang w:val="en-GB" w:eastAsia="en-US"/>
              </w:rPr>
              <w:t>Common measures for preventing land slide and flooding of the cross border areas</w:t>
            </w:r>
          </w:p>
        </w:tc>
        <w:tc>
          <w:tcPr>
            <w:tcW w:w="3364" w:type="dxa"/>
            <w:shd w:val="clear" w:color="auto" w:fill="auto"/>
          </w:tcPr>
          <w:p w:rsidR="00252B38" w:rsidRDefault="008C6885" w:rsidP="002E01ED">
            <w:pPr>
              <w:numPr>
                <w:ilvl w:val="0"/>
                <w:numId w:val="4"/>
              </w:numPr>
              <w:ind w:left="176" w:hanging="176"/>
              <w:jc w:val="both"/>
              <w:rPr>
                <w:sz w:val="22"/>
                <w:szCs w:val="22"/>
              </w:rPr>
            </w:pPr>
            <w:r>
              <w:rPr>
                <w:sz w:val="22"/>
                <w:szCs w:val="22"/>
              </w:rPr>
              <w:t>Choosing green solutions, with minimal impact on the area;</w:t>
            </w:r>
          </w:p>
          <w:p w:rsidR="00252B38" w:rsidRDefault="008C6885">
            <w:pPr>
              <w:numPr>
                <w:ilvl w:val="0"/>
                <w:numId w:val="4"/>
              </w:numPr>
              <w:ind w:left="176" w:hanging="176"/>
              <w:jc w:val="both"/>
              <w:rPr>
                <w:sz w:val="22"/>
                <w:szCs w:val="22"/>
              </w:rPr>
            </w:pPr>
            <w:r>
              <w:rPr>
                <w:sz w:val="22"/>
                <w:szCs w:val="22"/>
              </w:rPr>
              <w:t>- Minimizing waste</w:t>
            </w:r>
          </w:p>
          <w:p w:rsidR="00DB6589" w:rsidRPr="00B17C78" w:rsidRDefault="00DB6589" w:rsidP="00DB6589">
            <w:pPr>
              <w:numPr>
                <w:ilvl w:val="0"/>
                <w:numId w:val="4"/>
              </w:numPr>
              <w:ind w:left="176" w:hanging="176"/>
              <w:jc w:val="both"/>
              <w:rPr>
                <w:sz w:val="22"/>
                <w:szCs w:val="22"/>
              </w:rPr>
            </w:pPr>
            <w:r w:rsidRPr="00213DB6">
              <w:rPr>
                <w:sz w:val="22"/>
                <w:szCs w:val="22"/>
              </w:rPr>
              <w:t xml:space="preserve">Preservation and conservation of protected species </w:t>
            </w:r>
            <w:r>
              <w:rPr>
                <w:sz w:val="22"/>
                <w:szCs w:val="22"/>
              </w:rPr>
              <w:t xml:space="preserve">and </w:t>
            </w:r>
            <w:r w:rsidRPr="00213DB6">
              <w:rPr>
                <w:sz w:val="22"/>
                <w:szCs w:val="22"/>
              </w:rPr>
              <w:t>habitats</w:t>
            </w:r>
            <w:r>
              <w:rPr>
                <w:sz w:val="22"/>
                <w:szCs w:val="22"/>
              </w:rPr>
              <w:t xml:space="preserve"> and aquatic ecosystems</w:t>
            </w:r>
          </w:p>
          <w:p w:rsidR="00DB6589" w:rsidRDefault="00DB6589">
            <w:pPr>
              <w:numPr>
                <w:ilvl w:val="0"/>
                <w:numId w:val="4"/>
              </w:numPr>
              <w:ind w:left="176" w:hanging="176"/>
              <w:jc w:val="both"/>
              <w:rPr>
                <w:sz w:val="22"/>
                <w:szCs w:val="22"/>
              </w:rPr>
            </w:pPr>
          </w:p>
        </w:tc>
      </w:tr>
      <w:tr w:rsidR="00252B38">
        <w:tc>
          <w:tcPr>
            <w:tcW w:w="6878" w:type="dxa"/>
            <w:gridSpan w:val="2"/>
            <w:shd w:val="clear" w:color="auto" w:fill="auto"/>
          </w:tcPr>
          <w:p w:rsidR="00252B38" w:rsidRDefault="008C6885">
            <w:pPr>
              <w:jc w:val="both"/>
              <w:rPr>
                <w:sz w:val="22"/>
                <w:szCs w:val="22"/>
                <w:lang w:eastAsia="en-US"/>
              </w:rPr>
            </w:pPr>
            <w:r>
              <w:rPr>
                <w:rFonts w:eastAsia="Calibri" w:cs="Arial"/>
                <w:bCs/>
                <w:sz w:val="22"/>
                <w:szCs w:val="22"/>
                <w:lang w:val="en-GB" w:eastAsia="en-US"/>
              </w:rPr>
              <w:t>Joint integrated systems for efficient monitoring and disaster prevention and for the mitigation of consequences</w:t>
            </w:r>
          </w:p>
        </w:tc>
        <w:tc>
          <w:tcPr>
            <w:tcW w:w="3364" w:type="dxa"/>
            <w:shd w:val="clear" w:color="auto" w:fill="auto"/>
          </w:tcPr>
          <w:p w:rsidR="00252B38" w:rsidRDefault="008C6885">
            <w:pPr>
              <w:numPr>
                <w:ilvl w:val="0"/>
                <w:numId w:val="4"/>
              </w:numPr>
              <w:ind w:left="176" w:hanging="176"/>
              <w:jc w:val="both"/>
              <w:rPr>
                <w:sz w:val="22"/>
                <w:szCs w:val="22"/>
              </w:rPr>
            </w:pPr>
            <w:r>
              <w:rPr>
                <w:sz w:val="22"/>
                <w:szCs w:val="22"/>
              </w:rPr>
              <w:t>Choosing green solutions, with minimal impact on the area;</w:t>
            </w:r>
          </w:p>
          <w:p w:rsidR="00DB6589" w:rsidRPr="00B17C78" w:rsidRDefault="00DB6589" w:rsidP="00DB6589">
            <w:pPr>
              <w:numPr>
                <w:ilvl w:val="0"/>
                <w:numId w:val="4"/>
              </w:numPr>
              <w:ind w:left="176" w:hanging="176"/>
              <w:jc w:val="both"/>
              <w:rPr>
                <w:sz w:val="22"/>
                <w:szCs w:val="22"/>
              </w:rPr>
            </w:pPr>
            <w:r w:rsidRPr="00213DB6">
              <w:rPr>
                <w:sz w:val="22"/>
                <w:szCs w:val="22"/>
              </w:rPr>
              <w:t xml:space="preserve">Preservation and conservation of protected species </w:t>
            </w:r>
            <w:r>
              <w:rPr>
                <w:sz w:val="22"/>
                <w:szCs w:val="22"/>
              </w:rPr>
              <w:t xml:space="preserve">and </w:t>
            </w:r>
            <w:r w:rsidRPr="00213DB6">
              <w:rPr>
                <w:sz w:val="22"/>
                <w:szCs w:val="22"/>
              </w:rPr>
              <w:t>habitats</w:t>
            </w:r>
            <w:r>
              <w:rPr>
                <w:sz w:val="22"/>
                <w:szCs w:val="22"/>
              </w:rPr>
              <w:t xml:space="preserve"> and aquatic ecosystems</w:t>
            </w:r>
          </w:p>
          <w:p w:rsidR="00DB6589" w:rsidRDefault="00DB6589" w:rsidP="002E01ED">
            <w:pPr>
              <w:ind w:left="176"/>
              <w:jc w:val="both"/>
              <w:rPr>
                <w:sz w:val="22"/>
                <w:szCs w:val="22"/>
              </w:rPr>
            </w:pPr>
          </w:p>
        </w:tc>
      </w:tr>
      <w:tr w:rsidR="00252B38">
        <w:tc>
          <w:tcPr>
            <w:tcW w:w="6878" w:type="dxa"/>
            <w:gridSpan w:val="2"/>
            <w:shd w:val="clear" w:color="auto" w:fill="auto"/>
          </w:tcPr>
          <w:p w:rsidR="00252B38" w:rsidRDefault="008C6885">
            <w:pPr>
              <w:jc w:val="both"/>
              <w:rPr>
                <w:sz w:val="22"/>
                <w:szCs w:val="22"/>
              </w:rPr>
            </w:pPr>
            <w:r>
              <w:rPr>
                <w:rFonts w:eastAsia="Calibri" w:cs="Arial"/>
                <w:bCs/>
                <w:sz w:val="22"/>
                <w:szCs w:val="22"/>
                <w:lang w:val="en-GB" w:eastAsia="en-US"/>
              </w:rPr>
              <w:t>Elaborating of joint detailed maps and databases (indicating natural and technological risks, and land use for regional planning authorities, environmental agencies and emergency services)</w:t>
            </w:r>
          </w:p>
        </w:tc>
        <w:tc>
          <w:tcPr>
            <w:tcW w:w="3364" w:type="dxa"/>
            <w:shd w:val="clear" w:color="auto" w:fill="auto"/>
          </w:tcPr>
          <w:p w:rsidR="00252B38" w:rsidRDefault="008C6885" w:rsidP="002E01ED">
            <w:pPr>
              <w:jc w:val="both"/>
              <w:rPr>
                <w:sz w:val="22"/>
                <w:szCs w:val="22"/>
              </w:rPr>
            </w:pPr>
            <w:r>
              <w:rPr>
                <w:sz w:val="22"/>
                <w:szCs w:val="22"/>
              </w:rPr>
              <w:t>Taking into account the most advanced technologies appropriate to specific situations (aerospace, radar interferomentry, etc.)</w:t>
            </w:r>
          </w:p>
        </w:tc>
      </w:tr>
      <w:tr w:rsidR="00252B38">
        <w:tc>
          <w:tcPr>
            <w:tcW w:w="6878" w:type="dxa"/>
            <w:gridSpan w:val="2"/>
            <w:shd w:val="clear" w:color="auto" w:fill="auto"/>
          </w:tcPr>
          <w:p w:rsidR="00252B38" w:rsidRDefault="008C6885">
            <w:pPr>
              <w:jc w:val="both"/>
              <w:rPr>
                <w:bCs/>
                <w:sz w:val="22"/>
                <w:szCs w:val="22"/>
              </w:rPr>
            </w:pPr>
            <w:r>
              <w:rPr>
                <w:rFonts w:eastAsia="Calibri" w:cs="Arial"/>
                <w:bCs/>
                <w:sz w:val="22"/>
                <w:szCs w:val="22"/>
                <w:lang w:val="en-GB" w:eastAsia="en-US"/>
              </w:rPr>
              <w:t>Investments and development of common, integrated, emergency management systems</w:t>
            </w:r>
          </w:p>
        </w:tc>
        <w:tc>
          <w:tcPr>
            <w:tcW w:w="3364" w:type="dxa"/>
            <w:shd w:val="clear" w:color="auto" w:fill="auto"/>
          </w:tcPr>
          <w:p w:rsidR="00252B38" w:rsidRDefault="008C6885">
            <w:pPr>
              <w:numPr>
                <w:ilvl w:val="0"/>
                <w:numId w:val="4"/>
              </w:numPr>
              <w:ind w:left="176" w:hanging="142"/>
              <w:jc w:val="both"/>
              <w:rPr>
                <w:sz w:val="22"/>
                <w:szCs w:val="22"/>
              </w:rPr>
            </w:pPr>
            <w:r>
              <w:rPr>
                <w:sz w:val="22"/>
                <w:szCs w:val="22"/>
              </w:rPr>
              <w:t>Reducing consumption of electricity an</w:t>
            </w:r>
            <w:r w:rsidR="00DB6589">
              <w:rPr>
                <w:sz w:val="22"/>
                <w:szCs w:val="22"/>
              </w:rPr>
              <w:t>d/or</w:t>
            </w:r>
            <w:r>
              <w:rPr>
                <w:sz w:val="22"/>
                <w:szCs w:val="22"/>
              </w:rPr>
              <w:t xml:space="preserve"> heat</w:t>
            </w:r>
          </w:p>
          <w:p w:rsidR="00252B38" w:rsidRDefault="008C6885">
            <w:pPr>
              <w:numPr>
                <w:ilvl w:val="0"/>
                <w:numId w:val="4"/>
              </w:numPr>
              <w:ind w:left="176" w:hanging="142"/>
              <w:jc w:val="both"/>
              <w:rPr>
                <w:sz w:val="22"/>
                <w:szCs w:val="22"/>
              </w:rPr>
            </w:pPr>
            <w:r>
              <w:rPr>
                <w:sz w:val="22"/>
                <w:szCs w:val="22"/>
              </w:rPr>
              <w:t>Reducing consumption of fuel, raw material, hazarduos substances;</w:t>
            </w:r>
          </w:p>
          <w:p w:rsidR="00252B38" w:rsidRDefault="008C6885">
            <w:pPr>
              <w:numPr>
                <w:ilvl w:val="0"/>
                <w:numId w:val="4"/>
              </w:numPr>
              <w:ind w:left="176" w:hanging="142"/>
              <w:jc w:val="both"/>
              <w:rPr>
                <w:sz w:val="22"/>
                <w:szCs w:val="22"/>
              </w:rPr>
            </w:pPr>
            <w:r>
              <w:rPr>
                <w:sz w:val="22"/>
                <w:szCs w:val="22"/>
              </w:rPr>
              <w:t>Energy efficient equipments;</w:t>
            </w:r>
          </w:p>
          <w:p w:rsidR="00252B38" w:rsidRDefault="008C6885">
            <w:pPr>
              <w:numPr>
                <w:ilvl w:val="0"/>
                <w:numId w:val="4"/>
              </w:numPr>
              <w:ind w:left="176" w:hanging="142"/>
              <w:jc w:val="both"/>
              <w:rPr>
                <w:sz w:val="22"/>
                <w:szCs w:val="22"/>
              </w:rPr>
            </w:pPr>
            <w:r>
              <w:rPr>
                <w:sz w:val="22"/>
                <w:szCs w:val="22"/>
              </w:rPr>
              <w:t>Reducing waste;</w:t>
            </w:r>
          </w:p>
          <w:p w:rsidR="00252B38" w:rsidRPr="002E01ED" w:rsidRDefault="008C6885">
            <w:pPr>
              <w:numPr>
                <w:ilvl w:val="0"/>
                <w:numId w:val="4"/>
              </w:numPr>
              <w:ind w:left="176" w:hanging="176"/>
              <w:jc w:val="both"/>
              <w:rPr>
                <w:sz w:val="22"/>
                <w:szCs w:val="22"/>
              </w:rPr>
            </w:pPr>
            <w:r>
              <w:t>collection/ sorting/ recycling/ recovery of waste</w:t>
            </w:r>
          </w:p>
          <w:p w:rsidR="00DB6589" w:rsidRPr="00B17C78" w:rsidRDefault="00DB6589" w:rsidP="00DB6589">
            <w:pPr>
              <w:numPr>
                <w:ilvl w:val="0"/>
                <w:numId w:val="4"/>
              </w:numPr>
              <w:ind w:left="176" w:hanging="176"/>
              <w:jc w:val="both"/>
              <w:rPr>
                <w:sz w:val="22"/>
                <w:szCs w:val="22"/>
              </w:rPr>
            </w:pPr>
            <w:r w:rsidRPr="00213DB6">
              <w:rPr>
                <w:sz w:val="22"/>
                <w:szCs w:val="22"/>
              </w:rPr>
              <w:t xml:space="preserve">Preservation and conservation of protected species </w:t>
            </w:r>
            <w:r>
              <w:rPr>
                <w:sz w:val="22"/>
                <w:szCs w:val="22"/>
              </w:rPr>
              <w:t xml:space="preserve">and </w:t>
            </w:r>
            <w:r w:rsidRPr="00213DB6">
              <w:rPr>
                <w:sz w:val="22"/>
                <w:szCs w:val="22"/>
              </w:rPr>
              <w:t>habitats</w:t>
            </w:r>
            <w:r>
              <w:rPr>
                <w:sz w:val="22"/>
                <w:szCs w:val="22"/>
              </w:rPr>
              <w:t xml:space="preserve"> and aquatic ecosystems</w:t>
            </w:r>
          </w:p>
          <w:p w:rsidR="00DB6589" w:rsidRDefault="00DB6589" w:rsidP="002E01ED">
            <w:pPr>
              <w:ind w:left="176"/>
              <w:jc w:val="both"/>
              <w:rPr>
                <w:sz w:val="22"/>
                <w:szCs w:val="22"/>
              </w:rPr>
            </w:pPr>
          </w:p>
        </w:tc>
      </w:tr>
      <w:tr w:rsidR="00252B38">
        <w:tc>
          <w:tcPr>
            <w:tcW w:w="10242" w:type="dxa"/>
            <w:gridSpan w:val="3"/>
            <w:shd w:val="clear" w:color="auto" w:fill="auto"/>
          </w:tcPr>
          <w:p w:rsidR="00252B38" w:rsidRDefault="008C6885">
            <w:pPr>
              <w:jc w:val="both"/>
              <w:rPr>
                <w:sz w:val="22"/>
                <w:szCs w:val="22"/>
              </w:rPr>
            </w:pPr>
            <w:r>
              <w:rPr>
                <w:bCs/>
                <w:i/>
                <w:iCs/>
                <w:sz w:val="22"/>
                <w:szCs w:val="22"/>
                <w:lang w:val="en-GB"/>
              </w:rPr>
              <w:t>Priority</w:t>
            </w:r>
            <w:r>
              <w:rPr>
                <w:i/>
                <w:sz w:val="22"/>
                <w:szCs w:val="22"/>
              </w:rPr>
              <w:t xml:space="preserve"> 4.3 Prevention and fight against organised crime and police cooperation</w:t>
            </w:r>
          </w:p>
        </w:tc>
      </w:tr>
      <w:tr w:rsidR="00252B38">
        <w:tc>
          <w:tcPr>
            <w:tcW w:w="6878" w:type="dxa"/>
            <w:gridSpan w:val="2"/>
            <w:shd w:val="clear" w:color="auto" w:fill="auto"/>
          </w:tcPr>
          <w:p w:rsidR="00252B38" w:rsidRDefault="008C6885">
            <w:pPr>
              <w:jc w:val="both"/>
              <w:rPr>
                <w:sz w:val="22"/>
                <w:szCs w:val="22"/>
                <w:lang w:eastAsia="en-US"/>
              </w:rPr>
            </w:pPr>
            <w:r>
              <w:rPr>
                <w:rFonts w:eastAsia="Calibri" w:cs="Arial"/>
                <w:bCs/>
                <w:sz w:val="22"/>
                <w:szCs w:val="22"/>
                <w:lang w:val="en-GB" w:eastAsia="en-US"/>
              </w:rPr>
              <w:t>Investment in construction, renovation or upgrading of police and border crossing infrastructure and related buildings</w:t>
            </w:r>
          </w:p>
        </w:tc>
        <w:tc>
          <w:tcPr>
            <w:tcW w:w="3364" w:type="dxa"/>
            <w:shd w:val="clear" w:color="auto" w:fill="auto"/>
          </w:tcPr>
          <w:p w:rsidR="00252B38" w:rsidRDefault="008C6885">
            <w:pPr>
              <w:numPr>
                <w:ilvl w:val="0"/>
                <w:numId w:val="4"/>
              </w:numPr>
              <w:ind w:left="176" w:hanging="142"/>
              <w:jc w:val="both"/>
              <w:rPr>
                <w:sz w:val="22"/>
                <w:szCs w:val="22"/>
              </w:rPr>
            </w:pPr>
            <w:r>
              <w:rPr>
                <w:sz w:val="22"/>
                <w:szCs w:val="22"/>
              </w:rPr>
              <w:t>Reducing consumption of electricity an</w:t>
            </w:r>
            <w:r w:rsidR="00DB6589">
              <w:rPr>
                <w:sz w:val="22"/>
                <w:szCs w:val="22"/>
              </w:rPr>
              <w:t>d/or</w:t>
            </w:r>
            <w:r>
              <w:rPr>
                <w:sz w:val="22"/>
                <w:szCs w:val="22"/>
              </w:rPr>
              <w:t xml:space="preserve"> heat</w:t>
            </w:r>
          </w:p>
          <w:p w:rsidR="00252B38" w:rsidRDefault="008C6885">
            <w:pPr>
              <w:numPr>
                <w:ilvl w:val="0"/>
                <w:numId w:val="4"/>
              </w:numPr>
              <w:ind w:left="176" w:hanging="142"/>
              <w:jc w:val="both"/>
              <w:rPr>
                <w:sz w:val="22"/>
                <w:szCs w:val="22"/>
              </w:rPr>
            </w:pPr>
            <w:r>
              <w:rPr>
                <w:sz w:val="22"/>
                <w:szCs w:val="22"/>
              </w:rPr>
              <w:t>Reducing consumption of fuel, raw material, hazarduos substances;</w:t>
            </w:r>
          </w:p>
          <w:p w:rsidR="00252B38" w:rsidRDefault="008C6885">
            <w:pPr>
              <w:numPr>
                <w:ilvl w:val="0"/>
                <w:numId w:val="4"/>
              </w:numPr>
              <w:ind w:left="176" w:hanging="142"/>
              <w:jc w:val="both"/>
              <w:rPr>
                <w:sz w:val="22"/>
                <w:szCs w:val="22"/>
              </w:rPr>
            </w:pPr>
            <w:r>
              <w:rPr>
                <w:sz w:val="22"/>
                <w:szCs w:val="22"/>
              </w:rPr>
              <w:t>Energy efficient equipments;</w:t>
            </w:r>
          </w:p>
          <w:p w:rsidR="00252B38" w:rsidRDefault="008C6885">
            <w:pPr>
              <w:numPr>
                <w:ilvl w:val="0"/>
                <w:numId w:val="4"/>
              </w:numPr>
              <w:ind w:left="176" w:hanging="142"/>
              <w:jc w:val="both"/>
              <w:rPr>
                <w:sz w:val="22"/>
                <w:szCs w:val="22"/>
              </w:rPr>
            </w:pPr>
            <w:r>
              <w:rPr>
                <w:sz w:val="22"/>
                <w:szCs w:val="22"/>
              </w:rPr>
              <w:t>Reducing waste;</w:t>
            </w:r>
          </w:p>
          <w:p w:rsidR="00252B38" w:rsidRDefault="008C6885">
            <w:pPr>
              <w:numPr>
                <w:ilvl w:val="0"/>
                <w:numId w:val="4"/>
              </w:numPr>
              <w:ind w:left="176" w:hanging="176"/>
              <w:jc w:val="both"/>
              <w:rPr>
                <w:sz w:val="22"/>
                <w:szCs w:val="22"/>
              </w:rPr>
            </w:pPr>
            <w:r>
              <w:t>collection/ sorting/ recycling/ recovery of waste</w:t>
            </w:r>
          </w:p>
        </w:tc>
      </w:tr>
      <w:tr w:rsidR="00252B38">
        <w:tc>
          <w:tcPr>
            <w:tcW w:w="6878" w:type="dxa"/>
            <w:gridSpan w:val="2"/>
            <w:shd w:val="clear" w:color="auto" w:fill="auto"/>
          </w:tcPr>
          <w:p w:rsidR="00252B38" w:rsidRDefault="008C6885">
            <w:pPr>
              <w:jc w:val="both"/>
              <w:rPr>
                <w:sz w:val="22"/>
                <w:szCs w:val="22"/>
                <w:lang w:eastAsia="en-US"/>
              </w:rPr>
            </w:pPr>
            <w:r>
              <w:rPr>
                <w:rFonts w:eastAsia="Calibri" w:cs="Arial"/>
                <w:bCs/>
                <w:sz w:val="22"/>
                <w:szCs w:val="22"/>
                <w:lang w:val="en-GB" w:eastAsia="en-US"/>
              </w:rPr>
              <w:t xml:space="preserve">Investments in operating equipment and facilities specific for the activity of police/customs/border police/gendarmerie (e.g. </w:t>
            </w:r>
            <w:r>
              <w:rPr>
                <w:rFonts w:eastAsia="Calibri" w:cs="Arial"/>
                <w:bCs/>
                <w:sz w:val="22"/>
                <w:szCs w:val="22"/>
                <w:lang w:val="en-GB" w:eastAsia="en-US"/>
              </w:rPr>
              <w:lastRenderedPageBreak/>
              <w:t>laboratories,  equipment, detection tools,  hardware and software, means of transport)</w:t>
            </w:r>
          </w:p>
        </w:tc>
        <w:tc>
          <w:tcPr>
            <w:tcW w:w="3364" w:type="dxa"/>
            <w:shd w:val="clear" w:color="auto" w:fill="auto"/>
          </w:tcPr>
          <w:p w:rsidR="00252B38" w:rsidRDefault="008C6885">
            <w:pPr>
              <w:numPr>
                <w:ilvl w:val="0"/>
                <w:numId w:val="4"/>
              </w:numPr>
              <w:ind w:left="176" w:hanging="142"/>
              <w:jc w:val="both"/>
              <w:rPr>
                <w:sz w:val="22"/>
                <w:szCs w:val="22"/>
              </w:rPr>
            </w:pPr>
            <w:r>
              <w:rPr>
                <w:sz w:val="22"/>
                <w:szCs w:val="22"/>
              </w:rPr>
              <w:lastRenderedPageBreak/>
              <w:t>Reducing consumption of electricity an</w:t>
            </w:r>
            <w:r w:rsidR="00DB6589">
              <w:rPr>
                <w:sz w:val="22"/>
                <w:szCs w:val="22"/>
              </w:rPr>
              <w:t>d/or</w:t>
            </w:r>
            <w:r>
              <w:rPr>
                <w:sz w:val="22"/>
                <w:szCs w:val="22"/>
              </w:rPr>
              <w:t xml:space="preserve"> heat</w:t>
            </w:r>
          </w:p>
          <w:p w:rsidR="00252B38" w:rsidRDefault="008C6885">
            <w:pPr>
              <w:numPr>
                <w:ilvl w:val="0"/>
                <w:numId w:val="4"/>
              </w:numPr>
              <w:ind w:left="176" w:hanging="142"/>
              <w:jc w:val="both"/>
              <w:rPr>
                <w:sz w:val="22"/>
                <w:szCs w:val="22"/>
              </w:rPr>
            </w:pPr>
            <w:r>
              <w:rPr>
                <w:sz w:val="22"/>
                <w:szCs w:val="22"/>
              </w:rPr>
              <w:lastRenderedPageBreak/>
              <w:t>Reducing consumption of fuel, raw material, hazarduos substances;</w:t>
            </w:r>
          </w:p>
          <w:p w:rsidR="00252B38" w:rsidRDefault="008C6885" w:rsidP="002E01ED">
            <w:pPr>
              <w:numPr>
                <w:ilvl w:val="0"/>
                <w:numId w:val="4"/>
              </w:numPr>
              <w:ind w:left="176" w:hanging="142"/>
              <w:jc w:val="both"/>
              <w:rPr>
                <w:sz w:val="22"/>
                <w:szCs w:val="22"/>
              </w:rPr>
            </w:pPr>
            <w:r>
              <w:rPr>
                <w:sz w:val="22"/>
                <w:szCs w:val="22"/>
              </w:rPr>
              <w:t>Energy efficient equipments</w:t>
            </w:r>
          </w:p>
        </w:tc>
      </w:tr>
      <w:tr w:rsidR="00252B38">
        <w:tc>
          <w:tcPr>
            <w:tcW w:w="10242" w:type="dxa"/>
            <w:gridSpan w:val="3"/>
            <w:shd w:val="clear" w:color="auto" w:fill="auto"/>
          </w:tcPr>
          <w:p w:rsidR="00252B38" w:rsidRPr="002E01ED" w:rsidRDefault="008C6885" w:rsidP="002E01ED">
            <w:pPr>
              <w:spacing w:before="60" w:after="60" w:line="288" w:lineRule="auto"/>
              <w:rPr>
                <w:b/>
              </w:rPr>
            </w:pPr>
            <w:r>
              <w:rPr>
                <w:b/>
                <w:lang w:val="en-GB"/>
              </w:rPr>
              <w:lastRenderedPageBreak/>
              <w:t>LARGE INFRASTRUCTURE PROJECTS</w:t>
            </w:r>
          </w:p>
        </w:tc>
      </w:tr>
      <w:tr w:rsidR="00252B38">
        <w:tc>
          <w:tcPr>
            <w:tcW w:w="6878" w:type="dxa"/>
            <w:gridSpan w:val="2"/>
            <w:shd w:val="clear" w:color="auto" w:fill="auto"/>
          </w:tcPr>
          <w:p w:rsidR="00252B38" w:rsidRDefault="008C6885">
            <w:pPr>
              <w:jc w:val="both"/>
              <w:rPr>
                <w:sz w:val="22"/>
                <w:szCs w:val="22"/>
              </w:rPr>
            </w:pPr>
            <w:r>
              <w:rPr>
                <w:rFonts w:eastAsia="Calibri" w:cs="Arial"/>
                <w:sz w:val="22"/>
                <w:szCs w:val="22"/>
                <w:lang w:val="en-GB" w:eastAsia="en-US"/>
              </w:rPr>
              <w:t>«Clean river» Dunărea</w:t>
            </w:r>
          </w:p>
        </w:tc>
        <w:tc>
          <w:tcPr>
            <w:tcW w:w="3364" w:type="dxa"/>
            <w:shd w:val="clear" w:color="auto" w:fill="auto"/>
          </w:tcPr>
          <w:p w:rsidR="00252B38" w:rsidRDefault="008C6885" w:rsidP="002E01ED">
            <w:pPr>
              <w:numPr>
                <w:ilvl w:val="0"/>
                <w:numId w:val="4"/>
              </w:numPr>
              <w:ind w:left="176" w:hanging="142"/>
              <w:jc w:val="both"/>
              <w:rPr>
                <w:sz w:val="22"/>
                <w:szCs w:val="22"/>
              </w:rPr>
            </w:pPr>
            <w:r>
              <w:rPr>
                <w:sz w:val="22"/>
                <w:szCs w:val="22"/>
              </w:rPr>
              <w:t>The use of rehabilitative technologies with minimal impact on soil and flora, fauna and</w:t>
            </w:r>
            <w:r w:rsidR="00DB6589">
              <w:rPr>
                <w:sz w:val="22"/>
                <w:szCs w:val="22"/>
              </w:rPr>
              <w:t xml:space="preserve"> aquatic</w:t>
            </w:r>
            <w:r>
              <w:rPr>
                <w:sz w:val="22"/>
                <w:szCs w:val="22"/>
              </w:rPr>
              <w:t xml:space="preserve"> ecosystems </w:t>
            </w:r>
          </w:p>
        </w:tc>
      </w:tr>
      <w:tr w:rsidR="00252B38">
        <w:tc>
          <w:tcPr>
            <w:tcW w:w="6878" w:type="dxa"/>
            <w:gridSpan w:val="2"/>
            <w:shd w:val="clear" w:color="auto" w:fill="auto"/>
          </w:tcPr>
          <w:p w:rsidR="00252B38" w:rsidRDefault="008C6885">
            <w:pPr>
              <w:jc w:val="both"/>
              <w:rPr>
                <w:sz w:val="22"/>
                <w:szCs w:val="22"/>
              </w:rPr>
            </w:pPr>
            <w:r>
              <w:rPr>
                <w:rFonts w:eastAsia="Calibri" w:cs="Arial"/>
                <w:color w:val="000000"/>
                <w:sz w:val="22"/>
                <w:szCs w:val="22"/>
                <w:u w:color="000000"/>
                <w:lang w:val="en-GB" w:eastAsia="en-US"/>
              </w:rPr>
              <w:t>Improving the cross-border infrastructure – opening the gate to Europe</w:t>
            </w:r>
            <w:r>
              <w:rPr>
                <w:sz w:val="22"/>
                <w:szCs w:val="22"/>
                <w:lang w:val="vi-VN"/>
              </w:rPr>
              <w:t xml:space="preserve"> </w:t>
            </w:r>
          </w:p>
        </w:tc>
        <w:tc>
          <w:tcPr>
            <w:tcW w:w="3364" w:type="dxa"/>
            <w:shd w:val="clear" w:color="auto" w:fill="auto"/>
          </w:tcPr>
          <w:p w:rsidR="00252B38" w:rsidRDefault="008C6885">
            <w:pPr>
              <w:numPr>
                <w:ilvl w:val="0"/>
                <w:numId w:val="4"/>
              </w:numPr>
              <w:ind w:left="176" w:hanging="142"/>
              <w:jc w:val="both"/>
              <w:rPr>
                <w:sz w:val="22"/>
                <w:szCs w:val="22"/>
              </w:rPr>
            </w:pPr>
            <w:r>
              <w:rPr>
                <w:sz w:val="22"/>
                <w:szCs w:val="22"/>
              </w:rPr>
              <w:t>Reducing consumption of electricity an</w:t>
            </w:r>
            <w:r w:rsidR="00DB6589">
              <w:rPr>
                <w:sz w:val="22"/>
                <w:szCs w:val="22"/>
              </w:rPr>
              <w:t>d/or</w:t>
            </w:r>
            <w:r>
              <w:rPr>
                <w:sz w:val="22"/>
                <w:szCs w:val="22"/>
              </w:rPr>
              <w:t xml:space="preserve"> heat</w:t>
            </w:r>
          </w:p>
          <w:p w:rsidR="00252B38" w:rsidRDefault="008C6885">
            <w:pPr>
              <w:numPr>
                <w:ilvl w:val="0"/>
                <w:numId w:val="4"/>
              </w:numPr>
              <w:ind w:left="176" w:hanging="142"/>
              <w:jc w:val="both"/>
              <w:rPr>
                <w:sz w:val="22"/>
                <w:szCs w:val="22"/>
              </w:rPr>
            </w:pPr>
            <w:r>
              <w:rPr>
                <w:sz w:val="22"/>
                <w:szCs w:val="22"/>
              </w:rPr>
              <w:t>Reducing consumption of fuel, raw material, hazarduos substances;</w:t>
            </w:r>
          </w:p>
          <w:p w:rsidR="00252B38" w:rsidRDefault="008C6885">
            <w:pPr>
              <w:numPr>
                <w:ilvl w:val="0"/>
                <w:numId w:val="4"/>
              </w:numPr>
              <w:ind w:left="176" w:hanging="142"/>
              <w:jc w:val="both"/>
              <w:rPr>
                <w:sz w:val="22"/>
                <w:szCs w:val="22"/>
              </w:rPr>
            </w:pPr>
            <w:r>
              <w:rPr>
                <w:sz w:val="22"/>
                <w:szCs w:val="22"/>
              </w:rPr>
              <w:t>Energy efficient equipments;</w:t>
            </w:r>
          </w:p>
          <w:p w:rsidR="00252B38" w:rsidRDefault="008C6885">
            <w:pPr>
              <w:numPr>
                <w:ilvl w:val="0"/>
                <w:numId w:val="4"/>
              </w:numPr>
              <w:ind w:left="176" w:hanging="142"/>
              <w:jc w:val="both"/>
              <w:rPr>
                <w:sz w:val="22"/>
                <w:szCs w:val="22"/>
              </w:rPr>
            </w:pPr>
            <w:r>
              <w:rPr>
                <w:sz w:val="22"/>
                <w:szCs w:val="22"/>
              </w:rPr>
              <w:t>Reducing waste;</w:t>
            </w:r>
          </w:p>
          <w:p w:rsidR="00252B38" w:rsidRDefault="008C6885">
            <w:pPr>
              <w:numPr>
                <w:ilvl w:val="0"/>
                <w:numId w:val="4"/>
              </w:numPr>
              <w:ind w:left="176" w:hanging="142"/>
              <w:jc w:val="both"/>
              <w:rPr>
                <w:sz w:val="22"/>
                <w:szCs w:val="22"/>
              </w:rPr>
            </w:pPr>
            <w:r>
              <w:t>collection/ sorting/ recycling/ recovery of waste</w:t>
            </w:r>
          </w:p>
        </w:tc>
      </w:tr>
      <w:tr w:rsidR="00252B38">
        <w:tc>
          <w:tcPr>
            <w:tcW w:w="6878" w:type="dxa"/>
            <w:gridSpan w:val="2"/>
            <w:shd w:val="clear" w:color="auto" w:fill="auto"/>
          </w:tcPr>
          <w:p w:rsidR="00252B38" w:rsidRDefault="008C6885">
            <w:pPr>
              <w:jc w:val="both"/>
              <w:rPr>
                <w:sz w:val="22"/>
                <w:szCs w:val="22"/>
              </w:rPr>
            </w:pPr>
            <w:r>
              <w:rPr>
                <w:rFonts w:eastAsia="Calibri" w:cs="Arial"/>
                <w:color w:val="000000"/>
                <w:sz w:val="22"/>
                <w:szCs w:val="22"/>
                <w:u w:color="000000"/>
                <w:lang w:val="en-GB" w:eastAsia="en-US"/>
              </w:rPr>
              <w:t>Regional Cooperation for Prevention and Fighting of Cross-border Crime between Romania-Ukraine</w:t>
            </w:r>
          </w:p>
        </w:tc>
        <w:tc>
          <w:tcPr>
            <w:tcW w:w="3364" w:type="dxa"/>
            <w:shd w:val="clear" w:color="auto" w:fill="auto"/>
          </w:tcPr>
          <w:p w:rsidR="00252B38" w:rsidRDefault="008C6885">
            <w:pPr>
              <w:numPr>
                <w:ilvl w:val="0"/>
                <w:numId w:val="4"/>
              </w:numPr>
              <w:ind w:left="176" w:hanging="142"/>
              <w:jc w:val="both"/>
              <w:rPr>
                <w:sz w:val="22"/>
                <w:szCs w:val="22"/>
              </w:rPr>
            </w:pPr>
            <w:r>
              <w:rPr>
                <w:sz w:val="22"/>
                <w:szCs w:val="22"/>
              </w:rPr>
              <w:t>Reducing consumption of electricity an</w:t>
            </w:r>
            <w:r w:rsidR="00DB6589">
              <w:rPr>
                <w:sz w:val="22"/>
                <w:szCs w:val="22"/>
              </w:rPr>
              <w:t>d/or</w:t>
            </w:r>
            <w:r>
              <w:rPr>
                <w:sz w:val="22"/>
                <w:szCs w:val="22"/>
              </w:rPr>
              <w:t xml:space="preserve"> heat</w:t>
            </w:r>
          </w:p>
          <w:p w:rsidR="00252B38" w:rsidRDefault="008C6885">
            <w:pPr>
              <w:numPr>
                <w:ilvl w:val="0"/>
                <w:numId w:val="4"/>
              </w:numPr>
              <w:ind w:left="176" w:hanging="142"/>
              <w:jc w:val="both"/>
              <w:rPr>
                <w:sz w:val="22"/>
                <w:szCs w:val="22"/>
              </w:rPr>
            </w:pPr>
            <w:r>
              <w:rPr>
                <w:sz w:val="22"/>
                <w:szCs w:val="22"/>
              </w:rPr>
              <w:t>Reducing consumption of fuel, raw material, hazarduos substances;</w:t>
            </w:r>
          </w:p>
          <w:p w:rsidR="00252B38" w:rsidRDefault="008C6885">
            <w:pPr>
              <w:numPr>
                <w:ilvl w:val="0"/>
                <w:numId w:val="4"/>
              </w:numPr>
              <w:ind w:left="176" w:hanging="142"/>
              <w:jc w:val="both"/>
              <w:rPr>
                <w:sz w:val="22"/>
                <w:szCs w:val="22"/>
              </w:rPr>
            </w:pPr>
            <w:r>
              <w:rPr>
                <w:sz w:val="22"/>
                <w:szCs w:val="22"/>
              </w:rPr>
              <w:t>Energy efficient equipments;</w:t>
            </w:r>
          </w:p>
          <w:p w:rsidR="00252B38" w:rsidRDefault="008C6885">
            <w:pPr>
              <w:numPr>
                <w:ilvl w:val="0"/>
                <w:numId w:val="4"/>
              </w:numPr>
              <w:ind w:left="176" w:hanging="142"/>
              <w:jc w:val="both"/>
              <w:rPr>
                <w:sz w:val="22"/>
                <w:szCs w:val="22"/>
              </w:rPr>
            </w:pPr>
            <w:r>
              <w:rPr>
                <w:sz w:val="22"/>
                <w:szCs w:val="22"/>
              </w:rPr>
              <w:t>Reducing waste;</w:t>
            </w:r>
          </w:p>
          <w:p w:rsidR="00252B38" w:rsidRDefault="008C6885">
            <w:pPr>
              <w:numPr>
                <w:ilvl w:val="0"/>
                <w:numId w:val="4"/>
              </w:numPr>
              <w:ind w:left="176" w:hanging="142"/>
              <w:jc w:val="both"/>
              <w:rPr>
                <w:sz w:val="22"/>
                <w:szCs w:val="22"/>
              </w:rPr>
            </w:pPr>
            <w:r w:rsidRPr="002E01ED">
              <w:rPr>
                <w:sz w:val="22"/>
                <w:szCs w:val="22"/>
              </w:rPr>
              <w:t>collection/ sorting/ recycling/ recovery of waste</w:t>
            </w:r>
          </w:p>
        </w:tc>
      </w:tr>
      <w:tr w:rsidR="00252B38">
        <w:tc>
          <w:tcPr>
            <w:tcW w:w="6878" w:type="dxa"/>
            <w:gridSpan w:val="2"/>
            <w:shd w:val="clear" w:color="auto" w:fill="auto"/>
          </w:tcPr>
          <w:p w:rsidR="00252B38" w:rsidRDefault="008C6885">
            <w:pPr>
              <w:jc w:val="both"/>
              <w:rPr>
                <w:sz w:val="22"/>
                <w:szCs w:val="22"/>
              </w:rPr>
            </w:pPr>
            <w:r>
              <w:rPr>
                <w:rFonts w:eastAsia="Calibri" w:cs="Arial"/>
                <w:sz w:val="22"/>
                <w:szCs w:val="22"/>
                <w:lang w:val="en-GB" w:eastAsia="en-US"/>
              </w:rPr>
              <w:t>Improvement of the population safety and security level in the cross-border area by enhancing the joint training and cooperation actions in emergency management</w:t>
            </w:r>
          </w:p>
        </w:tc>
        <w:tc>
          <w:tcPr>
            <w:tcW w:w="3364" w:type="dxa"/>
            <w:shd w:val="clear" w:color="auto" w:fill="auto"/>
          </w:tcPr>
          <w:p w:rsidR="00252B38" w:rsidRDefault="008C6885">
            <w:pPr>
              <w:numPr>
                <w:ilvl w:val="0"/>
                <w:numId w:val="4"/>
              </w:numPr>
              <w:ind w:left="176" w:hanging="142"/>
              <w:jc w:val="both"/>
              <w:rPr>
                <w:sz w:val="22"/>
                <w:szCs w:val="22"/>
              </w:rPr>
            </w:pPr>
            <w:r>
              <w:rPr>
                <w:sz w:val="22"/>
                <w:szCs w:val="22"/>
              </w:rPr>
              <w:t>Reducing consumption of electricity an</w:t>
            </w:r>
            <w:r w:rsidR="00DB6589">
              <w:rPr>
                <w:sz w:val="22"/>
                <w:szCs w:val="22"/>
              </w:rPr>
              <w:t>d/or</w:t>
            </w:r>
            <w:r>
              <w:rPr>
                <w:sz w:val="22"/>
                <w:szCs w:val="22"/>
              </w:rPr>
              <w:t xml:space="preserve"> heat</w:t>
            </w:r>
          </w:p>
          <w:p w:rsidR="00252B38" w:rsidRDefault="008C6885">
            <w:pPr>
              <w:numPr>
                <w:ilvl w:val="0"/>
                <w:numId w:val="4"/>
              </w:numPr>
              <w:ind w:left="176" w:hanging="142"/>
              <w:jc w:val="both"/>
              <w:rPr>
                <w:sz w:val="22"/>
                <w:szCs w:val="22"/>
              </w:rPr>
            </w:pPr>
            <w:r>
              <w:rPr>
                <w:sz w:val="22"/>
                <w:szCs w:val="22"/>
              </w:rPr>
              <w:t>Reducing consumption of fuel, raw material, hazarduos substances;</w:t>
            </w:r>
          </w:p>
          <w:p w:rsidR="00252B38" w:rsidRDefault="008C6885">
            <w:pPr>
              <w:numPr>
                <w:ilvl w:val="0"/>
                <w:numId w:val="4"/>
              </w:numPr>
              <w:ind w:left="176" w:hanging="142"/>
              <w:jc w:val="both"/>
              <w:rPr>
                <w:sz w:val="22"/>
                <w:szCs w:val="22"/>
              </w:rPr>
            </w:pPr>
            <w:r>
              <w:rPr>
                <w:sz w:val="22"/>
                <w:szCs w:val="22"/>
              </w:rPr>
              <w:t>Energy efficient equipments;</w:t>
            </w:r>
          </w:p>
          <w:p w:rsidR="00252B38" w:rsidRDefault="008C6885">
            <w:pPr>
              <w:numPr>
                <w:ilvl w:val="0"/>
                <w:numId w:val="4"/>
              </w:numPr>
              <w:ind w:left="176" w:hanging="142"/>
              <w:jc w:val="both"/>
              <w:rPr>
                <w:sz w:val="22"/>
                <w:szCs w:val="22"/>
              </w:rPr>
            </w:pPr>
            <w:r>
              <w:rPr>
                <w:sz w:val="22"/>
                <w:szCs w:val="22"/>
              </w:rPr>
              <w:t>.</w:t>
            </w:r>
          </w:p>
        </w:tc>
      </w:tr>
    </w:tbl>
    <w:p w:rsidR="00252B38" w:rsidRDefault="00252B38">
      <w:pPr>
        <w:autoSpaceDE w:val="0"/>
        <w:autoSpaceDN w:val="0"/>
        <w:adjustRightInd w:val="0"/>
        <w:spacing w:before="60" w:after="60" w:line="288" w:lineRule="auto"/>
        <w:ind w:firstLine="720"/>
        <w:contextualSpacing/>
        <w:jc w:val="both"/>
        <w:rPr>
          <w:rFonts w:eastAsia="EUAlbertina-Regular-Identity-H" w:cs="Arial"/>
          <w:lang w:eastAsia="en-US"/>
        </w:rPr>
      </w:pPr>
    </w:p>
    <w:p w:rsidR="00DB6589" w:rsidRDefault="00DB6589" w:rsidP="00DB6589">
      <w:pPr>
        <w:ind w:left="720"/>
        <w:contextualSpacing/>
        <w:rPr>
          <w:rFonts w:eastAsia="EUAlbertina-Regular-Identity-H" w:cs="Arial"/>
          <w:lang w:val="en-GB" w:eastAsia="en-US"/>
        </w:rPr>
      </w:pPr>
      <w:r>
        <w:rPr>
          <w:rFonts w:eastAsia="EUAlbertina-Regular-Identity-H" w:cs="Arial"/>
          <w:lang w:val="en-GB" w:eastAsia="en-US"/>
        </w:rPr>
        <w:t>The following observations were made i</w:t>
      </w:r>
      <w:r w:rsidRPr="002E01ED">
        <w:rPr>
          <w:rFonts w:eastAsia="EUAlbertina-Regular-Identity-H" w:cs="Arial"/>
          <w:lang w:val="en-GB" w:eastAsia="en-US"/>
        </w:rPr>
        <w:t xml:space="preserve">n the </w:t>
      </w:r>
      <w:r>
        <w:rPr>
          <w:rFonts w:eastAsia="EUAlbertina-Regular-Identity-H" w:cs="Arial"/>
          <w:lang w:val="en-GB" w:eastAsia="en-US"/>
        </w:rPr>
        <w:t>framework of the SEA procedure so as to minimize the impact of certain activities on the environment:</w:t>
      </w:r>
    </w:p>
    <w:p w:rsidR="00DB6589" w:rsidRDefault="00DB6589" w:rsidP="00DB6589">
      <w:pPr>
        <w:ind w:left="720"/>
        <w:contextualSpacing/>
        <w:rPr>
          <w:rFonts w:eastAsia="EUAlbertina-Regular-Identity-H" w:cs="Arial"/>
          <w:lang w:val="en-GB" w:eastAsia="en-US"/>
        </w:rPr>
      </w:pPr>
    </w:p>
    <w:tbl>
      <w:tblPr>
        <w:tblpPr w:leftFromText="180" w:rightFromText="180" w:vertAnchor="text" w:horzAnchor="margin" w:tblpY="16"/>
        <w:tblW w:w="1007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440"/>
        <w:gridCol w:w="7635"/>
      </w:tblGrid>
      <w:tr w:rsidR="00DB6589" w:rsidTr="003A3416">
        <w:trPr>
          <w:trHeight w:val="816"/>
          <w:tblCellSpacing w:w="0" w:type="dxa"/>
        </w:trPr>
        <w:tc>
          <w:tcPr>
            <w:tcW w:w="2440" w:type="dxa"/>
            <w:vAlign w:val="center"/>
          </w:tcPr>
          <w:p w:rsidR="00DB6589" w:rsidRDefault="00DB6589" w:rsidP="003A3416">
            <w:pPr>
              <w:ind w:left="142"/>
              <w:jc w:val="center"/>
              <w:rPr>
                <w:rFonts w:cs="Arial"/>
                <w:b/>
                <w:sz w:val="22"/>
                <w:szCs w:val="22"/>
              </w:rPr>
            </w:pPr>
            <w:r>
              <w:rPr>
                <w:rFonts w:cs="Arial"/>
                <w:b/>
                <w:sz w:val="22"/>
                <w:szCs w:val="22"/>
              </w:rPr>
              <w:t>Relevant authority</w:t>
            </w:r>
          </w:p>
        </w:tc>
        <w:tc>
          <w:tcPr>
            <w:tcW w:w="7635" w:type="dxa"/>
            <w:vAlign w:val="center"/>
          </w:tcPr>
          <w:p w:rsidR="00DB6589" w:rsidRDefault="00DB6589" w:rsidP="003A3416">
            <w:pPr>
              <w:ind w:left="127"/>
              <w:rPr>
                <w:rFonts w:cs="Arial"/>
                <w:sz w:val="22"/>
                <w:szCs w:val="22"/>
              </w:rPr>
            </w:pPr>
            <w:r>
              <w:rPr>
                <w:rFonts w:cs="Arial"/>
                <w:b/>
                <w:bCs/>
                <w:sz w:val="22"/>
                <w:szCs w:val="22"/>
              </w:rPr>
              <w:t>Comment/reccommendation</w:t>
            </w:r>
          </w:p>
        </w:tc>
      </w:tr>
      <w:tr w:rsidR="00DB6589" w:rsidTr="003A3416">
        <w:trPr>
          <w:trHeight w:val="816"/>
          <w:tblCellSpacing w:w="0" w:type="dxa"/>
        </w:trPr>
        <w:tc>
          <w:tcPr>
            <w:tcW w:w="2440" w:type="dxa"/>
            <w:vAlign w:val="center"/>
          </w:tcPr>
          <w:p w:rsidR="00DB6589" w:rsidRDefault="00DB6589" w:rsidP="003A3416">
            <w:pPr>
              <w:ind w:left="142"/>
              <w:jc w:val="center"/>
              <w:rPr>
                <w:rFonts w:cs="Arial"/>
                <w:b/>
                <w:sz w:val="22"/>
                <w:szCs w:val="22"/>
              </w:rPr>
            </w:pPr>
            <w:r>
              <w:rPr>
                <w:rFonts w:cs="Arial"/>
                <w:b/>
                <w:sz w:val="22"/>
                <w:szCs w:val="22"/>
              </w:rPr>
              <w:t>Ministry of Culture of Romania</w:t>
            </w:r>
          </w:p>
        </w:tc>
        <w:tc>
          <w:tcPr>
            <w:tcW w:w="7635" w:type="dxa"/>
          </w:tcPr>
          <w:p w:rsidR="00DB6589" w:rsidRDefault="00DB6589" w:rsidP="003A3416">
            <w:pPr>
              <w:ind w:left="127"/>
              <w:rPr>
                <w:rFonts w:cs="Arial"/>
                <w:sz w:val="22"/>
                <w:szCs w:val="22"/>
              </w:rPr>
            </w:pPr>
            <w:r>
              <w:rPr>
                <w:rFonts w:cs="Arial"/>
                <w:sz w:val="22"/>
                <w:szCs w:val="22"/>
              </w:rPr>
              <w:t xml:space="preserve">To introduce „archaelogical sites” in the indicative activity </w:t>
            </w:r>
            <w:r w:rsidR="0050645C">
              <w:rPr>
                <w:rFonts w:cs="Arial"/>
                <w:sz w:val="22"/>
                <w:szCs w:val="22"/>
              </w:rPr>
              <w:t xml:space="preserve">with possible impact on the environment under Priority 2.1 </w:t>
            </w:r>
          </w:p>
          <w:p w:rsidR="00DB6589" w:rsidRDefault="00DB6589" w:rsidP="003A3416">
            <w:pPr>
              <w:ind w:left="127"/>
              <w:rPr>
                <w:rFonts w:cs="Arial"/>
                <w:sz w:val="22"/>
                <w:szCs w:val="22"/>
              </w:rPr>
            </w:pPr>
          </w:p>
        </w:tc>
      </w:tr>
    </w:tbl>
    <w:p w:rsidR="00DB6589" w:rsidRPr="002E01ED" w:rsidRDefault="00DB6589" w:rsidP="00DB6589">
      <w:pPr>
        <w:ind w:left="720"/>
        <w:contextualSpacing/>
        <w:rPr>
          <w:rFonts w:eastAsia="EUAlbertina-Regular-Identity-H" w:cs="Arial"/>
          <w:lang w:val="en-GB" w:eastAsia="en-US"/>
        </w:rPr>
      </w:pPr>
    </w:p>
    <w:p w:rsidR="00252B38" w:rsidRDefault="00252B38">
      <w:pPr>
        <w:ind w:left="720"/>
        <w:contextualSpacing/>
        <w:rPr>
          <w:rFonts w:eastAsia="EUAlbertina-Regular-Identity-H" w:cs="Arial"/>
          <w:b/>
          <w:lang w:val="en-GB" w:eastAsia="en-US"/>
        </w:rPr>
      </w:pPr>
    </w:p>
    <w:p w:rsidR="00252B38" w:rsidRDefault="00252B38">
      <w:pPr>
        <w:ind w:left="720"/>
        <w:contextualSpacing/>
        <w:rPr>
          <w:rFonts w:eastAsia="EUAlbertina-Regular-Identity-H" w:cs="Arial"/>
          <w:b/>
          <w:lang w:val="en-GB" w:eastAsia="en-US"/>
        </w:rPr>
      </w:pPr>
    </w:p>
    <w:p w:rsidR="00252B38" w:rsidRDefault="00252B38">
      <w:pPr>
        <w:autoSpaceDE w:val="0"/>
        <w:autoSpaceDN w:val="0"/>
        <w:adjustRightInd w:val="0"/>
        <w:spacing w:before="60" w:after="60" w:line="288" w:lineRule="auto"/>
        <w:contextualSpacing/>
        <w:jc w:val="both"/>
        <w:rPr>
          <w:rFonts w:eastAsia="EUAlbertina-Regular-Identity-H" w:cs="Arial"/>
          <w:b/>
          <w:lang w:val="en-GB" w:eastAsia="en-US"/>
        </w:rPr>
      </w:pPr>
    </w:p>
    <w:p w:rsidR="0050645C" w:rsidRDefault="0050645C">
      <w:pPr>
        <w:autoSpaceDE w:val="0"/>
        <w:autoSpaceDN w:val="0"/>
        <w:adjustRightInd w:val="0"/>
        <w:spacing w:before="60" w:after="60" w:line="288" w:lineRule="auto"/>
        <w:contextualSpacing/>
        <w:jc w:val="both"/>
        <w:rPr>
          <w:rFonts w:eastAsia="EUAlbertina-Regular-Identity-H" w:cs="Arial"/>
          <w:b/>
          <w:lang w:val="en-GB" w:eastAsia="en-US"/>
        </w:rPr>
      </w:pPr>
    </w:p>
    <w:p w:rsidR="0050645C" w:rsidRDefault="0050645C">
      <w:pPr>
        <w:autoSpaceDE w:val="0"/>
        <w:autoSpaceDN w:val="0"/>
        <w:adjustRightInd w:val="0"/>
        <w:spacing w:before="60" w:after="60" w:line="288" w:lineRule="auto"/>
        <w:contextualSpacing/>
        <w:jc w:val="both"/>
        <w:rPr>
          <w:rFonts w:eastAsia="EUAlbertina-Regular-Identity-H" w:cs="Arial"/>
          <w:b/>
          <w:lang w:val="en-GB" w:eastAsia="en-US"/>
        </w:rPr>
      </w:pPr>
    </w:p>
    <w:p w:rsidR="0050645C" w:rsidRDefault="0050645C">
      <w:pPr>
        <w:autoSpaceDE w:val="0"/>
        <w:autoSpaceDN w:val="0"/>
        <w:adjustRightInd w:val="0"/>
        <w:spacing w:before="60" w:after="60" w:line="288" w:lineRule="auto"/>
        <w:contextualSpacing/>
        <w:jc w:val="both"/>
        <w:rPr>
          <w:rFonts w:eastAsia="EUAlbertina-Regular-Identity-H" w:cs="Arial"/>
          <w:b/>
          <w:lang w:val="en-GB" w:eastAsia="en-US"/>
        </w:rPr>
      </w:pPr>
    </w:p>
    <w:p w:rsidR="0050645C" w:rsidRDefault="0050645C">
      <w:pPr>
        <w:autoSpaceDE w:val="0"/>
        <w:autoSpaceDN w:val="0"/>
        <w:adjustRightInd w:val="0"/>
        <w:spacing w:before="60" w:after="60" w:line="288" w:lineRule="auto"/>
        <w:contextualSpacing/>
        <w:jc w:val="both"/>
        <w:rPr>
          <w:rFonts w:eastAsia="EUAlbertina-Regular-Identity-H" w:cs="Arial"/>
          <w:b/>
          <w:lang w:val="en-GB" w:eastAsia="en-US"/>
        </w:rPr>
      </w:pPr>
    </w:p>
    <w:p w:rsidR="0050645C" w:rsidRDefault="0050645C">
      <w:pPr>
        <w:autoSpaceDE w:val="0"/>
        <w:autoSpaceDN w:val="0"/>
        <w:adjustRightInd w:val="0"/>
        <w:spacing w:before="60" w:after="60" w:line="288" w:lineRule="auto"/>
        <w:contextualSpacing/>
        <w:jc w:val="both"/>
        <w:rPr>
          <w:rFonts w:eastAsia="EUAlbertina-Regular-Identity-H" w:cs="Arial"/>
          <w:b/>
          <w:lang w:val="en-GB" w:eastAsia="en-US"/>
        </w:rPr>
      </w:pPr>
    </w:p>
    <w:p w:rsidR="00252B38" w:rsidRDefault="008C6885">
      <w:pPr>
        <w:pStyle w:val="Title"/>
        <w:numPr>
          <w:ilvl w:val="0"/>
          <w:numId w:val="6"/>
        </w:numPr>
        <w:autoSpaceDE w:val="0"/>
        <w:autoSpaceDN w:val="0"/>
        <w:adjustRightInd w:val="0"/>
        <w:spacing w:before="60" w:line="288" w:lineRule="auto"/>
        <w:contextualSpacing/>
        <w:jc w:val="both"/>
        <w:rPr>
          <w:rFonts w:eastAsia="EUAlbertina-Regular-Identity-H" w:cs="Arial"/>
          <w:lang w:val="en-GB" w:eastAsia="en-US"/>
        </w:rPr>
      </w:pPr>
      <w:bookmarkStart w:id="177" w:name="_Toc419704939"/>
      <w:r>
        <w:rPr>
          <w:rFonts w:ascii="Arial" w:hAnsi="Arial" w:cs="Arial"/>
          <w:sz w:val="24"/>
          <w:szCs w:val="24"/>
          <w:lang w:val="en-GB"/>
        </w:rPr>
        <w:t>THE REASONS FOR SELECTING THE ALTERNATIVES DEALT WITH, AND A DESCRIPTION OF HOW THE ASSESSMENT WAS UNDERTAKEN INCLUDING ANY DIFFICULTIES (SUCH AS TECHNICAL DEFICIENCIES OR LACK OF KNOW-HOW) ENCOUNTERED IN COMPILING THE REQUIRED INFORMATION</w:t>
      </w:r>
      <w:bookmarkEnd w:id="177"/>
    </w:p>
    <w:p w:rsidR="00252B38" w:rsidRDefault="008C6885">
      <w:pPr>
        <w:pStyle w:val="Heading1"/>
        <w:rPr>
          <w:rFonts w:ascii="Arial" w:eastAsia="EUAlbertina-Regular-Identity-H" w:hAnsi="Arial" w:cs="Arial"/>
          <w:sz w:val="24"/>
          <w:szCs w:val="24"/>
          <w:lang w:val="en-GB" w:eastAsia="en-US"/>
        </w:rPr>
      </w:pPr>
      <w:bookmarkStart w:id="178" w:name="_Toc419704940"/>
      <w:r>
        <w:rPr>
          <w:rFonts w:ascii="Arial" w:eastAsia="EUAlbertina-Regular-Identity-H" w:hAnsi="Arial" w:cs="Arial"/>
          <w:sz w:val="24"/>
          <w:szCs w:val="24"/>
          <w:lang w:val="en-GB" w:eastAsia="en-US"/>
        </w:rPr>
        <w:t>9.1 Selection of the Programme Ro-Ua</w:t>
      </w:r>
      <w:r>
        <w:rPr>
          <w:rFonts w:ascii="Arial" w:eastAsia="EUAlbertina-Regular-Identity-H" w:hAnsi="Arial" w:cs="Arial"/>
          <w:b w:val="0"/>
          <w:bCs w:val="0"/>
          <w:kern w:val="0"/>
          <w:sz w:val="24"/>
          <w:szCs w:val="24"/>
          <w:lang w:val="en-GB" w:eastAsia="en-US"/>
        </w:rPr>
        <w:t xml:space="preserve"> </w:t>
      </w:r>
      <w:r>
        <w:rPr>
          <w:rFonts w:ascii="Arial" w:eastAsia="EUAlbertina-Regular-Identity-H" w:hAnsi="Arial" w:cs="Arial"/>
          <w:sz w:val="24"/>
          <w:szCs w:val="24"/>
          <w:lang w:val="en-GB" w:eastAsia="en-US"/>
        </w:rPr>
        <w:t>alternatives</w:t>
      </w:r>
      <w:bookmarkEnd w:id="178"/>
    </w:p>
    <w:p w:rsidR="00252B38" w:rsidRDefault="00252B38">
      <w:pPr>
        <w:rPr>
          <w:rFonts w:eastAsia="EUAlbertina-Regular-Identity-H"/>
          <w:lang w:val="en-GB" w:eastAsia="en-US"/>
        </w:rPr>
      </w:pPr>
    </w:p>
    <w:p w:rsidR="00252B38" w:rsidRDefault="008C6885">
      <w:pPr>
        <w:autoSpaceDE w:val="0"/>
        <w:autoSpaceDN w:val="0"/>
        <w:adjustRightInd w:val="0"/>
        <w:spacing w:before="60" w:after="60" w:line="288" w:lineRule="auto"/>
        <w:ind w:firstLine="720"/>
        <w:contextualSpacing/>
        <w:jc w:val="both"/>
        <w:rPr>
          <w:rFonts w:eastAsia="EUAlbertina-Regular-Identity-H" w:cs="Arial"/>
          <w:lang w:val="en-GB" w:eastAsia="en-US"/>
        </w:rPr>
      </w:pPr>
      <w:r>
        <w:rPr>
          <w:rFonts w:eastAsia="EUAlbertina-Regular-Identity-H" w:cs="Arial"/>
          <w:lang w:val="en-GB" w:eastAsia="en-US"/>
        </w:rPr>
        <w:t>The alternatives analysed for the Joint Operational Programme Romania – Ukraine for period 2014 ÷ 2020 are presented below:</w:t>
      </w:r>
    </w:p>
    <w:p w:rsidR="00252B38" w:rsidRDefault="008C6885">
      <w:pPr>
        <w:autoSpaceDE w:val="0"/>
        <w:autoSpaceDN w:val="0"/>
        <w:adjustRightInd w:val="0"/>
        <w:spacing w:before="60" w:after="60" w:line="288" w:lineRule="auto"/>
        <w:contextualSpacing/>
        <w:jc w:val="both"/>
        <w:rPr>
          <w:rFonts w:eastAsia="EUAlbertina-Regular-Identity-H" w:cs="Arial"/>
          <w:lang w:val="en-GB" w:eastAsia="en-US"/>
        </w:rPr>
      </w:pPr>
      <w:r>
        <w:rPr>
          <w:rFonts w:eastAsia="EUAlbertina-Regular-Identity-H" w:cs="Arial"/>
          <w:b/>
          <w:lang w:val="en-GB" w:eastAsia="en-US"/>
        </w:rPr>
        <w:t xml:space="preserve">Alternative 0:  </w:t>
      </w:r>
      <w:r>
        <w:rPr>
          <w:rFonts w:eastAsia="EUAlbertina-Regular-Identity-H" w:cs="Arial"/>
          <w:lang w:val="en-GB" w:eastAsia="en-US"/>
        </w:rPr>
        <w:t>The</w:t>
      </w:r>
      <w:r>
        <w:rPr>
          <w:rFonts w:eastAsia="EUAlbertina-Regular-Identity-H" w:cs="Arial"/>
          <w:b/>
          <w:lang w:val="en-GB" w:eastAsia="en-US"/>
        </w:rPr>
        <w:t xml:space="preserve"> </w:t>
      </w:r>
      <w:r>
        <w:rPr>
          <w:rFonts w:eastAsia="EUAlbertina-Regular-Identity-H" w:cs="Arial"/>
          <w:lang w:val="en-GB" w:eastAsia="en-US"/>
        </w:rPr>
        <w:t>Programme is not implemented;</w:t>
      </w:r>
    </w:p>
    <w:p w:rsidR="0050645C" w:rsidRDefault="008C6885">
      <w:pPr>
        <w:autoSpaceDE w:val="0"/>
        <w:autoSpaceDN w:val="0"/>
        <w:adjustRightInd w:val="0"/>
        <w:spacing w:before="60" w:after="60" w:line="288" w:lineRule="auto"/>
        <w:ind w:firstLine="720"/>
        <w:contextualSpacing/>
        <w:jc w:val="both"/>
        <w:rPr>
          <w:lang w:val="en-GB"/>
        </w:rPr>
      </w:pPr>
      <w:r>
        <w:rPr>
          <w:rFonts w:eastAsia="EUAlbertina-Regular-Identity-H" w:cs="Arial"/>
          <w:b/>
          <w:lang w:val="en-GB" w:eastAsia="en-US"/>
        </w:rPr>
        <w:t xml:space="preserve">Alternative 1: </w:t>
      </w:r>
      <w:r>
        <w:rPr>
          <w:rFonts w:eastAsia="EUAlbertina-Regular-Identity-H" w:cs="Arial"/>
          <w:lang w:val="en-GB" w:eastAsia="en-US"/>
        </w:rPr>
        <w:t>Implementation of the Ro-Ua Programme 2014 ÷ 2020 with the following thematic objectives</w:t>
      </w:r>
      <w:r w:rsidR="0050645C">
        <w:rPr>
          <w:lang w:val="en-GB"/>
        </w:rPr>
        <w:t>:</w:t>
      </w:r>
    </w:p>
    <w:p w:rsidR="00252B38" w:rsidRDefault="00252B38">
      <w:pPr>
        <w:autoSpaceDE w:val="0"/>
        <w:autoSpaceDN w:val="0"/>
        <w:adjustRightInd w:val="0"/>
        <w:spacing w:before="60" w:after="60" w:line="288" w:lineRule="auto"/>
        <w:ind w:firstLine="720"/>
        <w:contextualSpacing/>
        <w:jc w:val="both"/>
        <w:rPr>
          <w:lang w:val="en-GB"/>
        </w:rPr>
      </w:pPr>
    </w:p>
    <w:p w:rsidR="00252B38" w:rsidRDefault="008C6885">
      <w:pPr>
        <w:spacing w:before="60" w:after="60" w:line="288" w:lineRule="auto"/>
        <w:jc w:val="both"/>
        <w:rPr>
          <w:b/>
          <w:i/>
          <w:u w:val="single"/>
          <w:lang w:val="en-GB"/>
        </w:rPr>
      </w:pPr>
      <w:r>
        <w:rPr>
          <w:b/>
          <w:lang w:val="en-GB"/>
        </w:rPr>
        <w:t>TO2 - SUPPORT TO EDUCATION, RESEARCH, TECHNOLOGICAL DEVELOPMENT &amp; INNOVATION</w:t>
      </w:r>
    </w:p>
    <w:p w:rsidR="0050645C" w:rsidRPr="0050645C" w:rsidRDefault="008C6885" w:rsidP="002E01ED">
      <w:pPr>
        <w:pStyle w:val="ListBullet"/>
        <w:rPr>
          <w:rFonts w:ascii="Times New Roman" w:hAnsi="Times New Roman"/>
          <w:i/>
          <w:sz w:val="22"/>
          <w:szCs w:val="22"/>
        </w:rPr>
      </w:pPr>
      <w:r>
        <w:rPr>
          <w:b/>
          <w:bCs/>
          <w:i/>
          <w:iCs/>
        </w:rPr>
        <w:t xml:space="preserve">Objective 1:  </w:t>
      </w:r>
      <w:r w:rsidR="0050645C" w:rsidRPr="002E01ED">
        <w:rPr>
          <w:rFonts w:ascii="Arial" w:hAnsi="Arial" w:cs="Arial"/>
          <w:i/>
        </w:rPr>
        <w:t>Develop education and support research and innovation at the level of the Programme area by facilitating the cooperation at local, regional and central level</w:t>
      </w:r>
      <w:r w:rsidR="0050645C" w:rsidRPr="001739C9">
        <w:rPr>
          <w:rFonts w:ascii="Times New Roman" w:hAnsi="Times New Roman" w:cs="Times New Roman"/>
          <w:i/>
          <w:sz w:val="22"/>
          <w:szCs w:val="22"/>
        </w:rPr>
        <w:t xml:space="preserve"> </w:t>
      </w:r>
    </w:p>
    <w:p w:rsidR="00252B38" w:rsidRDefault="00252B38">
      <w:pPr>
        <w:spacing w:before="60" w:after="60" w:line="288" w:lineRule="auto"/>
        <w:jc w:val="both"/>
        <w:rPr>
          <w:b/>
          <w:bCs/>
          <w:iCs/>
          <w:lang w:val="en-GB"/>
        </w:rPr>
      </w:pPr>
    </w:p>
    <w:p w:rsidR="00252B38" w:rsidRDefault="008C6885">
      <w:pPr>
        <w:spacing w:before="60" w:after="60" w:line="288" w:lineRule="auto"/>
        <w:jc w:val="both"/>
        <w:rPr>
          <w:b/>
          <w:lang w:val="en-GB"/>
        </w:rPr>
      </w:pPr>
      <w:r>
        <w:rPr>
          <w:b/>
          <w:bCs/>
          <w:iCs/>
          <w:lang w:val="en-GB"/>
        </w:rPr>
        <w:t xml:space="preserve">Priority 1.1 – Institutional cooperation in the educational field for increasing access to education and quality of education </w:t>
      </w:r>
    </w:p>
    <w:p w:rsidR="00252B38" w:rsidRDefault="008C6885">
      <w:pPr>
        <w:spacing w:before="60" w:after="60" w:line="288" w:lineRule="auto"/>
        <w:jc w:val="both"/>
        <w:rPr>
          <w:b/>
          <w:i/>
          <w:lang w:val="en-GB"/>
        </w:rPr>
      </w:pPr>
      <w:r>
        <w:rPr>
          <w:b/>
          <w:i/>
          <w:lang w:val="en-GB"/>
        </w:rPr>
        <w:t>Justification:</w:t>
      </w:r>
    </w:p>
    <w:p w:rsidR="00252B38" w:rsidRDefault="008C6885">
      <w:pPr>
        <w:spacing w:before="60" w:after="60" w:line="288" w:lineRule="auto"/>
        <w:ind w:firstLine="720"/>
        <w:jc w:val="both"/>
        <w:rPr>
          <w:b/>
          <w:i/>
          <w:lang w:val="en-GB"/>
        </w:rPr>
      </w:pPr>
      <w:r>
        <w:rPr>
          <w:lang w:val="en-GB"/>
        </w:rPr>
        <w:t xml:space="preserve">The development of the education sector is strongly supported as a key area for intervention in the programme area. The main issues of the area in regards to education are related to early school leaving, poor accessibility to the educational infrastructure in rural areas, support for disadvantaged groups as well as low investments in educational infrastructure and trainings for teachers. </w:t>
      </w:r>
    </w:p>
    <w:p w:rsidR="00252B38" w:rsidRDefault="008C6885">
      <w:pPr>
        <w:spacing w:before="60" w:after="60" w:line="288" w:lineRule="auto"/>
        <w:jc w:val="both"/>
        <w:rPr>
          <w:lang w:val="en-GB"/>
        </w:rPr>
      </w:pPr>
      <w:r>
        <w:rPr>
          <w:b/>
          <w:i/>
          <w:lang w:val="en-GB"/>
        </w:rPr>
        <w:t> </w:t>
      </w:r>
    </w:p>
    <w:p w:rsidR="00252B38" w:rsidRDefault="008C6885">
      <w:pPr>
        <w:spacing w:before="60" w:after="60" w:line="288" w:lineRule="auto"/>
        <w:jc w:val="both"/>
        <w:rPr>
          <w:b/>
          <w:bCs/>
          <w:iCs/>
          <w:lang w:val="en-GB"/>
        </w:rPr>
      </w:pPr>
      <w:r>
        <w:rPr>
          <w:b/>
          <w:bCs/>
          <w:iCs/>
          <w:lang w:val="en-GB"/>
        </w:rPr>
        <w:t>Priority 1.2 – Promotion and support to research and innovation</w:t>
      </w:r>
    </w:p>
    <w:p w:rsidR="00252B38" w:rsidRDefault="008C6885">
      <w:pPr>
        <w:spacing w:before="60" w:after="60" w:line="288" w:lineRule="auto"/>
        <w:jc w:val="both"/>
        <w:rPr>
          <w:b/>
          <w:i/>
          <w:lang w:val="en-GB"/>
        </w:rPr>
      </w:pPr>
      <w:r>
        <w:rPr>
          <w:b/>
          <w:i/>
          <w:lang w:val="en-GB"/>
        </w:rPr>
        <w:t>Justification:</w:t>
      </w:r>
    </w:p>
    <w:p w:rsidR="00252B38" w:rsidRDefault="008C6885">
      <w:pPr>
        <w:spacing w:before="60" w:after="60" w:line="288" w:lineRule="auto"/>
        <w:jc w:val="both"/>
        <w:rPr>
          <w:lang w:val="en-GB"/>
        </w:rPr>
      </w:pPr>
      <w:r>
        <w:rPr>
          <w:lang w:val="en-GB"/>
        </w:rPr>
        <w:t xml:space="preserve">One of the underdeveloped fields in the programme area is research and development (R&amp;D). The level of investment in this field is very low, although there is potential for its growth. There are a number of urban centres where R&amp;D activities are carried out that can be correlated with the level of the expenditures in R&amp;D, the number of employees in the field, and the localization and number of tertiary level educational institutions, e.g. Odessa, Chernivtsi, Tulcea,  Suceava. Building on existing centres and the general economic profile of the core eligible area there is a strong opportunity for positive outcomes for R&amp;D that can be further enhanced through joint cross border activities. </w:t>
      </w:r>
    </w:p>
    <w:p w:rsidR="00252B38" w:rsidRDefault="00252B38">
      <w:pPr>
        <w:spacing w:before="60" w:after="60" w:line="288" w:lineRule="auto"/>
        <w:jc w:val="both"/>
        <w:rPr>
          <w:b/>
          <w:lang w:val="en-GB"/>
        </w:rPr>
      </w:pPr>
    </w:p>
    <w:p w:rsidR="00252B38" w:rsidRDefault="008C6885">
      <w:pPr>
        <w:spacing w:before="60" w:after="60" w:line="288" w:lineRule="auto"/>
        <w:jc w:val="both"/>
        <w:rPr>
          <w:b/>
          <w:lang w:val="en-GB"/>
        </w:rPr>
      </w:pPr>
      <w:r>
        <w:rPr>
          <w:b/>
          <w:lang w:val="en-GB"/>
        </w:rPr>
        <w:t>TO 3. PROMOTION OF THE LOCAL CULTURE AND PRESERVATION OF HISTORICAL HERITAGE</w:t>
      </w:r>
    </w:p>
    <w:p w:rsidR="006835E6" w:rsidRPr="006835E6" w:rsidRDefault="008C6885" w:rsidP="002E01ED">
      <w:pPr>
        <w:pStyle w:val="ListBullet"/>
        <w:rPr>
          <w:rFonts w:ascii="Times New Roman" w:hAnsi="Times New Roman"/>
          <w:bCs/>
          <w:i/>
          <w:sz w:val="22"/>
          <w:szCs w:val="22"/>
        </w:rPr>
      </w:pPr>
      <w:r>
        <w:rPr>
          <w:b/>
          <w:bCs/>
          <w:iCs/>
        </w:rPr>
        <w:t xml:space="preserve">Objective 2:  </w:t>
      </w:r>
      <w:r w:rsidR="006835E6" w:rsidRPr="002E01ED">
        <w:rPr>
          <w:rFonts w:ascii="Arial" w:hAnsi="Arial" w:cs="Arial"/>
          <w:bCs/>
          <w:i/>
        </w:rPr>
        <w:t xml:space="preserve">Preservation of the cultural and historical heritage in the eligible area, support the developing of local culture, specific cultural identities and the cultural dialog contributing to </w:t>
      </w:r>
      <w:r w:rsidR="006835E6" w:rsidRPr="002E01ED">
        <w:rPr>
          <w:rFonts w:ascii="Arial" w:hAnsi="Arial" w:cs="Arial"/>
          <w:bCs/>
          <w:i/>
        </w:rPr>
        <w:lastRenderedPageBreak/>
        <w:t xml:space="preserve">an enhanced attractiveness of the eligible area. </w:t>
      </w:r>
    </w:p>
    <w:p w:rsidR="00252B38" w:rsidRDefault="00252B38">
      <w:pPr>
        <w:spacing w:before="60" w:after="60" w:line="288" w:lineRule="auto"/>
        <w:jc w:val="both"/>
        <w:rPr>
          <w:bCs/>
          <w:i/>
          <w:lang w:val="en-GB"/>
        </w:rPr>
      </w:pPr>
    </w:p>
    <w:p w:rsidR="00252B38" w:rsidRDefault="00252B38">
      <w:pPr>
        <w:spacing w:before="60" w:after="60" w:line="288" w:lineRule="auto"/>
        <w:jc w:val="both"/>
        <w:rPr>
          <w:b/>
          <w:bCs/>
          <w:lang w:val="en-GB"/>
        </w:rPr>
      </w:pPr>
    </w:p>
    <w:p w:rsidR="00252B38" w:rsidRDefault="008C6885">
      <w:pPr>
        <w:spacing w:before="60" w:after="60" w:line="288" w:lineRule="auto"/>
        <w:jc w:val="both"/>
        <w:rPr>
          <w:b/>
          <w:bCs/>
          <w:lang w:val="en-GB"/>
        </w:rPr>
      </w:pPr>
      <w:r>
        <w:rPr>
          <w:b/>
          <w:bCs/>
          <w:lang w:val="en-GB"/>
        </w:rPr>
        <w:t xml:space="preserve">Priority 2.1 – Preservation and promotion of the cultural and historical heritage  </w:t>
      </w:r>
    </w:p>
    <w:p w:rsidR="00252B38" w:rsidRDefault="008C6885">
      <w:pPr>
        <w:spacing w:before="60" w:after="60" w:line="288" w:lineRule="auto"/>
        <w:jc w:val="both"/>
        <w:rPr>
          <w:b/>
          <w:i/>
          <w:lang w:val="en-GB"/>
        </w:rPr>
      </w:pPr>
      <w:r>
        <w:rPr>
          <w:b/>
          <w:i/>
          <w:lang w:val="en-GB"/>
        </w:rPr>
        <w:t>Justification:</w:t>
      </w:r>
    </w:p>
    <w:p w:rsidR="00252B38" w:rsidRDefault="008C6885">
      <w:pPr>
        <w:spacing w:before="60" w:after="60" w:line="288" w:lineRule="auto"/>
        <w:ind w:firstLine="567"/>
        <w:jc w:val="both"/>
        <w:rPr>
          <w:lang w:val="en-GB"/>
        </w:rPr>
      </w:pPr>
      <w:r>
        <w:rPr>
          <w:lang w:val="en-GB"/>
        </w:rPr>
        <w:t xml:space="preserve">The two sub-national eligible areas share commonalities in terms of cultural heritage due to historic evolution and have a long-standing tradition in multi-ethnic cohabitation and multiculturalism. Despite the fact that there is a high concentration of natural and historical sites and natural protected areas, the eligible area registered low level of investments in touristic and cultural facilities.  </w:t>
      </w:r>
    </w:p>
    <w:p w:rsidR="00252B38" w:rsidRDefault="008C6885">
      <w:pPr>
        <w:spacing w:before="60" w:after="60" w:line="288" w:lineRule="auto"/>
        <w:jc w:val="both"/>
        <w:rPr>
          <w:lang w:val="en-GB"/>
        </w:rPr>
      </w:pPr>
      <w:r>
        <w:rPr>
          <w:lang w:val="en-GB"/>
        </w:rPr>
        <w:t xml:space="preserve">The cultural infrastructure is developed but poorly financially supported. It includes museums, libraries, theatres and other cultural institutions. This priority aims to facilitate investments in historical heritage and local culture through joint projects and to improve the touristic potential of the cross border area. </w:t>
      </w:r>
    </w:p>
    <w:p w:rsidR="00252B38" w:rsidRDefault="00252B38">
      <w:pPr>
        <w:spacing w:before="60" w:after="60" w:line="288" w:lineRule="auto"/>
        <w:jc w:val="both"/>
        <w:rPr>
          <w:lang w:val="en-GB"/>
        </w:rPr>
      </w:pPr>
    </w:p>
    <w:p w:rsidR="00252B38" w:rsidRDefault="008C6885">
      <w:pPr>
        <w:spacing w:before="60" w:after="60" w:line="288" w:lineRule="auto"/>
        <w:jc w:val="both"/>
        <w:rPr>
          <w:b/>
          <w:lang w:val="en-GB"/>
        </w:rPr>
      </w:pPr>
      <w:r>
        <w:rPr>
          <w:b/>
          <w:lang w:val="en-GB"/>
        </w:rPr>
        <w:t>TO7. IMPROVEMENT OF ACCESSIBILITY TO THE REGIONS, DEVELOPMENT OF TRANSPORT AND COMMON NETWORKS AND SYSTEMS</w:t>
      </w:r>
    </w:p>
    <w:p w:rsidR="00252B38" w:rsidRDefault="008C6885">
      <w:pPr>
        <w:spacing w:before="60" w:after="60" w:line="288" w:lineRule="auto"/>
        <w:jc w:val="both"/>
        <w:rPr>
          <w:i/>
          <w:lang w:val="en-GB"/>
        </w:rPr>
      </w:pPr>
      <w:r>
        <w:rPr>
          <w:b/>
          <w:bCs/>
          <w:i/>
          <w:iCs/>
          <w:lang w:val="en-GB"/>
        </w:rPr>
        <w:t>Objective  3:</w:t>
      </w:r>
      <w:r>
        <w:rPr>
          <w:b/>
          <w:bCs/>
          <w:iCs/>
          <w:lang w:val="en-GB"/>
        </w:rPr>
        <w:t xml:space="preserve">  </w:t>
      </w:r>
      <w:r>
        <w:rPr>
          <w:i/>
          <w:lang w:val="en-GB"/>
        </w:rPr>
        <w:t>Improve public transport services, infrastructure and ITC cooperation and networking</w:t>
      </w:r>
    </w:p>
    <w:p w:rsidR="00252B38" w:rsidRDefault="00252B38">
      <w:pPr>
        <w:spacing w:before="60" w:after="60" w:line="288" w:lineRule="auto"/>
        <w:jc w:val="both"/>
        <w:rPr>
          <w:b/>
          <w:bCs/>
          <w:lang w:val="en-GB"/>
        </w:rPr>
      </w:pPr>
    </w:p>
    <w:p w:rsidR="00252B38" w:rsidRDefault="008C6885">
      <w:pPr>
        <w:spacing w:before="60" w:after="60" w:line="288" w:lineRule="auto"/>
        <w:jc w:val="both"/>
        <w:rPr>
          <w:b/>
          <w:i/>
          <w:lang w:val="en-GB"/>
        </w:rPr>
      </w:pPr>
      <w:r>
        <w:rPr>
          <w:b/>
          <w:bCs/>
          <w:lang w:val="en-GB"/>
        </w:rPr>
        <w:t xml:space="preserve">Priority 3.1 –Development of cross border transport infrastructure and ICT tools </w:t>
      </w:r>
    </w:p>
    <w:p w:rsidR="00252B38" w:rsidRDefault="008C6885">
      <w:pPr>
        <w:spacing w:before="60" w:after="60" w:line="288" w:lineRule="auto"/>
        <w:ind w:left="1080" w:hanging="1080"/>
        <w:jc w:val="both"/>
        <w:rPr>
          <w:b/>
          <w:i/>
          <w:lang w:val="en-GB"/>
        </w:rPr>
      </w:pPr>
      <w:r>
        <w:rPr>
          <w:b/>
          <w:i/>
          <w:lang w:val="en-GB"/>
        </w:rPr>
        <w:t>Justification:</w:t>
      </w:r>
    </w:p>
    <w:p w:rsidR="00252B38" w:rsidRDefault="008C6885">
      <w:pPr>
        <w:spacing w:before="60" w:after="60" w:line="288" w:lineRule="auto"/>
        <w:ind w:firstLine="720"/>
        <w:jc w:val="both"/>
        <w:rPr>
          <w:lang w:val="en-GB"/>
        </w:rPr>
      </w:pPr>
      <w:r>
        <w:rPr>
          <w:lang w:val="en-GB"/>
        </w:rPr>
        <w:t>Transport in the core eligible area is dominated by road and rail. However, regardless of the high density of road and rail networks, their viability is reduced by the poor quality and maintenance of these networks, the lack of modernization projects and of resources. This situation increases travel times significantly and impacts on the transport costs.</w:t>
      </w:r>
    </w:p>
    <w:p w:rsidR="00252B38" w:rsidRDefault="008C6885">
      <w:pPr>
        <w:spacing w:before="60" w:after="60" w:line="288" w:lineRule="auto"/>
        <w:ind w:firstLine="720"/>
        <w:jc w:val="both"/>
        <w:rPr>
          <w:lang w:val="en-GB"/>
        </w:rPr>
      </w:pPr>
      <w:r>
        <w:rPr>
          <w:lang w:val="en-GB"/>
        </w:rPr>
        <w:t xml:space="preserve">Technical differences in terms of rail transport between the two countries (i.e. use of different rail gauge) and limited multi-modal transport capabilities makes cross-border transportation more difficult. However, the eligible area presents high potential for river transport development that should be acknowledged and acted upon. </w:t>
      </w:r>
    </w:p>
    <w:p w:rsidR="00252B38" w:rsidRDefault="00844DB8">
      <w:pPr>
        <w:spacing w:before="60" w:after="60" w:line="288" w:lineRule="auto"/>
        <w:ind w:firstLine="720"/>
        <w:jc w:val="both"/>
        <w:rPr>
          <w:lang w:val="en-GB"/>
        </w:rPr>
      </w:pPr>
      <w:r>
        <w:rPr>
          <w:lang w:val="en-GB"/>
        </w:rPr>
        <w:t>A</w:t>
      </w:r>
      <w:r w:rsidR="008C6885">
        <w:rPr>
          <w:lang w:val="en-GB"/>
        </w:rPr>
        <w:t>ccess levels to broadband Internet and communications infrastructure</w:t>
      </w:r>
      <w:r>
        <w:rPr>
          <w:lang w:val="en-GB"/>
        </w:rPr>
        <w:t xml:space="preserve"> is low,</w:t>
      </w:r>
      <w:r w:rsidR="008C6885">
        <w:rPr>
          <w:lang w:val="en-GB"/>
        </w:rPr>
        <w:t>, especially in the rural areas</w:t>
      </w:r>
      <w:r>
        <w:rPr>
          <w:lang w:val="en-GB"/>
        </w:rPr>
        <w:t>.</w:t>
      </w:r>
    </w:p>
    <w:p w:rsidR="00252B38" w:rsidRDefault="008C6885">
      <w:pPr>
        <w:spacing w:before="60" w:after="60" w:line="288" w:lineRule="auto"/>
        <w:ind w:left="720" w:hanging="720"/>
        <w:jc w:val="both"/>
        <w:rPr>
          <w:b/>
          <w:lang w:val="en-GB"/>
        </w:rPr>
      </w:pPr>
      <w:r>
        <w:rPr>
          <w:b/>
          <w:lang w:val="en-GB"/>
        </w:rPr>
        <w:t>TO 8. Common challenges in the field of safety and security</w:t>
      </w:r>
    </w:p>
    <w:p w:rsidR="00252B38" w:rsidRDefault="008C6885">
      <w:pPr>
        <w:spacing w:before="60" w:after="60" w:line="288" w:lineRule="auto"/>
        <w:jc w:val="both"/>
        <w:rPr>
          <w:i/>
          <w:lang w:val="en-GB"/>
        </w:rPr>
      </w:pPr>
      <w:r>
        <w:rPr>
          <w:b/>
          <w:bCs/>
          <w:iCs/>
          <w:lang w:val="en-GB"/>
        </w:rPr>
        <w:t xml:space="preserve">Objective 4:  </w:t>
      </w:r>
      <w:r>
        <w:rPr>
          <w:i/>
          <w:lang w:val="en-GB"/>
        </w:rPr>
        <w:t>Addressing common challenges in cross-border security, access to health,  management of natural and anthropic risks and emergency situations through joint projects</w:t>
      </w:r>
    </w:p>
    <w:p w:rsidR="00252B38" w:rsidRDefault="00252B38">
      <w:pPr>
        <w:spacing w:before="60" w:after="60" w:line="288" w:lineRule="auto"/>
        <w:jc w:val="both"/>
        <w:rPr>
          <w:b/>
          <w:bCs/>
          <w:iCs/>
          <w:lang w:val="en-GB"/>
        </w:rPr>
      </w:pPr>
    </w:p>
    <w:p w:rsidR="00252B38" w:rsidRPr="00844DB8" w:rsidRDefault="008C6885">
      <w:pPr>
        <w:spacing w:before="60" w:after="60" w:line="288" w:lineRule="auto"/>
        <w:jc w:val="both"/>
        <w:rPr>
          <w:b/>
          <w:bCs/>
          <w:iCs/>
          <w:lang w:val="en-GB"/>
        </w:rPr>
      </w:pPr>
      <w:r w:rsidRPr="00844DB8">
        <w:rPr>
          <w:b/>
          <w:bCs/>
          <w:iCs/>
          <w:lang w:val="en-GB"/>
        </w:rPr>
        <w:t>Priority 4.1 - Support to the development of health services and access to health</w:t>
      </w:r>
    </w:p>
    <w:p w:rsidR="00252B38" w:rsidRDefault="008C6885">
      <w:pPr>
        <w:spacing w:before="60" w:after="60" w:line="288" w:lineRule="auto"/>
        <w:ind w:left="810" w:hanging="810"/>
        <w:jc w:val="both"/>
        <w:rPr>
          <w:b/>
          <w:bCs/>
          <w:i/>
          <w:iCs/>
          <w:lang w:val="en-GB"/>
        </w:rPr>
      </w:pPr>
      <w:r>
        <w:rPr>
          <w:b/>
          <w:bCs/>
          <w:i/>
          <w:iCs/>
          <w:lang w:val="en-GB"/>
        </w:rPr>
        <w:t>Justification:</w:t>
      </w:r>
    </w:p>
    <w:p w:rsidR="00252B38" w:rsidRDefault="008C6885">
      <w:pPr>
        <w:spacing w:before="60" w:after="60" w:line="288" w:lineRule="auto"/>
        <w:ind w:firstLine="720"/>
        <w:jc w:val="both"/>
        <w:rPr>
          <w:bCs/>
          <w:iCs/>
          <w:lang w:val="en-GB"/>
        </w:rPr>
      </w:pPr>
      <w:r>
        <w:rPr>
          <w:bCs/>
          <w:iCs/>
          <w:lang w:val="en-GB"/>
        </w:rPr>
        <w:t xml:space="preserve">The public health system in the programme area faces a number of limitations generated by the low quality of the infrastructure, the accessibility to health services and the lack of access of physicians to trainings and specializations. These limitations are responsible </w:t>
      </w:r>
      <w:r>
        <w:rPr>
          <w:bCs/>
          <w:iCs/>
          <w:lang w:val="en-GB"/>
        </w:rPr>
        <w:lastRenderedPageBreak/>
        <w:t xml:space="preserve">for the low life expectancy at birth in the eligible area, the low number of physicians and the high number of illnesses. A system of joint investments in public health infrastructure and equipment as well as related professional trainings and exchanges of experience would contribute to improving the response of the health local system to the real need of the area and generate significant cross border impact and added value. </w:t>
      </w:r>
    </w:p>
    <w:p w:rsidR="00252B38" w:rsidRDefault="00252B38">
      <w:pPr>
        <w:spacing w:before="60" w:after="60" w:line="288" w:lineRule="auto"/>
        <w:ind w:left="1080" w:hanging="360"/>
        <w:jc w:val="both"/>
        <w:rPr>
          <w:b/>
          <w:lang w:val="en-GB"/>
        </w:rPr>
      </w:pPr>
    </w:p>
    <w:p w:rsidR="00252B38" w:rsidRPr="002E01ED" w:rsidRDefault="008C6885" w:rsidP="002E01ED">
      <w:pPr>
        <w:spacing w:before="60" w:after="60" w:line="288" w:lineRule="auto"/>
        <w:jc w:val="both"/>
        <w:rPr>
          <w:b/>
          <w:bCs/>
          <w:iCs/>
          <w:lang w:val="en-GB"/>
        </w:rPr>
      </w:pPr>
      <w:r w:rsidRPr="002E01ED">
        <w:rPr>
          <w:b/>
          <w:bCs/>
          <w:iCs/>
          <w:lang w:val="en-GB"/>
        </w:rPr>
        <w:t>Priority 4.2 – Support to joint activities for the prevention of natural and man-made disasters as well as joint actions during emergency situations</w:t>
      </w:r>
    </w:p>
    <w:p w:rsidR="00252B38" w:rsidRDefault="008C6885">
      <w:pPr>
        <w:spacing w:before="60" w:after="60" w:line="288" w:lineRule="auto"/>
        <w:jc w:val="both"/>
        <w:rPr>
          <w:b/>
          <w:i/>
          <w:lang w:val="en-GB"/>
        </w:rPr>
      </w:pPr>
      <w:r>
        <w:rPr>
          <w:b/>
          <w:i/>
          <w:lang w:val="en-GB"/>
        </w:rPr>
        <w:t>Justification:</w:t>
      </w:r>
    </w:p>
    <w:p w:rsidR="00252B38" w:rsidRDefault="008C6885">
      <w:pPr>
        <w:spacing w:before="60" w:after="60" w:line="288" w:lineRule="auto"/>
        <w:ind w:firstLine="709"/>
        <w:jc w:val="both"/>
        <w:rPr>
          <w:lang w:val="en-GB"/>
        </w:rPr>
      </w:pPr>
      <w:r>
        <w:rPr>
          <w:lang w:val="en-GB"/>
        </w:rPr>
        <w:t xml:space="preserve">The eligible area presents high risk of pollution through industrial accidents, especially in the Danube and Black Sea area. Also, there is a high risk of natural disasters as a result of the topography and the dense hydrographical network (e.g. flooding, landslides) – mountain areas in the North, delta area in South. These characteristics of the programme area require joint actions involving organizations from both sides of the border in order to prevent and improve the response to emergency situations. This priority aims to address common challenges such as landslide, flooding, risk prevention, emergency situation, through joint planning and coordinated interventions. </w:t>
      </w:r>
    </w:p>
    <w:p w:rsidR="00252B38" w:rsidRDefault="00252B38">
      <w:pPr>
        <w:spacing w:before="60" w:after="60" w:line="288" w:lineRule="auto"/>
        <w:jc w:val="both"/>
        <w:rPr>
          <w:lang w:val="en-GB"/>
        </w:rPr>
      </w:pPr>
    </w:p>
    <w:p w:rsidR="00252B38" w:rsidRDefault="00252B38">
      <w:pPr>
        <w:spacing w:before="60" w:after="60" w:line="288" w:lineRule="auto"/>
        <w:jc w:val="both"/>
        <w:rPr>
          <w:lang w:val="en-GB"/>
        </w:rPr>
      </w:pPr>
    </w:p>
    <w:p w:rsidR="00252B38" w:rsidRDefault="008C6885">
      <w:pPr>
        <w:spacing w:before="60" w:after="60" w:line="288" w:lineRule="auto"/>
        <w:jc w:val="both"/>
        <w:rPr>
          <w:b/>
          <w:bCs/>
          <w:iCs/>
          <w:lang w:val="en-GB"/>
        </w:rPr>
      </w:pPr>
      <w:r>
        <w:rPr>
          <w:b/>
          <w:bCs/>
          <w:iCs/>
          <w:lang w:val="en-GB"/>
        </w:rPr>
        <w:t>Priority 4.3 Prevention and fight against organised crime and police cooperation</w:t>
      </w:r>
    </w:p>
    <w:p w:rsidR="00252B38" w:rsidRDefault="008C6885">
      <w:pPr>
        <w:spacing w:before="60" w:after="60" w:line="288" w:lineRule="auto"/>
        <w:jc w:val="both"/>
        <w:rPr>
          <w:b/>
          <w:i/>
          <w:lang w:val="en-GB"/>
        </w:rPr>
      </w:pPr>
      <w:r>
        <w:rPr>
          <w:b/>
          <w:i/>
          <w:lang w:val="en-GB"/>
        </w:rPr>
        <w:t>Justification:</w:t>
      </w:r>
    </w:p>
    <w:p w:rsidR="00252B38" w:rsidRDefault="008C6885">
      <w:pPr>
        <w:spacing w:before="60" w:after="60" w:line="288" w:lineRule="auto"/>
        <w:jc w:val="both"/>
        <w:rPr>
          <w:lang w:val="en-GB"/>
        </w:rPr>
      </w:pPr>
      <w:r>
        <w:rPr>
          <w:lang w:val="en-GB"/>
        </w:rPr>
        <w:t xml:space="preserve">The region faces challenges in terms of criminality rates and additional risks due to the status of the border and the ramifications of illegal smuggling. In order to reduce criminality rates, improve the intervention capacity of police forces and ensure the security of the people on both sides of the border this priority will foster investments in capacity building, infrastructure and equipment for the structures involved in the customs and police services. </w:t>
      </w:r>
    </w:p>
    <w:p w:rsidR="00E112C4" w:rsidRDefault="00E112C4">
      <w:pPr>
        <w:spacing w:before="60" w:after="60" w:line="288" w:lineRule="auto"/>
        <w:jc w:val="both"/>
        <w:rPr>
          <w:lang w:val="en-GB"/>
        </w:rPr>
      </w:pPr>
    </w:p>
    <w:p w:rsidR="00844DB8" w:rsidRDefault="00844DB8" w:rsidP="002E01ED">
      <w:pPr>
        <w:spacing w:before="60" w:after="60" w:line="288" w:lineRule="auto"/>
        <w:ind w:firstLine="709"/>
        <w:jc w:val="both"/>
        <w:rPr>
          <w:lang w:val="en-GB"/>
        </w:rPr>
      </w:pPr>
      <w:r>
        <w:rPr>
          <w:lang w:val="en-GB"/>
        </w:rPr>
        <w:t xml:space="preserve">The selection of alternative 1 of the Programme </w:t>
      </w:r>
      <w:r w:rsidR="00E112C4">
        <w:rPr>
          <w:lang w:val="en-GB"/>
        </w:rPr>
        <w:t>was done so as to ensure that the indicative activities will generate a minimum impact on biodiversity.</w:t>
      </w:r>
    </w:p>
    <w:p w:rsidR="00252B38" w:rsidRDefault="00252B38">
      <w:pPr>
        <w:spacing w:before="60" w:after="60" w:line="288" w:lineRule="auto"/>
        <w:jc w:val="both"/>
        <w:rPr>
          <w:lang w:val="en-GB"/>
        </w:rPr>
      </w:pPr>
    </w:p>
    <w:p w:rsidR="00252B38" w:rsidRDefault="008C6885" w:rsidP="002E01ED">
      <w:pPr>
        <w:pStyle w:val="Heading1"/>
        <w:rPr>
          <w:rFonts w:ascii="Arial" w:hAnsi="Arial" w:cs="Arial"/>
          <w:sz w:val="24"/>
          <w:szCs w:val="24"/>
          <w:lang w:val="en-GB"/>
        </w:rPr>
      </w:pPr>
      <w:bookmarkStart w:id="179" w:name="_Toc419704941"/>
      <w:r>
        <w:rPr>
          <w:rFonts w:ascii="Arial" w:hAnsi="Arial" w:cs="Arial"/>
          <w:sz w:val="24"/>
          <w:szCs w:val="24"/>
          <w:lang w:val="en-GB"/>
        </w:rPr>
        <w:t>9.2 Dificulties</w:t>
      </w:r>
      <w:bookmarkEnd w:id="179"/>
    </w:p>
    <w:p w:rsidR="00252B38" w:rsidRDefault="00252B38">
      <w:pPr>
        <w:autoSpaceDE w:val="0"/>
        <w:autoSpaceDN w:val="0"/>
        <w:adjustRightInd w:val="0"/>
        <w:spacing w:before="60" w:after="60" w:line="288" w:lineRule="auto"/>
        <w:ind w:firstLine="360"/>
        <w:contextualSpacing/>
        <w:jc w:val="both"/>
        <w:rPr>
          <w:lang w:val="en-GB"/>
        </w:rPr>
      </w:pPr>
    </w:p>
    <w:p w:rsidR="00252B38" w:rsidRDefault="008C6885">
      <w:pPr>
        <w:tabs>
          <w:tab w:val="num" w:pos="0"/>
        </w:tabs>
        <w:spacing w:before="60" w:after="60" w:line="288" w:lineRule="auto"/>
        <w:ind w:firstLine="720"/>
        <w:jc w:val="both"/>
        <w:rPr>
          <w:lang w:val="en-GB"/>
        </w:rPr>
      </w:pPr>
      <w:r>
        <w:rPr>
          <w:lang w:val="en-GB"/>
        </w:rPr>
        <w:t>There were difficulties in identifying the environmental legislation in force in Ukraine and finding informations about the quality of environmental aspects and biodiversity. Some data at the level of years 2011 and 2012 were found on the following websites:</w:t>
      </w:r>
    </w:p>
    <w:p w:rsidR="00252B38" w:rsidRDefault="008C6885">
      <w:pPr>
        <w:numPr>
          <w:ilvl w:val="0"/>
          <w:numId w:val="74"/>
        </w:numPr>
        <w:tabs>
          <w:tab w:val="clear" w:pos="720"/>
          <w:tab w:val="num" w:pos="0"/>
          <w:tab w:val="num" w:pos="993"/>
        </w:tabs>
        <w:spacing w:before="60" w:after="60" w:line="288" w:lineRule="auto"/>
        <w:ind w:left="993" w:hanging="284"/>
        <w:jc w:val="both"/>
      </w:pPr>
      <w:r>
        <w:t>http://eng.menr.gov.ua/index.php/normbaza</w:t>
      </w:r>
    </w:p>
    <w:p w:rsidR="00252B38" w:rsidRDefault="008C6885">
      <w:pPr>
        <w:numPr>
          <w:ilvl w:val="0"/>
          <w:numId w:val="74"/>
        </w:numPr>
        <w:tabs>
          <w:tab w:val="clear" w:pos="720"/>
          <w:tab w:val="num" w:pos="0"/>
          <w:tab w:val="num" w:pos="993"/>
        </w:tabs>
        <w:spacing w:before="60" w:after="60" w:line="288" w:lineRule="auto"/>
        <w:ind w:left="993" w:hanging="284"/>
        <w:jc w:val="both"/>
      </w:pPr>
      <w:r>
        <w:t>http://www.kmu.gov.ua/control/en/publish/article?art_id=91651</w:t>
      </w:r>
    </w:p>
    <w:p w:rsidR="00252B38" w:rsidRDefault="00252B38">
      <w:pPr>
        <w:tabs>
          <w:tab w:val="num" w:pos="0"/>
        </w:tabs>
        <w:spacing w:before="60" w:after="60" w:line="288" w:lineRule="auto"/>
        <w:ind w:firstLine="720"/>
        <w:jc w:val="both"/>
      </w:pPr>
    </w:p>
    <w:p w:rsidR="00252B38" w:rsidRDefault="00252B38">
      <w:pPr>
        <w:tabs>
          <w:tab w:val="num" w:pos="0"/>
        </w:tabs>
        <w:spacing w:before="60" w:after="60" w:line="288" w:lineRule="auto"/>
        <w:ind w:firstLine="720"/>
        <w:jc w:val="both"/>
        <w:rPr>
          <w:lang w:val="en-GB"/>
        </w:rPr>
      </w:pPr>
    </w:p>
    <w:p w:rsidR="00252B38" w:rsidRDefault="008C6885">
      <w:pPr>
        <w:numPr>
          <w:ilvl w:val="0"/>
          <w:numId w:val="74"/>
        </w:numPr>
        <w:tabs>
          <w:tab w:val="num" w:pos="993"/>
        </w:tabs>
        <w:spacing w:before="60" w:after="60" w:line="288" w:lineRule="auto"/>
        <w:ind w:hanging="11"/>
        <w:jc w:val="both"/>
      </w:pPr>
      <w:hyperlink r:id="rId82" w:history="1">
        <w:r>
          <w:rPr>
            <w:rStyle w:val="Hyperlink"/>
          </w:rPr>
          <w:t>http://ypef.eu/files/booklet/ang/ukraine.pdf</w:t>
        </w:r>
      </w:hyperlink>
    </w:p>
    <w:p w:rsidR="00252B38" w:rsidRDefault="008C6885">
      <w:pPr>
        <w:numPr>
          <w:ilvl w:val="0"/>
          <w:numId w:val="74"/>
        </w:numPr>
        <w:tabs>
          <w:tab w:val="num" w:pos="993"/>
        </w:tabs>
        <w:spacing w:before="60" w:after="60" w:line="288" w:lineRule="auto"/>
        <w:ind w:hanging="11"/>
        <w:jc w:val="both"/>
        <w:rPr>
          <w:u w:val="single"/>
        </w:rPr>
      </w:pPr>
      <w:r>
        <w:lastRenderedPageBreak/>
        <w:t xml:space="preserve"> </w:t>
      </w:r>
      <w:hyperlink r:id="rId83" w:history="1">
        <w:r>
          <w:rPr>
            <w:rStyle w:val="Hyperlink"/>
          </w:rPr>
          <w:t>http://www.brucebyersconsulting.com/wp-content/uploads/2011/07/Ukraine-Biodiversity-Analysis-Report-1-2011.pdf</w:t>
        </w:r>
      </w:hyperlink>
    </w:p>
    <w:p w:rsidR="00252B38" w:rsidRDefault="008C6885">
      <w:pPr>
        <w:numPr>
          <w:ilvl w:val="0"/>
          <w:numId w:val="74"/>
        </w:numPr>
        <w:tabs>
          <w:tab w:val="num" w:pos="993"/>
        </w:tabs>
        <w:spacing w:before="60" w:after="60" w:line="288" w:lineRule="auto"/>
        <w:ind w:hanging="11"/>
        <w:jc w:val="both"/>
        <w:rPr>
          <w:u w:val="single"/>
        </w:rPr>
      </w:pPr>
      <w:hyperlink r:id="rId84" w:history="1">
        <w:r>
          <w:rPr>
            <w:rStyle w:val="Hyperlink"/>
          </w:rPr>
          <w:t>http://en.wikipedia.org/wiki/Ukrainian_Cultural_Heritage_Village</w:t>
        </w:r>
      </w:hyperlink>
    </w:p>
    <w:p w:rsidR="00252B38" w:rsidRDefault="008C6885">
      <w:pPr>
        <w:numPr>
          <w:ilvl w:val="0"/>
          <w:numId w:val="74"/>
        </w:numPr>
        <w:tabs>
          <w:tab w:val="num" w:pos="993"/>
        </w:tabs>
        <w:spacing w:before="60" w:after="60" w:line="288" w:lineRule="auto"/>
        <w:ind w:hanging="11"/>
        <w:jc w:val="both"/>
        <w:rPr>
          <w:u w:val="single"/>
        </w:rPr>
      </w:pPr>
      <w:hyperlink r:id="rId85" w:history="1">
        <w:r>
          <w:rPr>
            <w:rStyle w:val="Hyperlink"/>
          </w:rPr>
          <w:t>http://whc.unesco.org/en/statesparties/ua</w:t>
        </w:r>
      </w:hyperlink>
    </w:p>
    <w:p w:rsidR="00252B38" w:rsidRDefault="008C6885">
      <w:pPr>
        <w:numPr>
          <w:ilvl w:val="0"/>
          <w:numId w:val="74"/>
        </w:numPr>
        <w:tabs>
          <w:tab w:val="num" w:pos="993"/>
        </w:tabs>
        <w:spacing w:before="60" w:after="60" w:line="288" w:lineRule="auto"/>
        <w:ind w:hanging="11"/>
        <w:jc w:val="both"/>
        <w:rPr>
          <w:u w:val="single"/>
        </w:rPr>
      </w:pPr>
      <w:hyperlink r:id="rId86" w:history="1">
        <w:r>
          <w:rPr>
            <w:rStyle w:val="Hyperlink"/>
          </w:rPr>
          <w:t>http://www.history.alberta.ca/ukrainianvillage/</w:t>
        </w:r>
      </w:hyperlink>
      <w:r>
        <w:rPr>
          <w:u w:val="single"/>
        </w:rPr>
        <w:t xml:space="preserve"> </w:t>
      </w:r>
    </w:p>
    <w:p w:rsidR="00252B38" w:rsidRDefault="008C6885">
      <w:pPr>
        <w:numPr>
          <w:ilvl w:val="0"/>
          <w:numId w:val="74"/>
        </w:numPr>
        <w:tabs>
          <w:tab w:val="num" w:pos="993"/>
        </w:tabs>
        <w:spacing w:before="60" w:after="60" w:line="288" w:lineRule="auto"/>
        <w:ind w:hanging="11"/>
        <w:jc w:val="both"/>
        <w:rPr>
          <w:u w:val="single"/>
        </w:rPr>
      </w:pPr>
      <w:hyperlink r:id="rId87" w:history="1">
        <w:r>
          <w:rPr>
            <w:rStyle w:val="Hyperlink"/>
          </w:rPr>
          <w:t>http://culture.pl/en/article/polish-and-ukrainian-tserkvas-make-unesco-list</w:t>
        </w:r>
      </w:hyperlink>
    </w:p>
    <w:p w:rsidR="00252B38" w:rsidRDefault="00252B38">
      <w:pPr>
        <w:tabs>
          <w:tab w:val="num" w:pos="993"/>
        </w:tabs>
        <w:spacing w:before="60" w:after="60" w:line="288" w:lineRule="auto"/>
        <w:jc w:val="both"/>
      </w:pPr>
    </w:p>
    <w:p w:rsidR="00252B38" w:rsidRDefault="00252B38">
      <w:pPr>
        <w:spacing w:before="60" w:after="60" w:line="288" w:lineRule="auto"/>
        <w:ind w:firstLine="720"/>
        <w:jc w:val="both"/>
        <w:rPr>
          <w:lang w:val="en-GB"/>
        </w:rPr>
      </w:pPr>
    </w:p>
    <w:p w:rsidR="00252B38" w:rsidRDefault="008C6885">
      <w:pPr>
        <w:spacing w:before="60" w:after="60" w:line="288" w:lineRule="auto"/>
        <w:ind w:firstLine="720"/>
        <w:jc w:val="both"/>
        <w:rPr>
          <w:lang w:val="en-GB"/>
        </w:rPr>
      </w:pPr>
      <w:r>
        <w:rPr>
          <w:lang w:val="en-GB"/>
        </w:rPr>
        <w:t>No other significant difficulties were encountered in drafting the Environmental Report for SEA regarding the Joint Operational Programme Romania - Ukraine for 2014 ÷ 2020.</w:t>
      </w:r>
    </w:p>
    <w:p w:rsidR="00252B38" w:rsidRDefault="00252B38">
      <w:pPr>
        <w:autoSpaceDE w:val="0"/>
        <w:autoSpaceDN w:val="0"/>
        <w:adjustRightInd w:val="0"/>
        <w:spacing w:before="60" w:after="60" w:line="288" w:lineRule="auto"/>
        <w:contextualSpacing/>
        <w:jc w:val="both"/>
        <w:rPr>
          <w:rFonts w:eastAsia="EUAlbertina-Regular-Identity-H" w:cs="Arial"/>
          <w:b/>
          <w:lang w:val="en-GB" w:eastAsia="en-US"/>
        </w:rPr>
      </w:pPr>
    </w:p>
    <w:p w:rsidR="00E112C4" w:rsidRDefault="00E112C4">
      <w:pPr>
        <w:autoSpaceDE w:val="0"/>
        <w:autoSpaceDN w:val="0"/>
        <w:adjustRightInd w:val="0"/>
        <w:spacing w:before="60" w:after="60" w:line="288" w:lineRule="auto"/>
        <w:contextualSpacing/>
        <w:jc w:val="both"/>
        <w:rPr>
          <w:rFonts w:eastAsia="EUAlbertina-Regular-Identity-H" w:cs="Arial"/>
          <w:b/>
          <w:lang w:val="en-GB" w:eastAsia="en-US"/>
        </w:rPr>
      </w:pPr>
    </w:p>
    <w:p w:rsidR="00E112C4" w:rsidRDefault="00E112C4">
      <w:pPr>
        <w:autoSpaceDE w:val="0"/>
        <w:autoSpaceDN w:val="0"/>
        <w:adjustRightInd w:val="0"/>
        <w:spacing w:before="60" w:after="60" w:line="288" w:lineRule="auto"/>
        <w:contextualSpacing/>
        <w:jc w:val="both"/>
        <w:rPr>
          <w:rFonts w:eastAsia="EUAlbertina-Regular-Identity-H" w:cs="Arial"/>
          <w:b/>
          <w:lang w:val="en-GB" w:eastAsia="en-US"/>
        </w:rPr>
      </w:pPr>
    </w:p>
    <w:p w:rsidR="00E112C4" w:rsidRDefault="00E112C4">
      <w:pPr>
        <w:autoSpaceDE w:val="0"/>
        <w:autoSpaceDN w:val="0"/>
        <w:adjustRightInd w:val="0"/>
        <w:spacing w:before="60" w:after="60" w:line="288" w:lineRule="auto"/>
        <w:contextualSpacing/>
        <w:jc w:val="both"/>
        <w:rPr>
          <w:rFonts w:eastAsia="EUAlbertina-Regular-Identity-H" w:cs="Arial"/>
          <w:b/>
          <w:lang w:val="en-GB" w:eastAsia="en-US"/>
        </w:rPr>
      </w:pPr>
    </w:p>
    <w:p w:rsidR="00E112C4" w:rsidRDefault="00E112C4">
      <w:pPr>
        <w:autoSpaceDE w:val="0"/>
        <w:autoSpaceDN w:val="0"/>
        <w:adjustRightInd w:val="0"/>
        <w:spacing w:before="60" w:after="60" w:line="288" w:lineRule="auto"/>
        <w:contextualSpacing/>
        <w:jc w:val="both"/>
        <w:rPr>
          <w:rFonts w:eastAsia="EUAlbertina-Regular-Identity-H" w:cs="Arial"/>
          <w:b/>
          <w:lang w:val="en-GB" w:eastAsia="en-US"/>
        </w:rPr>
      </w:pPr>
    </w:p>
    <w:p w:rsidR="00E112C4" w:rsidRDefault="00E112C4">
      <w:pPr>
        <w:autoSpaceDE w:val="0"/>
        <w:autoSpaceDN w:val="0"/>
        <w:adjustRightInd w:val="0"/>
        <w:spacing w:before="60" w:after="60" w:line="288" w:lineRule="auto"/>
        <w:contextualSpacing/>
        <w:jc w:val="both"/>
        <w:rPr>
          <w:rFonts w:eastAsia="EUAlbertina-Regular-Identity-H" w:cs="Arial"/>
          <w:b/>
          <w:lang w:val="en-GB" w:eastAsia="en-US"/>
        </w:rPr>
      </w:pPr>
    </w:p>
    <w:p w:rsidR="00E112C4" w:rsidRDefault="00E112C4">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2E01ED" w:rsidRDefault="002E01ED">
      <w:pPr>
        <w:autoSpaceDE w:val="0"/>
        <w:autoSpaceDN w:val="0"/>
        <w:adjustRightInd w:val="0"/>
        <w:spacing w:before="60" w:after="60" w:line="288" w:lineRule="auto"/>
        <w:contextualSpacing/>
        <w:jc w:val="both"/>
        <w:rPr>
          <w:rFonts w:eastAsia="EUAlbertina-Regular-Identity-H" w:cs="Arial"/>
          <w:b/>
          <w:lang w:val="en-GB" w:eastAsia="en-US"/>
        </w:rPr>
      </w:pPr>
    </w:p>
    <w:p w:rsidR="00E112C4" w:rsidRDefault="00E112C4">
      <w:pPr>
        <w:autoSpaceDE w:val="0"/>
        <w:autoSpaceDN w:val="0"/>
        <w:adjustRightInd w:val="0"/>
        <w:spacing w:before="60" w:after="60" w:line="288" w:lineRule="auto"/>
        <w:contextualSpacing/>
        <w:jc w:val="both"/>
        <w:rPr>
          <w:rFonts w:eastAsia="EUAlbertina-Regular-Identity-H" w:cs="Arial"/>
          <w:b/>
          <w:lang w:val="en-GB" w:eastAsia="en-US"/>
        </w:rPr>
      </w:pPr>
    </w:p>
    <w:p w:rsidR="00E112C4" w:rsidRDefault="00E112C4">
      <w:pPr>
        <w:autoSpaceDE w:val="0"/>
        <w:autoSpaceDN w:val="0"/>
        <w:adjustRightInd w:val="0"/>
        <w:spacing w:before="60" w:after="60" w:line="288" w:lineRule="auto"/>
        <w:contextualSpacing/>
        <w:jc w:val="both"/>
        <w:rPr>
          <w:rFonts w:eastAsia="EUAlbertina-Regular-Identity-H" w:cs="Arial"/>
          <w:b/>
          <w:lang w:val="en-GB" w:eastAsia="en-US"/>
        </w:rPr>
      </w:pPr>
    </w:p>
    <w:p w:rsidR="00252B38" w:rsidRDefault="008C6885" w:rsidP="002A5FB1">
      <w:pPr>
        <w:pStyle w:val="Title"/>
        <w:ind w:left="270"/>
        <w:jc w:val="left"/>
        <w:rPr>
          <w:rFonts w:ascii="Arial" w:hAnsi="Arial" w:cs="Arial"/>
          <w:sz w:val="24"/>
          <w:szCs w:val="24"/>
          <w:lang w:val="en-GB"/>
        </w:rPr>
      </w:pPr>
      <w:bookmarkStart w:id="180" w:name="_Toc419704942"/>
      <w:r>
        <w:rPr>
          <w:rFonts w:ascii="Arial" w:hAnsi="Arial" w:cs="Arial"/>
          <w:sz w:val="24"/>
          <w:szCs w:val="24"/>
          <w:lang w:val="en-GB"/>
        </w:rPr>
        <w:lastRenderedPageBreak/>
        <w:t>10. DESCRIPTION OF THE MEASURES ENVISAGED CONCERNING MONITORING IN ACCORDANCE WITH ARTICLE 10</w:t>
      </w:r>
      <w:bookmarkEnd w:id="180"/>
    </w:p>
    <w:p w:rsidR="00252B38" w:rsidRDefault="00252B38">
      <w:pPr>
        <w:ind w:left="720"/>
        <w:contextualSpacing/>
        <w:rPr>
          <w:rFonts w:eastAsia="EUAlbertina-Regular-Identity-H" w:cs="Arial"/>
          <w:b/>
          <w:lang w:val="en-GB" w:eastAsia="en-US"/>
        </w:rPr>
      </w:pPr>
    </w:p>
    <w:p w:rsidR="00252B38" w:rsidRDefault="008C6885">
      <w:pPr>
        <w:autoSpaceDE w:val="0"/>
        <w:autoSpaceDN w:val="0"/>
        <w:adjustRightInd w:val="0"/>
        <w:spacing w:before="60" w:after="60" w:line="288" w:lineRule="auto"/>
        <w:ind w:firstLine="720"/>
        <w:contextualSpacing/>
        <w:jc w:val="both"/>
        <w:rPr>
          <w:rFonts w:cs="Arial"/>
          <w:bCs/>
          <w:color w:val="000000"/>
          <w:lang w:val="en"/>
        </w:rPr>
      </w:pPr>
      <w:r>
        <w:rPr>
          <w:rFonts w:cs="Arial"/>
          <w:bCs/>
          <w:color w:val="000000"/>
          <w:lang w:val="en"/>
        </w:rPr>
        <w:t xml:space="preserve">The Projects financed by the Programme Ro-Ua </w:t>
      </w:r>
      <w:r w:rsidR="00E112C4">
        <w:rPr>
          <w:rFonts w:cs="Arial"/>
          <w:bCs/>
          <w:color w:val="000000"/>
          <w:lang w:val="en"/>
        </w:rPr>
        <w:t xml:space="preserve">will </w:t>
      </w:r>
      <w:r>
        <w:rPr>
          <w:rFonts w:cs="Arial"/>
          <w:bCs/>
          <w:color w:val="000000"/>
          <w:lang w:val="en"/>
        </w:rPr>
        <w:t xml:space="preserve">meet the european environmental legislation in force </w:t>
      </w:r>
      <w:r w:rsidR="00E112C4">
        <w:rPr>
          <w:rFonts w:cs="Arial"/>
          <w:bCs/>
          <w:color w:val="000000"/>
          <w:lang w:val="en"/>
        </w:rPr>
        <w:t xml:space="preserve">and  </w:t>
      </w:r>
      <w:r>
        <w:rPr>
          <w:rFonts w:cs="Arial"/>
          <w:bCs/>
          <w:color w:val="000000"/>
          <w:lang w:val="en"/>
        </w:rPr>
        <w:t>the national legislation</w:t>
      </w:r>
      <w:r w:rsidR="00E112C4">
        <w:rPr>
          <w:rFonts w:cs="Arial"/>
          <w:bCs/>
          <w:color w:val="000000"/>
          <w:lang w:val="en"/>
        </w:rPr>
        <w:t xml:space="preserve">. </w:t>
      </w:r>
    </w:p>
    <w:p w:rsidR="00252B38" w:rsidRDefault="008C6885">
      <w:pPr>
        <w:autoSpaceDE w:val="0"/>
        <w:autoSpaceDN w:val="0"/>
        <w:adjustRightInd w:val="0"/>
        <w:spacing w:before="60" w:after="60" w:line="288" w:lineRule="auto"/>
        <w:ind w:firstLine="720"/>
        <w:contextualSpacing/>
        <w:jc w:val="both"/>
        <w:rPr>
          <w:rFonts w:cs="Arial"/>
          <w:bCs/>
          <w:color w:val="000000"/>
          <w:lang w:val="en"/>
        </w:rPr>
      </w:pPr>
      <w:r>
        <w:rPr>
          <w:rFonts w:cs="Arial"/>
          <w:bCs/>
          <w:color w:val="000000"/>
          <w:lang w:val="en"/>
        </w:rPr>
        <w:t>According to the article 10 of SEA Directive, the monitoring of the significant environmental effects of Programme has to be done in order to identify early any adverse effects and to be able to take the proper corrective measures.</w:t>
      </w:r>
    </w:p>
    <w:p w:rsidR="00252B38" w:rsidRDefault="008C6885">
      <w:pPr>
        <w:autoSpaceDE w:val="0"/>
        <w:autoSpaceDN w:val="0"/>
        <w:adjustRightInd w:val="0"/>
        <w:spacing w:before="60" w:after="60" w:line="288" w:lineRule="auto"/>
        <w:ind w:firstLine="720"/>
        <w:contextualSpacing/>
        <w:jc w:val="both"/>
        <w:rPr>
          <w:rFonts w:cs="Arial"/>
          <w:bCs/>
          <w:color w:val="000000"/>
          <w:lang w:val="en"/>
        </w:rPr>
      </w:pPr>
      <w:r>
        <w:rPr>
          <w:rFonts w:cs="Arial"/>
          <w:bCs/>
          <w:color w:val="000000"/>
          <w:lang w:val="en"/>
        </w:rPr>
        <w:t>The monitoring system will be proposed based on the environmental issues that may be substantially affected by the implementation of CBC Programme Ro-Ua.</w:t>
      </w:r>
    </w:p>
    <w:p w:rsidR="00474FA2" w:rsidRDefault="00474FA2">
      <w:pPr>
        <w:autoSpaceDE w:val="0"/>
        <w:autoSpaceDN w:val="0"/>
        <w:adjustRightInd w:val="0"/>
        <w:spacing w:before="60" w:after="60" w:line="288" w:lineRule="auto"/>
        <w:ind w:firstLine="720"/>
        <w:contextualSpacing/>
        <w:jc w:val="both"/>
        <w:rPr>
          <w:rFonts w:cs="Arial"/>
          <w:bCs/>
          <w:color w:val="000000"/>
          <w:lang w:val="en"/>
        </w:rPr>
      </w:pPr>
    </w:p>
    <w:p w:rsidR="00474FA2" w:rsidRDefault="00474FA2">
      <w:pPr>
        <w:autoSpaceDE w:val="0"/>
        <w:autoSpaceDN w:val="0"/>
        <w:adjustRightInd w:val="0"/>
        <w:spacing w:before="60" w:after="60" w:line="288" w:lineRule="auto"/>
        <w:ind w:firstLine="720"/>
        <w:contextualSpacing/>
        <w:jc w:val="both"/>
        <w:rPr>
          <w:rFonts w:cs="Arial"/>
          <w:bCs/>
          <w:color w:val="000000"/>
          <w:lang w:val="en"/>
        </w:rPr>
      </w:pPr>
    </w:p>
    <w:p w:rsidR="00252B38" w:rsidRDefault="00474FA2">
      <w:pPr>
        <w:autoSpaceDE w:val="0"/>
        <w:autoSpaceDN w:val="0"/>
        <w:adjustRightInd w:val="0"/>
        <w:spacing w:before="60" w:after="60" w:line="288" w:lineRule="auto"/>
        <w:ind w:firstLine="720"/>
        <w:contextualSpacing/>
        <w:jc w:val="both"/>
        <w:rPr>
          <w:rFonts w:cs="Arial"/>
          <w:bCs/>
          <w:color w:val="000000"/>
          <w:lang w:val="en"/>
        </w:rPr>
      </w:pPr>
      <w:r>
        <w:rPr>
          <w:rFonts w:cs="Arial"/>
          <w:bCs/>
          <w:color w:val="000000"/>
          <w:lang w:val="en"/>
        </w:rPr>
        <w:t>For the monitoring of the Programme impact on the environment the following principles should be taken into consideration:</w:t>
      </w:r>
    </w:p>
    <w:p w:rsidR="00252B38" w:rsidRDefault="008C6885" w:rsidP="003E2913">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 xml:space="preserve"> Contribution to energy efficiency, the reduced usage of raw materials or hazardous substances;</w:t>
      </w:r>
    </w:p>
    <w:p w:rsidR="003E2913" w:rsidRDefault="008C6885" w:rsidP="003E2913">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Contribution to the development of green infrastructure, including management of protected areasContribution to the surface/ ground water proper management</w:t>
      </w:r>
    </w:p>
    <w:p w:rsidR="00252B38" w:rsidRPr="003E2913" w:rsidRDefault="003E2913" w:rsidP="003E2913">
      <w:pPr>
        <w:pStyle w:val="ListParagraph"/>
        <w:numPr>
          <w:ilvl w:val="0"/>
          <w:numId w:val="127"/>
        </w:numPr>
        <w:autoSpaceDE w:val="0"/>
        <w:autoSpaceDN w:val="0"/>
        <w:adjustRightInd w:val="0"/>
        <w:spacing w:line="288" w:lineRule="auto"/>
        <w:rPr>
          <w:rFonts w:cs="Arial"/>
          <w:bCs/>
          <w:color w:val="000000"/>
          <w:lang w:val="en"/>
        </w:rPr>
      </w:pPr>
      <w:r>
        <w:rPr>
          <w:rFonts w:cs="Arial"/>
          <w:bCs/>
          <w:color w:val="000000"/>
          <w:lang w:val="en"/>
        </w:rPr>
        <w:t>Contribution to an adequate management of the use of ground and underground waters</w:t>
      </w:r>
      <w:r w:rsidR="008C6885" w:rsidRPr="003E2913">
        <w:rPr>
          <w:rFonts w:cs="Arial"/>
          <w:bCs/>
          <w:color w:val="000000"/>
          <w:lang w:val="en"/>
        </w:rPr>
        <w:t xml:space="preserve"> </w:t>
      </w:r>
    </w:p>
    <w:p w:rsidR="00252B38" w:rsidRPr="003E2913" w:rsidRDefault="008C6885" w:rsidP="003E2913">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Contribution to sustainable mobility and multimodal transport;</w:t>
      </w:r>
    </w:p>
    <w:p w:rsidR="00252B38" w:rsidRPr="003E2913" w:rsidRDefault="008C6885" w:rsidP="003E2913">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Contribution to an effective waste management, recycling and reus</w:t>
      </w:r>
      <w:r w:rsidR="003E2913">
        <w:rPr>
          <w:rFonts w:cs="Arial"/>
          <w:bCs/>
          <w:color w:val="000000"/>
          <w:lang w:val="en"/>
        </w:rPr>
        <w:t>age</w:t>
      </w:r>
      <w:r w:rsidRPr="003E2913">
        <w:rPr>
          <w:rFonts w:cs="Arial"/>
          <w:bCs/>
          <w:color w:val="000000"/>
          <w:lang w:val="en"/>
        </w:rPr>
        <w:t>;</w:t>
      </w:r>
    </w:p>
    <w:p w:rsidR="00252B38" w:rsidRPr="003E2913" w:rsidRDefault="008C6885" w:rsidP="003E2913">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Contribution to risk prevention/natural disasters and climate change mittigation;</w:t>
      </w:r>
    </w:p>
    <w:p w:rsidR="00252B38" w:rsidRPr="003E2913" w:rsidRDefault="008C6885" w:rsidP="003E2913">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 xml:space="preserve">Application of </w:t>
      </w:r>
      <w:r w:rsidR="003E2913">
        <w:rPr>
          <w:rFonts w:cs="Arial"/>
          <w:bCs/>
          <w:color w:val="000000"/>
          <w:lang w:val="en"/>
        </w:rPr>
        <w:t xml:space="preserve">the principle of </w:t>
      </w:r>
      <w:r w:rsidRPr="003E2913">
        <w:rPr>
          <w:rFonts w:cs="Arial"/>
          <w:bCs/>
          <w:color w:val="000000"/>
          <w:lang w:val="en"/>
        </w:rPr>
        <w:t>green public procurement.</w:t>
      </w:r>
    </w:p>
    <w:p w:rsidR="00252B38" w:rsidRDefault="00252B38">
      <w:pPr>
        <w:autoSpaceDE w:val="0"/>
        <w:autoSpaceDN w:val="0"/>
        <w:adjustRightInd w:val="0"/>
        <w:spacing w:before="60" w:after="60" w:line="288" w:lineRule="auto"/>
        <w:ind w:firstLine="720"/>
        <w:contextualSpacing/>
        <w:jc w:val="both"/>
        <w:rPr>
          <w:rFonts w:cs="Arial"/>
          <w:bCs/>
          <w:color w:val="000000"/>
          <w:lang w:val="en"/>
        </w:rPr>
      </w:pPr>
    </w:p>
    <w:p w:rsidR="00252B38" w:rsidRDefault="00252B38">
      <w:pPr>
        <w:autoSpaceDE w:val="0"/>
        <w:autoSpaceDN w:val="0"/>
        <w:adjustRightInd w:val="0"/>
        <w:spacing w:before="60" w:after="60" w:line="288" w:lineRule="auto"/>
        <w:ind w:firstLine="720"/>
        <w:contextualSpacing/>
        <w:jc w:val="both"/>
        <w:rPr>
          <w:rFonts w:cs="Arial"/>
          <w:bCs/>
          <w:color w:val="000000"/>
          <w:lang w:val="en"/>
        </w:rPr>
      </w:pPr>
    </w:p>
    <w:p w:rsidR="00252B38" w:rsidRPr="002E01ED" w:rsidRDefault="008C6885">
      <w:pPr>
        <w:autoSpaceDE w:val="0"/>
        <w:autoSpaceDN w:val="0"/>
        <w:adjustRightInd w:val="0"/>
        <w:spacing w:before="60" w:after="60" w:line="288" w:lineRule="auto"/>
        <w:ind w:firstLine="709"/>
        <w:contextualSpacing/>
        <w:jc w:val="both"/>
        <w:rPr>
          <w:rFonts w:cs="Arial"/>
          <w:bCs/>
        </w:rPr>
      </w:pPr>
      <w:r w:rsidRPr="002E01ED">
        <w:rPr>
          <w:rFonts w:cs="Arial"/>
          <w:bCs/>
        </w:rPr>
        <w:t xml:space="preserve">The Programme environmental impact monitoring rated the degree to which the proposed </w:t>
      </w:r>
      <w:r w:rsidR="001320B2" w:rsidRPr="002E01ED">
        <w:rPr>
          <w:rFonts w:cs="Arial"/>
          <w:bCs/>
        </w:rPr>
        <w:t xml:space="preserve">programme </w:t>
      </w:r>
      <w:r w:rsidRPr="002E01ED">
        <w:rPr>
          <w:rFonts w:cs="Arial"/>
          <w:bCs/>
        </w:rPr>
        <w:t xml:space="preserve">indicators are suitable for monitoring environmental impact and </w:t>
      </w:r>
      <w:r w:rsidR="001320B2" w:rsidRPr="002E01ED">
        <w:rPr>
          <w:rFonts w:cs="Arial"/>
          <w:bCs/>
        </w:rPr>
        <w:t>reccommendations have been made for their adaptation:</w:t>
      </w:r>
    </w:p>
    <w:p w:rsidR="00252B38" w:rsidRDefault="00252B38">
      <w:pPr>
        <w:autoSpaceDE w:val="0"/>
        <w:autoSpaceDN w:val="0"/>
        <w:adjustRightInd w:val="0"/>
        <w:spacing w:before="60" w:after="60" w:line="288" w:lineRule="auto"/>
        <w:ind w:firstLine="709"/>
        <w:contextualSpacing/>
        <w:jc w:val="both"/>
        <w:rPr>
          <w:rFonts w:cs="Arial"/>
          <w:bCs/>
          <w:color w:val="FF0000"/>
        </w:rPr>
      </w:pPr>
    </w:p>
    <w:p w:rsidR="00066C91" w:rsidRDefault="00066C91">
      <w:pPr>
        <w:autoSpaceDE w:val="0"/>
        <w:autoSpaceDN w:val="0"/>
        <w:adjustRightInd w:val="0"/>
        <w:spacing w:before="60" w:after="60" w:line="288" w:lineRule="auto"/>
        <w:ind w:firstLine="709"/>
        <w:contextualSpacing/>
        <w:jc w:val="both"/>
        <w:rPr>
          <w:rFonts w:cs="Arial"/>
          <w:bCs/>
          <w:color w:val="FF0000"/>
        </w:rPr>
      </w:pPr>
    </w:p>
    <w:p w:rsidR="00066C91" w:rsidRDefault="00066C91">
      <w:pPr>
        <w:autoSpaceDE w:val="0"/>
        <w:autoSpaceDN w:val="0"/>
        <w:adjustRightInd w:val="0"/>
        <w:spacing w:before="60" w:after="60" w:line="288" w:lineRule="auto"/>
        <w:ind w:firstLine="709"/>
        <w:contextualSpacing/>
        <w:jc w:val="both"/>
        <w:rPr>
          <w:rFonts w:cs="Arial"/>
          <w:bCs/>
          <w:color w:val="FF0000"/>
        </w:rPr>
      </w:pPr>
    </w:p>
    <w:tbl>
      <w:tblPr>
        <w:tblpPr w:leftFromText="180" w:rightFromText="180" w:horzAnchor="page" w:tblpX="1029"/>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701"/>
        <w:gridCol w:w="3260"/>
        <w:gridCol w:w="3544"/>
      </w:tblGrid>
      <w:tr w:rsidR="00252B38" w:rsidTr="002E01ED">
        <w:trPr>
          <w:tblHeader/>
        </w:trPr>
        <w:tc>
          <w:tcPr>
            <w:tcW w:w="1951" w:type="dxa"/>
            <w:shd w:val="clear" w:color="auto" w:fill="auto"/>
          </w:tcPr>
          <w:p w:rsidR="00252B38" w:rsidRDefault="008C6885">
            <w:pPr>
              <w:autoSpaceDE w:val="0"/>
              <w:autoSpaceDN w:val="0"/>
              <w:adjustRightInd w:val="0"/>
              <w:contextualSpacing/>
              <w:jc w:val="both"/>
              <w:rPr>
                <w:rFonts w:cs="Arial"/>
                <w:b/>
                <w:bCs/>
                <w:sz w:val="22"/>
                <w:szCs w:val="22"/>
                <w:lang w:val="en-US"/>
              </w:rPr>
            </w:pPr>
            <w:r>
              <w:rPr>
                <w:b/>
                <w:snapToGrid w:val="0"/>
                <w:position w:val="-6"/>
                <w:sz w:val="22"/>
                <w:szCs w:val="22"/>
                <w:lang w:val="en-US"/>
              </w:rPr>
              <w:t>Thematic objectives</w:t>
            </w:r>
          </w:p>
        </w:tc>
        <w:tc>
          <w:tcPr>
            <w:tcW w:w="1701" w:type="dxa"/>
            <w:shd w:val="clear" w:color="auto" w:fill="auto"/>
          </w:tcPr>
          <w:p w:rsidR="00252B38" w:rsidRDefault="008C6885">
            <w:pPr>
              <w:autoSpaceDE w:val="0"/>
              <w:autoSpaceDN w:val="0"/>
              <w:adjustRightInd w:val="0"/>
              <w:contextualSpacing/>
              <w:jc w:val="both"/>
              <w:rPr>
                <w:rFonts w:cs="Arial"/>
                <w:b/>
                <w:bCs/>
                <w:sz w:val="22"/>
                <w:szCs w:val="22"/>
                <w:lang w:val="en-US"/>
              </w:rPr>
            </w:pPr>
            <w:r>
              <w:rPr>
                <w:b/>
                <w:snapToGrid w:val="0"/>
                <w:position w:val="-6"/>
                <w:sz w:val="22"/>
                <w:szCs w:val="22"/>
                <w:lang w:val="en-US"/>
              </w:rPr>
              <w:t>Priority</w:t>
            </w:r>
          </w:p>
        </w:tc>
        <w:tc>
          <w:tcPr>
            <w:tcW w:w="3260" w:type="dxa"/>
            <w:shd w:val="clear" w:color="auto" w:fill="auto"/>
          </w:tcPr>
          <w:p w:rsidR="00252B38" w:rsidRDefault="008C6885">
            <w:pPr>
              <w:autoSpaceDE w:val="0"/>
              <w:autoSpaceDN w:val="0"/>
              <w:adjustRightInd w:val="0"/>
              <w:contextualSpacing/>
              <w:jc w:val="both"/>
              <w:rPr>
                <w:rFonts w:cs="Arial"/>
                <w:b/>
                <w:bCs/>
                <w:sz w:val="22"/>
                <w:szCs w:val="22"/>
                <w:lang w:val="en-US"/>
              </w:rPr>
            </w:pPr>
            <w:r>
              <w:rPr>
                <w:rFonts w:cs="Arial"/>
                <w:b/>
                <w:bCs/>
                <w:sz w:val="22"/>
                <w:szCs w:val="22"/>
                <w:lang w:val="en-US"/>
              </w:rPr>
              <w:t>Assessment indicators</w:t>
            </w:r>
          </w:p>
        </w:tc>
        <w:tc>
          <w:tcPr>
            <w:tcW w:w="3544" w:type="dxa"/>
            <w:shd w:val="clear" w:color="auto" w:fill="auto"/>
          </w:tcPr>
          <w:p w:rsidR="00252B38" w:rsidRDefault="008C6885">
            <w:pPr>
              <w:autoSpaceDE w:val="0"/>
              <w:autoSpaceDN w:val="0"/>
              <w:adjustRightInd w:val="0"/>
              <w:contextualSpacing/>
              <w:jc w:val="both"/>
              <w:rPr>
                <w:rFonts w:cs="Arial"/>
                <w:b/>
                <w:bCs/>
                <w:sz w:val="22"/>
                <w:szCs w:val="22"/>
                <w:lang w:val="en-US"/>
              </w:rPr>
            </w:pPr>
            <w:r>
              <w:rPr>
                <w:rFonts w:cs="Arial"/>
                <w:b/>
                <w:bCs/>
                <w:sz w:val="22"/>
                <w:szCs w:val="22"/>
                <w:lang w:val="en-US"/>
              </w:rPr>
              <w:t>Recommendations</w:t>
            </w:r>
          </w:p>
        </w:tc>
      </w:tr>
      <w:tr w:rsidR="00252B38" w:rsidTr="002E01ED">
        <w:trPr>
          <w:trHeight w:val="377"/>
        </w:trPr>
        <w:tc>
          <w:tcPr>
            <w:tcW w:w="1951" w:type="dxa"/>
            <w:vMerge w:val="restart"/>
            <w:shd w:val="clear" w:color="auto" w:fill="auto"/>
          </w:tcPr>
          <w:p w:rsidR="00252B38" w:rsidRDefault="008C6885">
            <w:pPr>
              <w:spacing w:before="60" w:after="60" w:line="288" w:lineRule="auto"/>
              <w:jc w:val="both"/>
              <w:rPr>
                <w:b/>
                <w:sz w:val="22"/>
                <w:szCs w:val="22"/>
                <w:u w:val="single"/>
                <w:lang w:val="en-US"/>
              </w:rPr>
            </w:pPr>
            <w:r>
              <w:rPr>
                <w:b/>
                <w:sz w:val="22"/>
                <w:szCs w:val="22"/>
                <w:lang w:val="en-US"/>
              </w:rPr>
              <w:t>TO2 - SUPPORT TO EDUCATION, RESEARCH, TECHNOLOGICAL DEVELOPMENT &amp; INNOVATION</w:t>
            </w:r>
          </w:p>
          <w:p w:rsidR="00252B38" w:rsidRDefault="008C6885">
            <w:pPr>
              <w:autoSpaceDE w:val="0"/>
              <w:autoSpaceDN w:val="0"/>
              <w:adjustRightInd w:val="0"/>
              <w:contextualSpacing/>
              <w:jc w:val="both"/>
              <w:rPr>
                <w:rFonts w:cs="Arial"/>
                <w:bCs/>
                <w:sz w:val="22"/>
                <w:szCs w:val="22"/>
                <w:lang w:val="en-US"/>
              </w:rPr>
            </w:pPr>
            <w:r>
              <w:rPr>
                <w:b/>
                <w:bCs/>
                <w:i/>
                <w:iCs/>
                <w:sz w:val="22"/>
                <w:szCs w:val="22"/>
                <w:lang w:val="en-US"/>
              </w:rPr>
              <w:t>Objective 1</w:t>
            </w:r>
            <w:r>
              <w:rPr>
                <w:b/>
                <w:bCs/>
                <w:iCs/>
                <w:sz w:val="22"/>
                <w:szCs w:val="22"/>
                <w:lang w:val="en-US"/>
              </w:rPr>
              <w:t xml:space="preserve">: </w:t>
            </w:r>
            <w:r w:rsidR="001320B2" w:rsidRPr="001739C9">
              <w:rPr>
                <w:rFonts w:ascii="Times New Roman" w:hAnsi="Times New Roman"/>
                <w:i/>
                <w:sz w:val="22"/>
                <w:szCs w:val="22"/>
              </w:rPr>
              <w:t xml:space="preserve"> </w:t>
            </w:r>
            <w:r w:rsidR="001320B2" w:rsidRPr="001739C9">
              <w:rPr>
                <w:rFonts w:ascii="Times New Roman" w:hAnsi="Times New Roman"/>
                <w:i/>
                <w:sz w:val="22"/>
                <w:szCs w:val="22"/>
              </w:rPr>
              <w:lastRenderedPageBreak/>
              <w:t xml:space="preserve">Develop </w:t>
            </w:r>
            <w:r w:rsidR="001320B2" w:rsidRPr="008D4781">
              <w:rPr>
                <w:rFonts w:ascii="Times New Roman" w:hAnsi="Times New Roman"/>
                <w:i/>
                <w:sz w:val="22"/>
                <w:szCs w:val="22"/>
              </w:rPr>
              <w:t>education</w:t>
            </w:r>
            <w:r w:rsidR="001320B2" w:rsidRPr="001739C9">
              <w:rPr>
                <w:rFonts w:ascii="Times New Roman" w:hAnsi="Times New Roman"/>
                <w:i/>
                <w:sz w:val="22"/>
                <w:szCs w:val="22"/>
              </w:rPr>
              <w:t xml:space="preserve"> and</w:t>
            </w:r>
            <w:r w:rsidR="001320B2" w:rsidRPr="00EF3C14">
              <w:rPr>
                <w:rFonts w:ascii="Times New Roman" w:hAnsi="Times New Roman"/>
                <w:i/>
                <w:sz w:val="22"/>
              </w:rPr>
              <w:t xml:space="preserve"> </w:t>
            </w:r>
            <w:r w:rsidR="001320B2" w:rsidRPr="001739C9">
              <w:rPr>
                <w:rFonts w:ascii="Times New Roman" w:hAnsi="Times New Roman"/>
                <w:i/>
                <w:sz w:val="22"/>
                <w:szCs w:val="22"/>
              </w:rPr>
              <w:t>support research and innovation</w:t>
            </w:r>
            <w:r w:rsidR="001320B2" w:rsidRPr="008D4781">
              <w:rPr>
                <w:rFonts w:ascii="Times New Roman" w:hAnsi="Times New Roman"/>
                <w:i/>
                <w:sz w:val="22"/>
                <w:szCs w:val="22"/>
              </w:rPr>
              <w:t xml:space="preserve"> at the level of the Programme area</w:t>
            </w:r>
            <w:r w:rsidR="001320B2" w:rsidRPr="001739C9">
              <w:rPr>
                <w:rFonts w:ascii="Times New Roman" w:hAnsi="Times New Roman"/>
                <w:i/>
                <w:sz w:val="22"/>
                <w:szCs w:val="22"/>
              </w:rPr>
              <w:t xml:space="preserve"> by facilitating the cooperation at local, regional and central level</w:t>
            </w:r>
          </w:p>
        </w:tc>
        <w:tc>
          <w:tcPr>
            <w:tcW w:w="1701" w:type="dxa"/>
            <w:shd w:val="clear" w:color="auto" w:fill="auto"/>
          </w:tcPr>
          <w:p w:rsidR="00252B38" w:rsidRDefault="008C6885">
            <w:pPr>
              <w:tabs>
                <w:tab w:val="left" w:pos="12758"/>
              </w:tabs>
              <w:autoSpaceDE w:val="0"/>
              <w:autoSpaceDN w:val="0"/>
              <w:adjustRightInd w:val="0"/>
              <w:contextualSpacing/>
              <w:rPr>
                <w:rFonts w:cs="Arial"/>
                <w:bCs/>
                <w:sz w:val="22"/>
                <w:szCs w:val="22"/>
                <w:lang w:val="en-US"/>
              </w:rPr>
            </w:pPr>
            <w:r>
              <w:rPr>
                <w:rFonts w:cs="Arial"/>
                <w:bCs/>
                <w:sz w:val="22"/>
                <w:szCs w:val="22"/>
                <w:lang w:val="en-US"/>
              </w:rPr>
              <w:lastRenderedPageBreak/>
              <w:t xml:space="preserve">P1.1 </w:t>
            </w:r>
            <w:r>
              <w:rPr>
                <w:b/>
                <w:bCs/>
                <w:iCs/>
                <w:sz w:val="22"/>
                <w:szCs w:val="22"/>
                <w:lang w:val="en-US"/>
              </w:rPr>
              <w:t xml:space="preserve"> </w:t>
            </w:r>
            <w:r>
              <w:rPr>
                <w:bCs/>
                <w:iCs/>
                <w:sz w:val="22"/>
                <w:szCs w:val="22"/>
                <w:lang w:val="en-US"/>
              </w:rPr>
              <w:t>Institutional cooperation in the educational field for increasing access to education and quality of education</w:t>
            </w:r>
          </w:p>
        </w:tc>
        <w:tc>
          <w:tcPr>
            <w:tcW w:w="3260"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 xml:space="preserve">In order to see the effects on the environment of the proposed indicative actions it is necessary to include an additional indicator for the Programme </w:t>
            </w:r>
            <w:r>
              <w:rPr>
                <w:rFonts w:cs="Arial"/>
                <w:bCs/>
                <w:i/>
                <w:sz w:val="22"/>
                <w:szCs w:val="22"/>
                <w:lang w:val="en-US"/>
              </w:rPr>
              <w:t>"Number of educational institutions rehabilitated / modernized"</w:t>
            </w:r>
            <w:r>
              <w:rPr>
                <w:rFonts w:cs="Arial"/>
                <w:bCs/>
                <w:sz w:val="22"/>
                <w:szCs w:val="22"/>
                <w:lang w:val="en-US"/>
              </w:rPr>
              <w:t>. It can be determined without difficulty together with the proposed  indicator for the Programme</w:t>
            </w:r>
          </w:p>
        </w:tc>
        <w:tc>
          <w:tcPr>
            <w:tcW w:w="3544" w:type="dxa"/>
            <w:shd w:val="clear" w:color="auto" w:fill="auto"/>
          </w:tcPr>
          <w:p w:rsidR="00252B38" w:rsidRDefault="008C6885">
            <w:pPr>
              <w:autoSpaceDE w:val="0"/>
              <w:autoSpaceDN w:val="0"/>
              <w:adjustRightInd w:val="0"/>
              <w:contextualSpacing/>
              <w:rPr>
                <w:rFonts w:cs="Arial"/>
                <w:bCs/>
                <w:sz w:val="22"/>
                <w:szCs w:val="22"/>
                <w:lang w:val="en-US"/>
              </w:rPr>
            </w:pPr>
            <w:r>
              <w:rPr>
                <w:rFonts w:eastAsia="Calibri" w:cs="Arial"/>
                <w:sz w:val="22"/>
                <w:szCs w:val="22"/>
                <w:lang w:val="en-US" w:eastAsia="en-US"/>
              </w:rPr>
              <w:t xml:space="preserve">Rehabilitation/modernization/ extension/ equipment procurement for the educational infrastructure will fullfill all the environmental requirement and will be in line with best environmental practices like energy efficiency, waste management </w:t>
            </w:r>
          </w:p>
        </w:tc>
      </w:tr>
      <w:tr w:rsidR="00252B38" w:rsidTr="002E01ED">
        <w:trPr>
          <w:trHeight w:val="1194"/>
        </w:trPr>
        <w:tc>
          <w:tcPr>
            <w:tcW w:w="1951" w:type="dxa"/>
            <w:vMerge/>
            <w:shd w:val="clear" w:color="auto" w:fill="auto"/>
          </w:tcPr>
          <w:p w:rsidR="00252B38" w:rsidRDefault="00252B38">
            <w:pPr>
              <w:autoSpaceDE w:val="0"/>
              <w:autoSpaceDN w:val="0"/>
              <w:adjustRightInd w:val="0"/>
              <w:contextualSpacing/>
              <w:jc w:val="both"/>
              <w:rPr>
                <w:rFonts w:cs="Arial"/>
                <w:b/>
                <w:bCs/>
                <w:i/>
                <w:sz w:val="22"/>
                <w:szCs w:val="22"/>
                <w:lang w:val="en-US"/>
              </w:rPr>
            </w:pPr>
          </w:p>
        </w:tc>
        <w:tc>
          <w:tcPr>
            <w:tcW w:w="1701"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 xml:space="preserve">P1.2  </w:t>
            </w:r>
            <w:r>
              <w:rPr>
                <w:sz w:val="22"/>
                <w:szCs w:val="22"/>
                <w:lang w:val="en-US"/>
              </w:rPr>
              <w:t xml:space="preserve"> Promotion and support to research and innovation</w:t>
            </w:r>
          </w:p>
        </w:tc>
        <w:tc>
          <w:tcPr>
            <w:tcW w:w="3260" w:type="dxa"/>
            <w:shd w:val="clear" w:color="auto" w:fill="auto"/>
          </w:tcPr>
          <w:p w:rsidR="00252B38" w:rsidRDefault="008C6885" w:rsidP="001320B2">
            <w:pPr>
              <w:autoSpaceDE w:val="0"/>
              <w:autoSpaceDN w:val="0"/>
              <w:adjustRightInd w:val="0"/>
              <w:contextualSpacing/>
              <w:rPr>
                <w:rFonts w:cs="Arial"/>
                <w:bCs/>
                <w:sz w:val="22"/>
                <w:szCs w:val="22"/>
                <w:lang w:val="en-US"/>
              </w:rPr>
            </w:pPr>
            <w:r>
              <w:rPr>
                <w:rFonts w:cs="Arial"/>
                <w:bCs/>
                <w:sz w:val="22"/>
                <w:szCs w:val="22"/>
                <w:lang w:val="en-US"/>
              </w:rPr>
              <w:t>The proposed monitoring indicator for the Programme “Number of institution using Programme funds for cooperation in R &amp; D and innovation "</w:t>
            </w:r>
            <w:r w:rsidR="001320B2">
              <w:rPr>
                <w:rFonts w:cs="Arial"/>
                <w:bCs/>
                <w:i/>
                <w:sz w:val="22"/>
                <w:szCs w:val="22"/>
                <w:lang w:val="en-US"/>
              </w:rPr>
              <w:t xml:space="preserve"> can </w:t>
            </w:r>
            <w:r>
              <w:rPr>
                <w:rFonts w:cs="Arial"/>
                <w:bCs/>
                <w:i/>
                <w:sz w:val="22"/>
                <w:szCs w:val="22"/>
                <w:lang w:val="en-US"/>
              </w:rPr>
              <w:t>reflect also</w:t>
            </w:r>
            <w:r w:rsidR="001320B2">
              <w:rPr>
                <w:rFonts w:cs="Arial"/>
                <w:bCs/>
                <w:i/>
                <w:sz w:val="22"/>
                <w:szCs w:val="22"/>
                <w:lang w:val="en-US"/>
              </w:rPr>
              <w:t xml:space="preserve"> the </w:t>
            </w:r>
            <w:r>
              <w:rPr>
                <w:rFonts w:cs="Arial"/>
                <w:bCs/>
                <w:i/>
                <w:sz w:val="22"/>
                <w:szCs w:val="22"/>
                <w:lang w:val="en-US"/>
              </w:rPr>
              <w:t xml:space="preserve"> impact on the environment</w:t>
            </w:r>
            <w:r>
              <w:rPr>
                <w:rFonts w:cs="Arial"/>
                <w:bCs/>
                <w:sz w:val="22"/>
                <w:szCs w:val="22"/>
                <w:lang w:val="en-US"/>
              </w:rPr>
              <w:t>”</w:t>
            </w:r>
          </w:p>
        </w:tc>
        <w:tc>
          <w:tcPr>
            <w:tcW w:w="3544" w:type="dxa"/>
            <w:shd w:val="clear" w:color="auto" w:fill="auto"/>
          </w:tcPr>
          <w:p w:rsidR="00252B38" w:rsidRDefault="008C6885">
            <w:pPr>
              <w:autoSpaceDE w:val="0"/>
              <w:autoSpaceDN w:val="0"/>
              <w:adjustRightInd w:val="0"/>
              <w:contextualSpacing/>
              <w:rPr>
                <w:rFonts w:cs="Arial"/>
                <w:bCs/>
                <w:sz w:val="22"/>
                <w:szCs w:val="22"/>
                <w:lang w:val="en-US"/>
              </w:rPr>
            </w:pPr>
            <w:r>
              <w:rPr>
                <w:rFonts w:eastAsia="Calibri" w:cs="Arial"/>
                <w:sz w:val="22"/>
                <w:szCs w:val="22"/>
                <w:lang w:val="en-US" w:eastAsia="en-US"/>
              </w:rPr>
              <w:t xml:space="preserve">Rehabilitation/modernization/ extension/ equipment procurement for the research and innovation infrastructure will fullfill all the environmental requirement and will be in line with best environmental practices like energy efficiency, waste management </w:t>
            </w:r>
          </w:p>
        </w:tc>
      </w:tr>
      <w:tr w:rsidR="00252B38" w:rsidTr="002E01ED">
        <w:tc>
          <w:tcPr>
            <w:tcW w:w="1951" w:type="dxa"/>
            <w:shd w:val="clear" w:color="auto" w:fill="auto"/>
          </w:tcPr>
          <w:p w:rsidR="00252B38" w:rsidRDefault="008C6885">
            <w:pPr>
              <w:spacing w:before="60" w:after="60" w:line="288" w:lineRule="auto"/>
              <w:jc w:val="both"/>
              <w:rPr>
                <w:b/>
                <w:sz w:val="22"/>
                <w:szCs w:val="22"/>
                <w:lang w:val="en-US"/>
              </w:rPr>
            </w:pPr>
            <w:r>
              <w:rPr>
                <w:b/>
                <w:sz w:val="22"/>
                <w:szCs w:val="22"/>
                <w:lang w:val="en-US"/>
              </w:rPr>
              <w:lastRenderedPageBreak/>
              <w:t>TO3 - PROMOTION OF THE LOCAL CULTURE AND PRESERVATION OF HISTORICAL HERITAGE</w:t>
            </w:r>
          </w:p>
          <w:p w:rsidR="00252B38" w:rsidRDefault="008C6885">
            <w:pPr>
              <w:autoSpaceDE w:val="0"/>
              <w:autoSpaceDN w:val="0"/>
              <w:adjustRightInd w:val="0"/>
              <w:contextualSpacing/>
              <w:rPr>
                <w:rFonts w:cs="Arial"/>
                <w:bCs/>
                <w:sz w:val="22"/>
                <w:szCs w:val="22"/>
                <w:lang w:val="en-US"/>
              </w:rPr>
            </w:pPr>
            <w:r>
              <w:rPr>
                <w:b/>
                <w:bCs/>
                <w:i/>
                <w:iCs/>
                <w:sz w:val="22"/>
                <w:szCs w:val="22"/>
                <w:lang w:val="en-US"/>
              </w:rPr>
              <w:t xml:space="preserve">Objective 2:  </w:t>
            </w:r>
            <w:r w:rsidR="001320B2" w:rsidRPr="001739C9">
              <w:rPr>
                <w:rFonts w:ascii="Times New Roman" w:hAnsi="Times New Roman"/>
                <w:bCs/>
                <w:i/>
                <w:sz w:val="22"/>
                <w:szCs w:val="22"/>
              </w:rPr>
              <w:t xml:space="preserve"> Preservation of the cultural and historical heritage in the eligible area, support the developing of local culture, specific cultural identities and the cultural dialog</w:t>
            </w:r>
            <w:r w:rsidR="001320B2">
              <w:rPr>
                <w:rFonts w:ascii="Times New Roman" w:hAnsi="Times New Roman"/>
                <w:bCs/>
                <w:i/>
                <w:sz w:val="22"/>
                <w:szCs w:val="22"/>
              </w:rPr>
              <w:t xml:space="preserve"> contributing to an enhanced attractiveness of the eligible area.</w:t>
            </w:r>
          </w:p>
        </w:tc>
        <w:tc>
          <w:tcPr>
            <w:tcW w:w="1701"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 xml:space="preserve">P 2.1 </w:t>
            </w:r>
            <w:r>
              <w:rPr>
                <w:bCs/>
                <w:sz w:val="22"/>
                <w:szCs w:val="22"/>
                <w:lang w:val="en-US"/>
              </w:rPr>
              <w:t xml:space="preserve"> Preservation and promotion of the cultural and historical heritage</w:t>
            </w:r>
          </w:p>
        </w:tc>
        <w:tc>
          <w:tcPr>
            <w:tcW w:w="3260" w:type="dxa"/>
            <w:shd w:val="clear" w:color="auto" w:fill="auto"/>
          </w:tcPr>
          <w:p w:rsidR="00252B38" w:rsidRDefault="008C6885" w:rsidP="001320B2">
            <w:pPr>
              <w:autoSpaceDE w:val="0"/>
              <w:autoSpaceDN w:val="0"/>
              <w:adjustRightInd w:val="0"/>
              <w:contextualSpacing/>
              <w:rPr>
                <w:rFonts w:cs="Arial"/>
                <w:bCs/>
                <w:sz w:val="22"/>
                <w:szCs w:val="22"/>
                <w:lang w:val="en-US"/>
              </w:rPr>
            </w:pPr>
            <w:r>
              <w:rPr>
                <w:rFonts w:cs="Arial"/>
                <w:bCs/>
                <w:sz w:val="22"/>
                <w:szCs w:val="22"/>
                <w:lang w:val="en-US"/>
              </w:rPr>
              <w:t>The proposed monitoring indicator for the Programme “</w:t>
            </w:r>
            <w:r>
              <w:rPr>
                <w:rFonts w:cs="Arial"/>
                <w:bCs/>
                <w:i/>
                <w:sz w:val="22"/>
                <w:szCs w:val="22"/>
                <w:lang w:val="en-US"/>
              </w:rPr>
              <w:t xml:space="preserve">Number of historical and cultural monuments using Programme funds </w:t>
            </w:r>
            <w:r>
              <w:rPr>
                <w:rFonts w:cs="Arial"/>
                <w:bCs/>
                <w:sz w:val="22"/>
                <w:szCs w:val="22"/>
                <w:lang w:val="en-US"/>
              </w:rPr>
              <w:t>"</w:t>
            </w:r>
            <w:r w:rsidR="001320B2">
              <w:rPr>
                <w:rFonts w:cs="Arial"/>
                <w:bCs/>
                <w:sz w:val="22"/>
                <w:szCs w:val="22"/>
                <w:lang w:val="en-US"/>
              </w:rPr>
              <w:t xml:space="preserve">can </w:t>
            </w:r>
            <w:r>
              <w:rPr>
                <w:rFonts w:cs="Arial"/>
                <w:bCs/>
                <w:sz w:val="22"/>
                <w:szCs w:val="22"/>
                <w:lang w:val="en-US"/>
              </w:rPr>
              <w:t xml:space="preserve">reflect also the effects on cultural and historical heritage of the implementation of the projects financed under the indicative actions of this priority </w:t>
            </w:r>
          </w:p>
        </w:tc>
        <w:tc>
          <w:tcPr>
            <w:tcW w:w="3544" w:type="dxa"/>
            <w:shd w:val="clear" w:color="auto" w:fill="auto"/>
          </w:tcPr>
          <w:p w:rsidR="00252B38" w:rsidRDefault="008C6885">
            <w:pPr>
              <w:autoSpaceDE w:val="0"/>
              <w:autoSpaceDN w:val="0"/>
              <w:adjustRightInd w:val="0"/>
              <w:contextualSpacing/>
              <w:rPr>
                <w:rFonts w:eastAsia="EUAlbertina-Regular-Identity-H" w:cs="Arial"/>
                <w:bCs/>
                <w:sz w:val="22"/>
                <w:szCs w:val="22"/>
                <w:lang w:val="en-US" w:eastAsia="en-US"/>
              </w:rPr>
            </w:pPr>
            <w:r>
              <w:rPr>
                <w:rFonts w:eastAsia="EUAlbertina-Regular-Identity-H" w:cs="Arial"/>
                <w:bCs/>
                <w:sz w:val="22"/>
                <w:szCs w:val="22"/>
                <w:lang w:val="en-US" w:eastAsia="en-US"/>
              </w:rPr>
              <w:t xml:space="preserve">The technologies used for restoration, conservation and consolidation of cultural and historical monuments </w:t>
            </w:r>
            <w:r w:rsidR="001320B2">
              <w:rPr>
                <w:rFonts w:eastAsia="EUAlbertina-Regular-Identity-H" w:cs="Arial"/>
                <w:bCs/>
                <w:sz w:val="22"/>
                <w:szCs w:val="22"/>
                <w:lang w:val="en-US" w:eastAsia="en-US"/>
              </w:rPr>
              <w:t>should</w:t>
            </w:r>
            <w:r>
              <w:rPr>
                <w:rFonts w:eastAsia="EUAlbertina-Regular-Identity-H" w:cs="Arial"/>
                <w:bCs/>
                <w:sz w:val="22"/>
                <w:szCs w:val="22"/>
                <w:lang w:val="en-US" w:eastAsia="en-US"/>
              </w:rPr>
              <w:t xml:space="preserve"> be choose</w:t>
            </w:r>
            <w:r w:rsidR="001320B2">
              <w:rPr>
                <w:rFonts w:eastAsia="EUAlbertina-Regular-Identity-H" w:cs="Arial"/>
                <w:bCs/>
                <w:sz w:val="22"/>
                <w:szCs w:val="22"/>
                <w:lang w:val="en-US" w:eastAsia="en-US"/>
              </w:rPr>
              <w:t>n</w:t>
            </w:r>
            <w:r>
              <w:rPr>
                <w:rFonts w:eastAsia="EUAlbertina-Regular-Identity-H" w:cs="Arial"/>
                <w:bCs/>
                <w:sz w:val="22"/>
                <w:szCs w:val="22"/>
                <w:lang w:val="en-US" w:eastAsia="en-US"/>
              </w:rPr>
              <w:t xml:space="preserve"> so that their impact on environmental aspects to be minimized.</w:t>
            </w:r>
          </w:p>
          <w:p w:rsidR="00252B38" w:rsidRDefault="008C6885">
            <w:pPr>
              <w:autoSpaceDE w:val="0"/>
              <w:autoSpaceDN w:val="0"/>
              <w:adjustRightInd w:val="0"/>
              <w:contextualSpacing/>
              <w:rPr>
                <w:rFonts w:cs="Arial"/>
                <w:bCs/>
                <w:sz w:val="22"/>
                <w:szCs w:val="22"/>
                <w:lang w:val="en-US"/>
              </w:rPr>
            </w:pPr>
            <w:r>
              <w:rPr>
                <w:rFonts w:eastAsia="EUAlbertina-Regular-Identity-H" w:cs="Arial"/>
                <w:bCs/>
                <w:sz w:val="22"/>
                <w:szCs w:val="22"/>
                <w:lang w:val="en-US" w:eastAsia="en-US"/>
              </w:rPr>
              <w:t xml:space="preserve">Choosing and applying the proper restoration, conservation and consolidation technologies so as to avoid the impact on flora and fauna species and on aquatic ecosystems in the eligible area </w:t>
            </w:r>
          </w:p>
          <w:p w:rsidR="001320B2" w:rsidRDefault="001320B2">
            <w:pPr>
              <w:autoSpaceDE w:val="0"/>
              <w:autoSpaceDN w:val="0"/>
              <w:adjustRightInd w:val="0"/>
              <w:contextualSpacing/>
              <w:rPr>
                <w:rFonts w:cs="Arial"/>
                <w:bCs/>
                <w:sz w:val="22"/>
                <w:szCs w:val="22"/>
                <w:lang w:val="en-US"/>
              </w:rPr>
            </w:pPr>
          </w:p>
          <w:p w:rsidR="001320B2" w:rsidRDefault="001320B2">
            <w:pPr>
              <w:autoSpaceDE w:val="0"/>
              <w:autoSpaceDN w:val="0"/>
              <w:adjustRightInd w:val="0"/>
              <w:contextualSpacing/>
              <w:rPr>
                <w:rFonts w:cs="Arial"/>
                <w:bCs/>
                <w:sz w:val="22"/>
                <w:szCs w:val="22"/>
                <w:lang w:val="en-US"/>
              </w:rPr>
            </w:pPr>
            <w:r>
              <w:rPr>
                <w:rFonts w:cs="Arial"/>
                <w:bCs/>
                <w:sz w:val="22"/>
                <w:szCs w:val="22"/>
                <w:lang w:val="en-US"/>
              </w:rPr>
              <w:t>For ensuring security and valorization of monuments and cultural and historical objects energy efficient solutions should be taken into account and also the use of an integrated waste management if the case</w:t>
            </w:r>
          </w:p>
          <w:p w:rsidR="001320B2" w:rsidRDefault="001320B2">
            <w:pPr>
              <w:autoSpaceDE w:val="0"/>
              <w:autoSpaceDN w:val="0"/>
              <w:adjustRightInd w:val="0"/>
              <w:contextualSpacing/>
              <w:rPr>
                <w:rFonts w:cs="Arial"/>
                <w:bCs/>
                <w:sz w:val="22"/>
                <w:szCs w:val="22"/>
                <w:lang w:val="en-US"/>
              </w:rPr>
            </w:pPr>
          </w:p>
          <w:p w:rsidR="00252B38" w:rsidRDefault="00252B38">
            <w:pPr>
              <w:autoSpaceDE w:val="0"/>
              <w:autoSpaceDN w:val="0"/>
              <w:adjustRightInd w:val="0"/>
              <w:contextualSpacing/>
              <w:rPr>
                <w:rFonts w:cs="Arial"/>
                <w:bCs/>
                <w:sz w:val="22"/>
                <w:szCs w:val="22"/>
                <w:lang w:val="en-US"/>
              </w:rPr>
            </w:pPr>
          </w:p>
        </w:tc>
      </w:tr>
      <w:tr w:rsidR="00252B38" w:rsidTr="002E01ED">
        <w:trPr>
          <w:trHeight w:val="235"/>
        </w:trPr>
        <w:tc>
          <w:tcPr>
            <w:tcW w:w="1951" w:type="dxa"/>
            <w:shd w:val="clear" w:color="auto" w:fill="auto"/>
          </w:tcPr>
          <w:p w:rsidR="00252B38" w:rsidRDefault="008C6885">
            <w:pPr>
              <w:spacing w:before="60" w:after="60" w:line="288" w:lineRule="auto"/>
              <w:jc w:val="both"/>
              <w:rPr>
                <w:b/>
                <w:sz w:val="22"/>
                <w:szCs w:val="22"/>
                <w:lang w:val="en-US"/>
              </w:rPr>
            </w:pPr>
            <w:r>
              <w:rPr>
                <w:b/>
                <w:sz w:val="22"/>
                <w:szCs w:val="22"/>
                <w:lang w:val="en-US"/>
              </w:rPr>
              <w:t>TO7 - IMPROVEMENT OF ACCESSIBILITY TO THE REGIONS, DEVELOPMENT OF TRANSPORT AND COMMON NETWORKS AND SYSTEMS</w:t>
            </w:r>
          </w:p>
          <w:p w:rsidR="00252B38" w:rsidRDefault="008C6885" w:rsidP="002E01ED">
            <w:pPr>
              <w:spacing w:before="60" w:after="60" w:line="288" w:lineRule="auto"/>
              <w:jc w:val="both"/>
              <w:rPr>
                <w:rFonts w:cs="Arial"/>
                <w:bCs/>
                <w:sz w:val="22"/>
                <w:szCs w:val="22"/>
                <w:lang w:val="en-US"/>
              </w:rPr>
            </w:pPr>
            <w:r>
              <w:rPr>
                <w:b/>
                <w:bCs/>
                <w:i/>
                <w:iCs/>
                <w:sz w:val="22"/>
                <w:szCs w:val="22"/>
                <w:lang w:val="en-US"/>
              </w:rPr>
              <w:t>Objective 3:</w:t>
            </w:r>
            <w:r>
              <w:rPr>
                <w:b/>
                <w:bCs/>
                <w:iCs/>
                <w:sz w:val="22"/>
                <w:szCs w:val="22"/>
                <w:lang w:val="en-US"/>
              </w:rPr>
              <w:t xml:space="preserve">  </w:t>
            </w:r>
            <w:r>
              <w:rPr>
                <w:i/>
                <w:sz w:val="22"/>
                <w:szCs w:val="22"/>
                <w:lang w:val="en-US"/>
              </w:rPr>
              <w:t>Improve public transport services, infrastructure and ITC cooperation and networking</w:t>
            </w:r>
          </w:p>
        </w:tc>
        <w:tc>
          <w:tcPr>
            <w:tcW w:w="1701"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 xml:space="preserve">P 3.1 </w:t>
            </w:r>
            <w:r>
              <w:rPr>
                <w:b/>
                <w:bCs/>
                <w:sz w:val="22"/>
                <w:szCs w:val="22"/>
                <w:lang w:val="en-US"/>
              </w:rPr>
              <w:t xml:space="preserve"> </w:t>
            </w:r>
            <w:r>
              <w:rPr>
                <w:bCs/>
                <w:sz w:val="22"/>
                <w:szCs w:val="22"/>
                <w:lang w:val="en-US"/>
              </w:rPr>
              <w:t>Development of cross border transport infrastructure and ICT tools</w:t>
            </w:r>
          </w:p>
        </w:tc>
        <w:tc>
          <w:tcPr>
            <w:tcW w:w="3260"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Monitoring priorities effects revealed the need for an additional indicator for the program:</w:t>
            </w:r>
          </w:p>
          <w:p w:rsidR="00252B38" w:rsidRDefault="008C6885">
            <w:pPr>
              <w:autoSpaceDE w:val="0"/>
              <w:autoSpaceDN w:val="0"/>
              <w:adjustRightInd w:val="0"/>
              <w:contextualSpacing/>
              <w:rPr>
                <w:rFonts w:cs="Arial"/>
                <w:bCs/>
                <w:sz w:val="22"/>
                <w:szCs w:val="22"/>
                <w:lang w:val="en-US"/>
              </w:rPr>
            </w:pPr>
            <w:r>
              <w:rPr>
                <w:rFonts w:cs="Arial"/>
                <w:bCs/>
                <w:sz w:val="22"/>
                <w:szCs w:val="22"/>
                <w:lang w:val="en-US"/>
              </w:rPr>
              <w:t>"</w:t>
            </w:r>
            <w:r w:rsidR="001320B2">
              <w:rPr>
                <w:rFonts w:ascii="Times New Roman" w:hAnsi="Times New Roman"/>
                <w:color w:val="000000"/>
                <w:sz w:val="20"/>
                <w:szCs w:val="20"/>
              </w:rPr>
              <w:t xml:space="preserve"> </w:t>
            </w:r>
            <w:r w:rsidR="001320B2" w:rsidRPr="002E01ED">
              <w:rPr>
                <w:rFonts w:cs="Arial"/>
                <w:bCs/>
                <w:i/>
                <w:sz w:val="22"/>
                <w:szCs w:val="22"/>
                <w:lang w:val="en-US"/>
              </w:rPr>
              <w:t>Number of environmentally friendly (carbon-proofed) cross-border transport initiatives developed</w:t>
            </w:r>
            <w:r w:rsidR="001320B2" w:rsidDel="001320B2">
              <w:rPr>
                <w:rFonts w:cs="Arial"/>
                <w:bCs/>
                <w:i/>
                <w:sz w:val="22"/>
                <w:szCs w:val="22"/>
                <w:lang w:val="en-US"/>
              </w:rPr>
              <w:t xml:space="preserve"> </w:t>
            </w:r>
            <w:r>
              <w:rPr>
                <w:rFonts w:cs="Arial"/>
                <w:bCs/>
                <w:sz w:val="22"/>
                <w:szCs w:val="22"/>
                <w:lang w:val="en-US"/>
              </w:rPr>
              <w:t>" that clearly reflect how indicative activities will support reducing the environmental impact of transport.</w:t>
            </w:r>
          </w:p>
          <w:p w:rsidR="00252B38" w:rsidRDefault="008C6885">
            <w:pPr>
              <w:autoSpaceDE w:val="0"/>
              <w:autoSpaceDN w:val="0"/>
              <w:adjustRightInd w:val="0"/>
              <w:contextualSpacing/>
              <w:rPr>
                <w:rFonts w:cs="Arial"/>
                <w:bCs/>
                <w:sz w:val="22"/>
                <w:szCs w:val="22"/>
                <w:lang w:val="en-US"/>
              </w:rPr>
            </w:pPr>
            <w:r>
              <w:rPr>
                <w:rFonts w:cs="Arial"/>
                <w:bCs/>
                <w:sz w:val="22"/>
                <w:szCs w:val="22"/>
                <w:lang w:val="en-US"/>
              </w:rPr>
              <w:t>The second indicator proposed by the Programme, namely "</w:t>
            </w:r>
            <w:r>
              <w:rPr>
                <w:rFonts w:cs="Arial"/>
                <w:bCs/>
                <w:i/>
                <w:sz w:val="22"/>
                <w:szCs w:val="22"/>
                <w:lang w:val="en-US"/>
              </w:rPr>
              <w:t>The total length of roads rebuilt and rehabilitated</w:t>
            </w:r>
            <w:r>
              <w:rPr>
                <w:rFonts w:cs="Arial"/>
                <w:bCs/>
                <w:sz w:val="22"/>
                <w:szCs w:val="22"/>
                <w:lang w:val="en-US"/>
              </w:rPr>
              <w:t xml:space="preserve">" </w:t>
            </w:r>
            <w:r w:rsidR="00365595">
              <w:rPr>
                <w:rFonts w:cs="Arial"/>
                <w:bCs/>
                <w:sz w:val="22"/>
                <w:szCs w:val="22"/>
                <w:lang w:val="en-US"/>
              </w:rPr>
              <w:t xml:space="preserve">can also </w:t>
            </w:r>
            <w:r>
              <w:rPr>
                <w:rFonts w:cs="Arial"/>
                <w:bCs/>
                <w:sz w:val="22"/>
                <w:szCs w:val="22"/>
                <w:lang w:val="en-US"/>
              </w:rPr>
              <w:t xml:space="preserve">reflect the positive impact on the environment of the implementation of such indicative actions </w:t>
            </w:r>
          </w:p>
          <w:p w:rsidR="00252B38" w:rsidRDefault="008C6885">
            <w:pPr>
              <w:autoSpaceDE w:val="0"/>
              <w:autoSpaceDN w:val="0"/>
              <w:adjustRightInd w:val="0"/>
              <w:contextualSpacing/>
              <w:rPr>
                <w:rFonts w:cs="Arial"/>
                <w:bCs/>
                <w:sz w:val="22"/>
                <w:szCs w:val="22"/>
                <w:lang w:val="en-US"/>
              </w:rPr>
            </w:pPr>
            <w:r>
              <w:rPr>
                <w:rFonts w:cs="Arial"/>
                <w:bCs/>
                <w:sz w:val="22"/>
                <w:szCs w:val="22"/>
                <w:lang w:val="en-US"/>
              </w:rPr>
              <w:t xml:space="preserve">The action on facilitating multimodal transport should be reflected in the indicators. We recommend rewording the </w:t>
            </w:r>
            <w:r>
              <w:rPr>
                <w:rFonts w:cs="Arial"/>
                <w:bCs/>
                <w:sz w:val="22"/>
                <w:szCs w:val="22"/>
                <w:lang w:val="en-US"/>
              </w:rPr>
              <w:lastRenderedPageBreak/>
              <w:t>indicator on the number of joint strategies to reflect and multimodal transport</w:t>
            </w:r>
          </w:p>
        </w:tc>
        <w:tc>
          <w:tcPr>
            <w:tcW w:w="3544" w:type="dxa"/>
            <w:shd w:val="clear" w:color="auto" w:fill="auto"/>
          </w:tcPr>
          <w:p w:rsidR="00252B38" w:rsidRDefault="008C6885">
            <w:pPr>
              <w:autoSpaceDE w:val="0"/>
              <w:autoSpaceDN w:val="0"/>
              <w:adjustRightInd w:val="0"/>
              <w:contextualSpacing/>
              <w:rPr>
                <w:rFonts w:cs="Arial"/>
                <w:bCs/>
                <w:sz w:val="22"/>
                <w:szCs w:val="22"/>
                <w:lang w:val="en-US"/>
              </w:rPr>
            </w:pPr>
            <w:r>
              <w:rPr>
                <w:rFonts w:eastAsia="EUAlbertina-Regular-Identity-H" w:cs="Arial"/>
                <w:sz w:val="22"/>
                <w:szCs w:val="22"/>
                <w:lang w:val="en-US" w:eastAsia="en-US"/>
              </w:rPr>
              <w:lastRenderedPageBreak/>
              <w:t xml:space="preserve">Construction, rehabilitation, modernization, enhancement of cross-border transport infrastructure will </w:t>
            </w:r>
            <w:r>
              <w:rPr>
                <w:rFonts w:cs="Arial"/>
                <w:bCs/>
                <w:sz w:val="22"/>
                <w:szCs w:val="22"/>
                <w:lang w:val="en-US"/>
              </w:rPr>
              <w:t>have to undergo the EIA / SEA procedure</w:t>
            </w:r>
            <w:r w:rsidR="00365595">
              <w:rPr>
                <w:rFonts w:cs="Arial"/>
                <w:bCs/>
                <w:sz w:val="22"/>
                <w:szCs w:val="22"/>
                <w:lang w:val="en-US"/>
              </w:rPr>
              <w:t xml:space="preserve"> (where required by the legislation)</w:t>
            </w:r>
            <w:r>
              <w:rPr>
                <w:rFonts w:cs="Arial"/>
                <w:bCs/>
                <w:sz w:val="22"/>
                <w:szCs w:val="22"/>
                <w:lang w:val="en-US"/>
              </w:rPr>
              <w:t xml:space="preserve"> and where appropriate through a proper evaluation to see the impact on the Natura 2000 network.</w:t>
            </w:r>
          </w:p>
          <w:p w:rsidR="00252B38" w:rsidRDefault="008C6885">
            <w:pPr>
              <w:autoSpaceDE w:val="0"/>
              <w:autoSpaceDN w:val="0"/>
              <w:adjustRightInd w:val="0"/>
              <w:contextualSpacing/>
              <w:rPr>
                <w:rFonts w:cs="Arial"/>
                <w:bCs/>
                <w:sz w:val="22"/>
                <w:szCs w:val="22"/>
                <w:lang w:val="en-US"/>
              </w:rPr>
            </w:pPr>
            <w:r>
              <w:rPr>
                <w:rFonts w:cs="Arial"/>
                <w:bCs/>
                <w:sz w:val="22"/>
                <w:szCs w:val="22"/>
                <w:lang w:val="en-US"/>
              </w:rPr>
              <w:t>Transboundary consultations under the Espoo Convention should be considered when transboundary impacts occur.</w:t>
            </w:r>
          </w:p>
          <w:p w:rsidR="00252B38" w:rsidRDefault="008C6885">
            <w:pPr>
              <w:autoSpaceDE w:val="0"/>
              <w:autoSpaceDN w:val="0"/>
              <w:adjustRightInd w:val="0"/>
              <w:contextualSpacing/>
              <w:rPr>
                <w:rFonts w:cs="Arial"/>
                <w:bCs/>
                <w:sz w:val="22"/>
                <w:szCs w:val="22"/>
                <w:lang w:val="en-US"/>
              </w:rPr>
            </w:pPr>
            <w:r>
              <w:rPr>
                <w:rFonts w:cs="Arial"/>
                <w:bCs/>
                <w:sz w:val="22"/>
                <w:szCs w:val="22"/>
                <w:lang w:val="en-US"/>
              </w:rPr>
              <w:t xml:space="preserve">Choosing construction/ rehabilitation/ widening roads technologies </w:t>
            </w:r>
            <w:r>
              <w:rPr>
                <w:sz w:val="22"/>
                <w:szCs w:val="22"/>
                <w:lang w:val="en-US"/>
              </w:rPr>
              <w:t xml:space="preserve">with low emissions of particulate matter </w:t>
            </w:r>
            <w:r>
              <w:rPr>
                <w:rFonts w:cs="Arial"/>
                <w:bCs/>
                <w:sz w:val="22"/>
                <w:szCs w:val="22"/>
                <w:lang w:val="en-US"/>
              </w:rPr>
              <w:t>, avoid</w:t>
            </w:r>
            <w:r w:rsidR="00365595">
              <w:rPr>
                <w:rFonts w:cs="Arial"/>
                <w:bCs/>
                <w:sz w:val="22"/>
                <w:szCs w:val="22"/>
                <w:lang w:val="en-US"/>
              </w:rPr>
              <w:t>ing</w:t>
            </w:r>
            <w:r>
              <w:rPr>
                <w:rFonts w:cs="Arial"/>
                <w:bCs/>
                <w:sz w:val="22"/>
                <w:szCs w:val="22"/>
                <w:lang w:val="en-US"/>
              </w:rPr>
              <w:t xml:space="preserve"> </w:t>
            </w:r>
            <w:r>
              <w:rPr>
                <w:sz w:val="22"/>
                <w:szCs w:val="22"/>
                <w:lang w:val="en-US"/>
              </w:rPr>
              <w:t xml:space="preserve">contamination of soil and water </w:t>
            </w:r>
            <w:r w:rsidR="00365595">
              <w:rPr>
                <w:sz w:val="22"/>
                <w:szCs w:val="22"/>
                <w:lang w:val="en-US"/>
              </w:rPr>
              <w:t>by liquid fuel</w:t>
            </w:r>
            <w:r>
              <w:rPr>
                <w:sz w:val="22"/>
                <w:szCs w:val="22"/>
                <w:lang w:val="en-US"/>
              </w:rPr>
              <w:t xml:space="preserve"> or other construction materials during </w:t>
            </w:r>
            <w:r w:rsidR="00365595">
              <w:rPr>
                <w:sz w:val="22"/>
                <w:szCs w:val="22"/>
                <w:lang w:val="en-US"/>
              </w:rPr>
              <w:t>execution</w:t>
            </w:r>
            <w:r>
              <w:rPr>
                <w:sz w:val="22"/>
                <w:szCs w:val="22"/>
                <w:lang w:val="en-US"/>
              </w:rPr>
              <w:t xml:space="preserve"> period</w:t>
            </w:r>
            <w:r>
              <w:rPr>
                <w:rFonts w:cs="Arial"/>
                <w:bCs/>
                <w:sz w:val="22"/>
                <w:szCs w:val="22"/>
                <w:lang w:val="en-US"/>
              </w:rPr>
              <w:t>.</w:t>
            </w:r>
          </w:p>
          <w:p w:rsidR="00252B38" w:rsidRDefault="008C6885">
            <w:pPr>
              <w:autoSpaceDE w:val="0"/>
              <w:autoSpaceDN w:val="0"/>
              <w:adjustRightInd w:val="0"/>
              <w:contextualSpacing/>
              <w:rPr>
                <w:sz w:val="22"/>
                <w:szCs w:val="22"/>
                <w:lang w:val="en-US"/>
              </w:rPr>
            </w:pPr>
            <w:r>
              <w:rPr>
                <w:sz w:val="22"/>
                <w:szCs w:val="22"/>
                <w:lang w:val="en-US"/>
              </w:rPr>
              <w:t xml:space="preserve">Choosing </w:t>
            </w:r>
            <w:r w:rsidR="00365595">
              <w:rPr>
                <w:sz w:val="22"/>
                <w:szCs w:val="22"/>
                <w:lang w:val="en-US"/>
              </w:rPr>
              <w:t>routes</w:t>
            </w:r>
            <w:r>
              <w:rPr>
                <w:sz w:val="22"/>
                <w:szCs w:val="22"/>
                <w:lang w:val="en-US"/>
              </w:rPr>
              <w:t xml:space="preserve"> that do not affect species of flora, fauna and aquatic ecosystems.</w:t>
            </w:r>
          </w:p>
          <w:p w:rsidR="00252B38" w:rsidRDefault="008C6885">
            <w:pPr>
              <w:autoSpaceDE w:val="0"/>
              <w:autoSpaceDN w:val="0"/>
              <w:adjustRightInd w:val="0"/>
              <w:contextualSpacing/>
              <w:rPr>
                <w:rFonts w:cs="Arial"/>
                <w:bCs/>
                <w:sz w:val="22"/>
                <w:szCs w:val="22"/>
                <w:lang w:val="en-US"/>
              </w:rPr>
            </w:pPr>
            <w:r>
              <w:rPr>
                <w:rFonts w:cs="Arial"/>
                <w:bCs/>
                <w:sz w:val="22"/>
                <w:szCs w:val="22"/>
                <w:lang w:val="en-US"/>
              </w:rPr>
              <w:lastRenderedPageBreak/>
              <w:t xml:space="preserve"> </w:t>
            </w:r>
          </w:p>
        </w:tc>
      </w:tr>
      <w:tr w:rsidR="00252B38" w:rsidTr="002E01ED">
        <w:trPr>
          <w:trHeight w:val="1380"/>
        </w:trPr>
        <w:tc>
          <w:tcPr>
            <w:tcW w:w="1951" w:type="dxa"/>
            <w:vMerge w:val="restart"/>
            <w:shd w:val="clear" w:color="auto" w:fill="auto"/>
          </w:tcPr>
          <w:p w:rsidR="00252B38" w:rsidRDefault="008C6885">
            <w:pPr>
              <w:spacing w:before="60" w:after="60" w:line="288" w:lineRule="auto"/>
              <w:jc w:val="both"/>
              <w:rPr>
                <w:b/>
                <w:sz w:val="22"/>
                <w:szCs w:val="22"/>
                <w:lang w:val="en-US"/>
              </w:rPr>
            </w:pPr>
            <w:r>
              <w:rPr>
                <w:b/>
                <w:sz w:val="22"/>
                <w:szCs w:val="22"/>
                <w:lang w:val="en-US"/>
              </w:rPr>
              <w:lastRenderedPageBreak/>
              <w:t>TO8 - COMMON CHALLENGES IN THE FIELD OF SAFETY AND SECURITY</w:t>
            </w:r>
          </w:p>
          <w:p w:rsidR="00252B38" w:rsidRDefault="008C6885">
            <w:pPr>
              <w:spacing w:before="60" w:after="60" w:line="288" w:lineRule="auto"/>
              <w:jc w:val="both"/>
              <w:rPr>
                <w:i/>
                <w:sz w:val="22"/>
                <w:szCs w:val="22"/>
                <w:lang w:val="en-US"/>
              </w:rPr>
            </w:pPr>
            <w:r>
              <w:rPr>
                <w:b/>
                <w:bCs/>
                <w:i/>
                <w:iCs/>
                <w:sz w:val="22"/>
                <w:szCs w:val="22"/>
                <w:lang w:val="en-US"/>
              </w:rPr>
              <w:t xml:space="preserve">Objective 4:  </w:t>
            </w:r>
            <w:r>
              <w:rPr>
                <w:i/>
                <w:sz w:val="22"/>
                <w:szCs w:val="22"/>
                <w:lang w:val="en-US"/>
              </w:rPr>
              <w:t>Addressing common challenges in cross-border security, access to health, management of natural and anthropic risks and emergency situations through joint projects</w:t>
            </w:r>
          </w:p>
          <w:p w:rsidR="00252B38" w:rsidRDefault="00252B38">
            <w:pPr>
              <w:autoSpaceDE w:val="0"/>
              <w:autoSpaceDN w:val="0"/>
              <w:adjustRightInd w:val="0"/>
              <w:contextualSpacing/>
              <w:rPr>
                <w:rFonts w:cs="Arial"/>
                <w:bCs/>
                <w:sz w:val="22"/>
                <w:szCs w:val="22"/>
                <w:lang w:val="en-US"/>
              </w:rPr>
            </w:pPr>
          </w:p>
        </w:tc>
        <w:tc>
          <w:tcPr>
            <w:tcW w:w="1701"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 xml:space="preserve">P 4.1 </w:t>
            </w:r>
            <w:r>
              <w:rPr>
                <w:sz w:val="22"/>
                <w:szCs w:val="22"/>
                <w:lang w:val="en-US"/>
              </w:rPr>
              <w:t xml:space="preserve"> </w:t>
            </w:r>
            <w:r>
              <w:rPr>
                <w:rFonts w:cs="Arial"/>
                <w:bCs/>
                <w:sz w:val="22"/>
                <w:szCs w:val="22"/>
                <w:lang w:val="en-US"/>
              </w:rPr>
              <w:t>Support to the development of health services and access to health</w:t>
            </w:r>
          </w:p>
        </w:tc>
        <w:tc>
          <w:tcPr>
            <w:tcW w:w="3260"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The proposed monitoring indicators  for the Programme “</w:t>
            </w:r>
            <w:r w:rsidR="002A5FB1" w:rsidRPr="00DA32EB">
              <w:rPr>
                <w:rFonts w:ascii="Times New Roman" w:hAnsi="Times New Roman"/>
                <w:bCs/>
                <w:color w:val="000000"/>
                <w:sz w:val="20"/>
                <w:szCs w:val="20"/>
              </w:rPr>
              <w:t xml:space="preserve"> </w:t>
            </w:r>
            <w:r w:rsidR="002A5FB1" w:rsidRPr="002E01ED">
              <w:rPr>
                <w:rFonts w:cs="Arial"/>
                <w:bCs/>
                <w:i/>
                <w:sz w:val="22"/>
                <w:szCs w:val="22"/>
                <w:lang w:val="en-US"/>
              </w:rPr>
              <w:t>Number of medical service infrastructure units improved</w:t>
            </w:r>
            <w:r w:rsidR="002A5FB1" w:rsidDel="002A5FB1">
              <w:rPr>
                <w:rFonts w:cs="Arial"/>
                <w:bCs/>
                <w:i/>
                <w:sz w:val="22"/>
                <w:szCs w:val="22"/>
                <w:lang w:val="en-US"/>
              </w:rPr>
              <w:t xml:space="preserve"> </w:t>
            </w:r>
            <w:r w:rsidRPr="002E01ED">
              <w:rPr>
                <w:rFonts w:cs="Arial"/>
                <w:bCs/>
                <w:i/>
                <w:sz w:val="22"/>
                <w:szCs w:val="22"/>
                <w:lang w:val="en-US"/>
              </w:rPr>
              <w:t>”</w:t>
            </w:r>
            <w:r>
              <w:rPr>
                <w:rFonts w:cs="Arial"/>
                <w:bCs/>
                <w:sz w:val="22"/>
                <w:szCs w:val="22"/>
                <w:lang w:val="en-US"/>
              </w:rPr>
              <w:t xml:space="preserve"> and </w:t>
            </w:r>
            <w:r>
              <w:rPr>
                <w:sz w:val="22"/>
                <w:szCs w:val="22"/>
                <w:lang w:val="en-US"/>
              </w:rPr>
              <w:t xml:space="preserve"> </w:t>
            </w:r>
            <w:r>
              <w:rPr>
                <w:rFonts w:cs="Arial"/>
                <w:bCs/>
                <w:sz w:val="22"/>
                <w:szCs w:val="22"/>
                <w:lang w:val="en-US"/>
              </w:rPr>
              <w:t>"</w:t>
            </w:r>
            <w:r w:rsidR="002A5FB1" w:rsidRPr="00DA32EB">
              <w:rPr>
                <w:rFonts w:ascii="Times New Roman" w:hAnsi="Times New Roman"/>
                <w:bCs/>
                <w:color w:val="000000"/>
                <w:sz w:val="20"/>
                <w:szCs w:val="20"/>
              </w:rPr>
              <w:t xml:space="preserve"> </w:t>
            </w:r>
            <w:r w:rsidR="002A5FB1" w:rsidRPr="002E01ED">
              <w:rPr>
                <w:rFonts w:cs="Arial"/>
                <w:bCs/>
                <w:i/>
                <w:sz w:val="22"/>
                <w:szCs w:val="22"/>
                <w:lang w:val="en-US"/>
              </w:rPr>
              <w:t>Population covered by improved health services as a direct consequence of programme support</w:t>
            </w:r>
            <w:r w:rsidR="002A5FB1" w:rsidDel="002A5FB1">
              <w:rPr>
                <w:rFonts w:cs="Arial"/>
                <w:bCs/>
                <w:i/>
                <w:sz w:val="22"/>
                <w:szCs w:val="22"/>
                <w:lang w:val="en-US"/>
              </w:rPr>
              <w:t xml:space="preserve"> </w:t>
            </w:r>
            <w:r>
              <w:rPr>
                <w:rFonts w:cs="Arial"/>
                <w:bCs/>
                <w:sz w:val="22"/>
                <w:szCs w:val="22"/>
                <w:lang w:val="en-US"/>
              </w:rPr>
              <w:t>" will reflect the impact on the population and public health of the indicative actions</w:t>
            </w:r>
          </w:p>
        </w:tc>
        <w:tc>
          <w:tcPr>
            <w:tcW w:w="3544"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Developing  health facilities or improving them will consider all environmental legislative requirements regarding air, water and soil quality, including waste management principles. It will consider the impact on biodiversity when appropriate.</w:t>
            </w:r>
          </w:p>
        </w:tc>
      </w:tr>
      <w:tr w:rsidR="00252B38" w:rsidTr="002E01ED">
        <w:trPr>
          <w:trHeight w:val="557"/>
        </w:trPr>
        <w:tc>
          <w:tcPr>
            <w:tcW w:w="1951" w:type="dxa"/>
            <w:vMerge/>
            <w:shd w:val="clear" w:color="auto" w:fill="auto"/>
          </w:tcPr>
          <w:p w:rsidR="00252B38" w:rsidRDefault="00252B38">
            <w:pPr>
              <w:autoSpaceDE w:val="0"/>
              <w:autoSpaceDN w:val="0"/>
              <w:adjustRightInd w:val="0"/>
              <w:contextualSpacing/>
              <w:jc w:val="both"/>
              <w:rPr>
                <w:rFonts w:cs="Arial"/>
                <w:b/>
                <w:bCs/>
                <w:sz w:val="22"/>
                <w:szCs w:val="22"/>
                <w:lang w:val="en-US"/>
              </w:rPr>
            </w:pPr>
          </w:p>
        </w:tc>
        <w:tc>
          <w:tcPr>
            <w:tcW w:w="1701"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iCs/>
                <w:sz w:val="22"/>
                <w:szCs w:val="22"/>
                <w:lang w:val="en-US"/>
              </w:rPr>
              <w:t xml:space="preserve">P 4.2 </w:t>
            </w:r>
            <w:r>
              <w:rPr>
                <w:sz w:val="22"/>
                <w:szCs w:val="22"/>
                <w:lang w:val="en-US"/>
              </w:rPr>
              <w:t xml:space="preserve"> </w:t>
            </w:r>
            <w:r>
              <w:rPr>
                <w:rFonts w:cs="Arial"/>
                <w:bCs/>
                <w:iCs/>
                <w:sz w:val="22"/>
                <w:szCs w:val="22"/>
                <w:lang w:val="en-US"/>
              </w:rPr>
              <w:t>Support to joint activities for the prevention of natural and man-made disasters as well as joint actions during emergency situations</w:t>
            </w:r>
          </w:p>
        </w:tc>
        <w:tc>
          <w:tcPr>
            <w:tcW w:w="3260"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The indicator "</w:t>
            </w:r>
            <w:r>
              <w:rPr>
                <w:rFonts w:cs="Arial"/>
                <w:bCs/>
                <w:i/>
                <w:sz w:val="22"/>
                <w:szCs w:val="22"/>
                <w:lang w:val="en-US"/>
              </w:rPr>
              <w:t>Number of population affected by the implementation of measures</w:t>
            </w:r>
            <w:r>
              <w:rPr>
                <w:rFonts w:cs="Arial"/>
                <w:bCs/>
                <w:sz w:val="22"/>
                <w:szCs w:val="22"/>
                <w:lang w:val="en-US"/>
              </w:rPr>
              <w:t xml:space="preserve">" </w:t>
            </w:r>
            <w:r w:rsidR="00066C91">
              <w:rPr>
                <w:rFonts w:cs="Arial"/>
                <w:bCs/>
                <w:sz w:val="22"/>
                <w:szCs w:val="22"/>
                <w:lang w:val="en-US"/>
              </w:rPr>
              <w:t xml:space="preserve">initially proposed for the monitoring of these activities </w:t>
            </w:r>
            <w:r>
              <w:rPr>
                <w:rFonts w:cs="Arial"/>
                <w:bCs/>
                <w:sz w:val="22"/>
                <w:szCs w:val="22"/>
                <w:lang w:val="en-US"/>
              </w:rPr>
              <w:t>coincide</w:t>
            </w:r>
            <w:r w:rsidR="00066C91">
              <w:rPr>
                <w:rFonts w:cs="Arial"/>
                <w:bCs/>
                <w:sz w:val="22"/>
                <w:szCs w:val="22"/>
                <w:lang w:val="en-US"/>
              </w:rPr>
              <w:t>d</w:t>
            </w:r>
            <w:r>
              <w:rPr>
                <w:rFonts w:cs="Arial"/>
                <w:bCs/>
                <w:sz w:val="22"/>
                <w:szCs w:val="22"/>
                <w:lang w:val="en-US"/>
              </w:rPr>
              <w:t xml:space="preserve"> with one of the Program</w:t>
            </w:r>
            <w:r w:rsidR="00066C91">
              <w:rPr>
                <w:rFonts w:cs="Arial"/>
                <w:bCs/>
                <w:sz w:val="22"/>
                <w:szCs w:val="22"/>
                <w:lang w:val="en-US"/>
              </w:rPr>
              <w:t xml:space="preserve"> indicators “</w:t>
            </w:r>
            <w:r w:rsidR="00066C91" w:rsidRPr="00882481">
              <w:rPr>
                <w:rFonts w:ascii="Times New Roman" w:hAnsi="Times New Roman"/>
                <w:color w:val="000000"/>
                <w:sz w:val="20"/>
                <w:szCs w:val="20"/>
              </w:rPr>
              <w:t xml:space="preserve"> </w:t>
            </w:r>
            <w:r w:rsidR="00066C91" w:rsidRPr="002E01ED">
              <w:rPr>
                <w:rFonts w:cs="Arial"/>
                <w:bCs/>
                <w:i/>
                <w:sz w:val="22"/>
                <w:szCs w:val="22"/>
                <w:lang w:val="en-US"/>
              </w:rPr>
              <w:t>Population benefiting from flood protection measures”</w:t>
            </w:r>
            <w:r w:rsidR="00066C91">
              <w:rPr>
                <w:rFonts w:cs="Arial"/>
                <w:bCs/>
                <w:sz w:val="22"/>
                <w:szCs w:val="22"/>
                <w:lang w:val="en-US"/>
              </w:rPr>
              <w:t xml:space="preserve"> </w:t>
            </w:r>
            <w:r>
              <w:rPr>
                <w:rFonts w:cs="Arial"/>
                <w:bCs/>
                <w:sz w:val="22"/>
                <w:szCs w:val="22"/>
                <w:lang w:val="en-US"/>
              </w:rPr>
              <w:t>and will reflect the positive environmental impact</w:t>
            </w:r>
          </w:p>
          <w:p w:rsidR="0016267B" w:rsidRPr="0016267B" w:rsidRDefault="008C6885" w:rsidP="00066C91">
            <w:pPr>
              <w:autoSpaceDE w:val="0"/>
              <w:autoSpaceDN w:val="0"/>
              <w:adjustRightInd w:val="0"/>
              <w:contextualSpacing/>
              <w:rPr>
                <w:rFonts w:cs="Arial"/>
                <w:bCs/>
                <w:i/>
                <w:sz w:val="22"/>
                <w:szCs w:val="22"/>
                <w:lang w:val="en-US"/>
              </w:rPr>
            </w:pPr>
            <w:r>
              <w:rPr>
                <w:rFonts w:cs="Arial"/>
                <w:bCs/>
                <w:sz w:val="22"/>
                <w:szCs w:val="22"/>
                <w:lang w:val="en-US"/>
              </w:rPr>
              <w:t>We recommend that the second proposed indicator for the Programme "</w:t>
            </w:r>
            <w:r>
              <w:rPr>
                <w:rFonts w:cs="Arial"/>
                <w:bCs/>
                <w:i/>
                <w:sz w:val="22"/>
                <w:szCs w:val="22"/>
                <w:lang w:val="en-US"/>
              </w:rPr>
              <w:t xml:space="preserve">Number of </w:t>
            </w:r>
            <w:r w:rsidR="00365595">
              <w:rPr>
                <w:rFonts w:cs="Arial"/>
                <w:bCs/>
                <w:i/>
                <w:sz w:val="22"/>
                <w:szCs w:val="22"/>
                <w:lang w:val="en-US"/>
              </w:rPr>
              <w:t>joint actions</w:t>
            </w:r>
            <w:r>
              <w:rPr>
                <w:rFonts w:cs="Arial"/>
                <w:bCs/>
                <w:i/>
                <w:sz w:val="22"/>
                <w:szCs w:val="22"/>
                <w:lang w:val="en-US"/>
              </w:rPr>
              <w:t xml:space="preserve"> (exchanges, training, study visits, joint planning session, etc.)</w:t>
            </w:r>
            <w:r>
              <w:rPr>
                <w:rFonts w:cs="Arial"/>
                <w:bCs/>
                <w:sz w:val="22"/>
                <w:szCs w:val="22"/>
                <w:lang w:val="en-US"/>
              </w:rPr>
              <w:t xml:space="preserve">" to be modified to reflect also the </w:t>
            </w:r>
            <w:r w:rsidR="00066C91">
              <w:rPr>
                <w:rFonts w:cs="Arial"/>
                <w:bCs/>
                <w:sz w:val="22"/>
                <w:szCs w:val="22"/>
                <w:lang w:val="en-US"/>
              </w:rPr>
              <w:t>LIP</w:t>
            </w:r>
            <w:r>
              <w:rPr>
                <w:rFonts w:cs="Arial"/>
                <w:bCs/>
                <w:sz w:val="22"/>
                <w:szCs w:val="22"/>
                <w:lang w:val="en-US"/>
              </w:rPr>
              <w:t xml:space="preserve"> "</w:t>
            </w:r>
            <w:r>
              <w:rPr>
                <w:rFonts w:cs="Arial"/>
                <w:bCs/>
                <w:i/>
                <w:sz w:val="22"/>
                <w:szCs w:val="22"/>
                <w:lang w:val="en-US"/>
              </w:rPr>
              <w:t>Clean River</w:t>
            </w:r>
            <w:r>
              <w:rPr>
                <w:rFonts w:cs="Arial"/>
                <w:bCs/>
                <w:sz w:val="22"/>
                <w:szCs w:val="22"/>
                <w:lang w:val="en-US"/>
              </w:rPr>
              <w:t xml:space="preserve">" and </w:t>
            </w:r>
            <w:r w:rsidR="00066C91">
              <w:rPr>
                <w:rFonts w:cs="Arial"/>
                <w:bCs/>
                <w:sz w:val="22"/>
                <w:szCs w:val="22"/>
                <w:lang w:val="en-US"/>
              </w:rPr>
              <w:t>to add</w:t>
            </w:r>
            <w:r>
              <w:rPr>
                <w:rFonts w:cs="Arial"/>
                <w:bCs/>
                <w:sz w:val="22"/>
                <w:szCs w:val="22"/>
                <w:lang w:val="en-US"/>
              </w:rPr>
              <w:t xml:space="preserve"> to the number of common action or to the report on monitoring indicators "</w:t>
            </w:r>
            <w:r>
              <w:rPr>
                <w:rFonts w:cs="Arial"/>
                <w:bCs/>
                <w:i/>
                <w:sz w:val="22"/>
                <w:szCs w:val="22"/>
                <w:lang w:val="en-US"/>
              </w:rPr>
              <w:t>new maps made or updated databases created, systems / structures made, equipment purchased</w:t>
            </w:r>
            <w:r>
              <w:rPr>
                <w:rFonts w:cs="Arial"/>
                <w:bCs/>
                <w:sz w:val="22"/>
                <w:szCs w:val="22"/>
                <w:lang w:val="en-US"/>
              </w:rPr>
              <w:t>" in order to monitor the impact of all indicative actions of this priority.</w:t>
            </w:r>
            <w:r w:rsidR="0016267B">
              <w:rPr>
                <w:rFonts w:cs="Arial"/>
                <w:bCs/>
                <w:sz w:val="22"/>
                <w:szCs w:val="22"/>
                <w:lang w:val="en-US"/>
              </w:rPr>
              <w:t xml:space="preserve"> An additional indicator was proposed for the monitoring of the environment: </w:t>
            </w:r>
            <w:r w:rsidR="0016267B">
              <w:rPr>
                <w:sz w:val="22"/>
                <w:szCs w:val="22"/>
              </w:rPr>
              <w:t xml:space="preserve"> </w:t>
            </w:r>
            <w:r w:rsidR="0016267B" w:rsidRPr="002E01ED">
              <w:rPr>
                <w:i/>
                <w:sz w:val="22"/>
                <w:szCs w:val="22"/>
              </w:rPr>
              <w:t>Land surface affected by the implementation of the measures</w:t>
            </w:r>
            <w:r w:rsidR="0016267B" w:rsidRPr="0016267B">
              <w:rPr>
                <w:rStyle w:val="FootnoteReference"/>
                <w:i/>
                <w:sz w:val="22"/>
                <w:szCs w:val="22"/>
              </w:rPr>
              <w:footnoteReference w:id="2"/>
            </w:r>
            <w:r w:rsidR="0016267B">
              <w:rPr>
                <w:i/>
                <w:sz w:val="22"/>
                <w:szCs w:val="22"/>
              </w:rPr>
              <w:t xml:space="preserve"> </w:t>
            </w:r>
          </w:p>
        </w:tc>
        <w:tc>
          <w:tcPr>
            <w:tcW w:w="3544"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 xml:space="preserve">The solutions chosen for disaster prevention </w:t>
            </w:r>
            <w:r w:rsidR="00512C94">
              <w:rPr>
                <w:rFonts w:cs="Arial"/>
                <w:bCs/>
                <w:sz w:val="22"/>
                <w:szCs w:val="22"/>
                <w:lang w:val="en-US"/>
              </w:rPr>
              <w:t>should be designed</w:t>
            </w:r>
            <w:r>
              <w:rPr>
                <w:rFonts w:cs="Arial"/>
                <w:bCs/>
                <w:sz w:val="22"/>
                <w:szCs w:val="22"/>
                <w:lang w:val="en-US"/>
              </w:rPr>
              <w:t xml:space="preserve"> so as not to affect the flora, fauna and aquatic ecosystems in these areas.</w:t>
            </w:r>
          </w:p>
          <w:p w:rsidR="00252B38" w:rsidRDefault="008C6885">
            <w:pPr>
              <w:autoSpaceDE w:val="0"/>
              <w:autoSpaceDN w:val="0"/>
              <w:adjustRightInd w:val="0"/>
              <w:contextualSpacing/>
              <w:rPr>
                <w:rFonts w:cs="Arial"/>
                <w:bCs/>
                <w:sz w:val="22"/>
                <w:szCs w:val="22"/>
                <w:lang w:val="en-US"/>
              </w:rPr>
            </w:pPr>
            <w:r>
              <w:rPr>
                <w:rFonts w:cs="Arial"/>
                <w:bCs/>
                <w:sz w:val="22"/>
                <w:szCs w:val="22"/>
                <w:lang w:val="en-US"/>
              </w:rPr>
              <w:t xml:space="preserve">The development of infrastructure for monitoring and intervention in case of emergency (eg buildings) </w:t>
            </w:r>
            <w:r w:rsidR="00512C94">
              <w:rPr>
                <w:rFonts w:cs="Arial"/>
                <w:bCs/>
                <w:sz w:val="22"/>
                <w:szCs w:val="22"/>
                <w:lang w:val="en-US"/>
              </w:rPr>
              <w:t xml:space="preserve">should </w:t>
            </w:r>
            <w:r>
              <w:rPr>
                <w:rFonts w:cs="Arial"/>
                <w:bCs/>
                <w:sz w:val="22"/>
                <w:szCs w:val="22"/>
                <w:lang w:val="en-US"/>
              </w:rPr>
              <w:t xml:space="preserve">be in line with all applicable environmental requirements and apply </w:t>
            </w:r>
            <w:r w:rsidR="00512C94">
              <w:rPr>
                <w:rFonts w:cs="Arial"/>
                <w:bCs/>
                <w:sz w:val="22"/>
                <w:szCs w:val="22"/>
                <w:lang w:val="en-US"/>
              </w:rPr>
              <w:t xml:space="preserve">the </w:t>
            </w:r>
            <w:r>
              <w:rPr>
                <w:rFonts w:cs="Arial"/>
                <w:bCs/>
                <w:sz w:val="22"/>
                <w:szCs w:val="22"/>
                <w:lang w:val="en-US"/>
              </w:rPr>
              <w:t>best environmental practices for ensuring the quality of air, water and soil and waste management.</w:t>
            </w:r>
          </w:p>
          <w:p w:rsidR="00252B38" w:rsidRDefault="00252B38">
            <w:pPr>
              <w:autoSpaceDE w:val="0"/>
              <w:autoSpaceDN w:val="0"/>
              <w:adjustRightInd w:val="0"/>
              <w:contextualSpacing/>
              <w:rPr>
                <w:rFonts w:cs="Arial"/>
                <w:bCs/>
                <w:sz w:val="22"/>
                <w:szCs w:val="22"/>
                <w:lang w:val="en-US"/>
              </w:rPr>
            </w:pPr>
          </w:p>
        </w:tc>
      </w:tr>
      <w:tr w:rsidR="00252B38" w:rsidTr="002E01ED">
        <w:trPr>
          <w:trHeight w:val="377"/>
        </w:trPr>
        <w:tc>
          <w:tcPr>
            <w:tcW w:w="1951" w:type="dxa"/>
            <w:vMerge/>
            <w:shd w:val="clear" w:color="auto" w:fill="auto"/>
          </w:tcPr>
          <w:p w:rsidR="00252B38" w:rsidRDefault="00252B38">
            <w:pPr>
              <w:autoSpaceDE w:val="0"/>
              <w:autoSpaceDN w:val="0"/>
              <w:adjustRightInd w:val="0"/>
              <w:contextualSpacing/>
              <w:jc w:val="both"/>
              <w:rPr>
                <w:rFonts w:cs="Arial"/>
                <w:b/>
                <w:bCs/>
                <w:sz w:val="22"/>
                <w:szCs w:val="22"/>
                <w:lang w:val="en-US"/>
              </w:rPr>
            </w:pPr>
          </w:p>
        </w:tc>
        <w:tc>
          <w:tcPr>
            <w:tcW w:w="1701"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 xml:space="preserve">P 4.3 </w:t>
            </w:r>
            <w:r>
              <w:rPr>
                <w:sz w:val="22"/>
                <w:szCs w:val="22"/>
                <w:lang w:val="en-US"/>
              </w:rPr>
              <w:t xml:space="preserve"> </w:t>
            </w:r>
            <w:r>
              <w:rPr>
                <w:rFonts w:cs="Arial"/>
                <w:bCs/>
                <w:sz w:val="22"/>
                <w:szCs w:val="22"/>
                <w:lang w:val="en-US"/>
              </w:rPr>
              <w:t>Prevention and fight against organised crime and police cooperation</w:t>
            </w:r>
          </w:p>
        </w:tc>
        <w:tc>
          <w:tcPr>
            <w:tcW w:w="3260"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 xml:space="preserve">The indicator proposed by the Program " </w:t>
            </w:r>
            <w:r>
              <w:rPr>
                <w:rFonts w:cs="Arial"/>
                <w:bCs/>
                <w:i/>
                <w:sz w:val="22"/>
                <w:szCs w:val="22"/>
                <w:lang w:val="en-US"/>
              </w:rPr>
              <w:t>Number of police units, border police, customs services in the eligible area upgraded</w:t>
            </w:r>
            <w:r>
              <w:rPr>
                <w:rFonts w:cs="Arial"/>
                <w:bCs/>
                <w:sz w:val="22"/>
                <w:szCs w:val="22"/>
                <w:lang w:val="en-US"/>
              </w:rPr>
              <w:t xml:space="preserve"> ", can monitor  </w:t>
            </w:r>
            <w:r>
              <w:rPr>
                <w:sz w:val="22"/>
                <w:szCs w:val="22"/>
                <w:lang w:val="en-US"/>
              </w:rPr>
              <w:t xml:space="preserve"> </w:t>
            </w:r>
            <w:r>
              <w:rPr>
                <w:rFonts w:cs="Arial"/>
                <w:bCs/>
                <w:sz w:val="22"/>
                <w:szCs w:val="22"/>
                <w:lang w:val="en-US"/>
              </w:rPr>
              <w:t>positive environmental impact</w:t>
            </w:r>
          </w:p>
        </w:tc>
        <w:tc>
          <w:tcPr>
            <w:tcW w:w="3544" w:type="dxa"/>
            <w:shd w:val="clear" w:color="auto" w:fill="auto"/>
          </w:tcPr>
          <w:p w:rsidR="00252B38" w:rsidRDefault="008C6885">
            <w:pPr>
              <w:autoSpaceDE w:val="0"/>
              <w:autoSpaceDN w:val="0"/>
              <w:adjustRightInd w:val="0"/>
              <w:contextualSpacing/>
              <w:jc w:val="both"/>
              <w:rPr>
                <w:rFonts w:cs="Arial"/>
                <w:bCs/>
                <w:sz w:val="22"/>
                <w:szCs w:val="22"/>
                <w:lang w:val="en-US"/>
              </w:rPr>
            </w:pPr>
            <w:r>
              <w:rPr>
                <w:rFonts w:cs="Arial"/>
                <w:bCs/>
                <w:sz w:val="22"/>
                <w:szCs w:val="22"/>
                <w:lang w:val="en-US"/>
              </w:rPr>
              <w:t xml:space="preserve">Construction, renovation or modernization of police / customs / border police / gendarmerie </w:t>
            </w:r>
            <w:r w:rsidR="009263EE">
              <w:rPr>
                <w:rFonts w:cs="Arial"/>
                <w:bCs/>
                <w:sz w:val="22"/>
                <w:szCs w:val="22"/>
                <w:lang w:val="en-US"/>
              </w:rPr>
              <w:t>should</w:t>
            </w:r>
            <w:r>
              <w:rPr>
                <w:rFonts w:cs="Arial"/>
                <w:bCs/>
                <w:sz w:val="22"/>
                <w:szCs w:val="22"/>
                <w:lang w:val="en-US"/>
              </w:rPr>
              <w:t xml:space="preserve"> consider all environmental legislative requirements regarding quality assurance of air, water and soil, including waste management principles.</w:t>
            </w:r>
          </w:p>
        </w:tc>
      </w:tr>
      <w:tr w:rsidR="00252B38" w:rsidTr="002E01ED">
        <w:trPr>
          <w:trHeight w:val="300"/>
        </w:trPr>
        <w:tc>
          <w:tcPr>
            <w:tcW w:w="1951" w:type="dxa"/>
            <w:vMerge w:val="restart"/>
            <w:shd w:val="clear" w:color="auto" w:fill="auto"/>
          </w:tcPr>
          <w:p w:rsidR="00252B38" w:rsidRDefault="008C6885">
            <w:pPr>
              <w:autoSpaceDE w:val="0"/>
              <w:autoSpaceDN w:val="0"/>
              <w:adjustRightInd w:val="0"/>
              <w:contextualSpacing/>
              <w:rPr>
                <w:rFonts w:cs="Arial"/>
                <w:b/>
                <w:bCs/>
                <w:sz w:val="22"/>
                <w:szCs w:val="22"/>
                <w:lang w:val="en-US"/>
              </w:rPr>
            </w:pPr>
            <w:r>
              <w:rPr>
                <w:b/>
                <w:sz w:val="22"/>
                <w:szCs w:val="22"/>
                <w:lang w:val="en-US"/>
              </w:rPr>
              <w:t xml:space="preserve">LARGE </w:t>
            </w:r>
            <w:r>
              <w:rPr>
                <w:b/>
                <w:sz w:val="22"/>
                <w:szCs w:val="22"/>
                <w:lang w:val="en-US"/>
              </w:rPr>
              <w:lastRenderedPageBreak/>
              <w:t>INFRASTRUCTURE PROJECTS</w:t>
            </w:r>
          </w:p>
        </w:tc>
        <w:tc>
          <w:tcPr>
            <w:tcW w:w="1701" w:type="dxa"/>
            <w:shd w:val="clear" w:color="auto" w:fill="auto"/>
          </w:tcPr>
          <w:p w:rsidR="00252B38" w:rsidRDefault="008C6885">
            <w:pPr>
              <w:autoSpaceDE w:val="0"/>
              <w:autoSpaceDN w:val="0"/>
              <w:adjustRightInd w:val="0"/>
              <w:contextualSpacing/>
              <w:rPr>
                <w:rFonts w:cs="Arial"/>
                <w:bCs/>
                <w:sz w:val="22"/>
                <w:szCs w:val="22"/>
                <w:lang w:val="en-US"/>
              </w:rPr>
            </w:pPr>
            <w:r>
              <w:rPr>
                <w:rFonts w:eastAsia="Calibri" w:cs="Arial"/>
                <w:sz w:val="22"/>
                <w:szCs w:val="22"/>
                <w:lang w:val="en-US" w:eastAsia="en-US"/>
              </w:rPr>
              <w:lastRenderedPageBreak/>
              <w:t xml:space="preserve">«Clean river» </w:t>
            </w:r>
            <w:r>
              <w:rPr>
                <w:rFonts w:eastAsia="Calibri" w:cs="Arial"/>
                <w:sz w:val="22"/>
                <w:szCs w:val="22"/>
                <w:lang w:val="en-US" w:eastAsia="en-US"/>
              </w:rPr>
              <w:lastRenderedPageBreak/>
              <w:t>Dunărea</w:t>
            </w:r>
            <w:r>
              <w:rPr>
                <w:rFonts w:cs="Arial"/>
                <w:bCs/>
                <w:sz w:val="22"/>
                <w:szCs w:val="22"/>
                <w:lang w:val="en-US"/>
              </w:rPr>
              <w:t xml:space="preserve">  (OT8) 4.2</w:t>
            </w:r>
          </w:p>
        </w:tc>
        <w:tc>
          <w:tcPr>
            <w:tcW w:w="3260" w:type="dxa"/>
            <w:shd w:val="clear" w:color="auto" w:fill="auto"/>
          </w:tcPr>
          <w:p w:rsidR="00252B38" w:rsidRDefault="008C6885" w:rsidP="00155EE8">
            <w:pPr>
              <w:autoSpaceDE w:val="0"/>
              <w:autoSpaceDN w:val="0"/>
              <w:adjustRightInd w:val="0"/>
              <w:ind w:left="72"/>
              <w:contextualSpacing/>
              <w:jc w:val="both"/>
              <w:rPr>
                <w:rFonts w:cs="Arial"/>
                <w:bCs/>
                <w:sz w:val="22"/>
                <w:szCs w:val="22"/>
                <w:lang w:val="en-US"/>
              </w:rPr>
            </w:pPr>
            <w:r>
              <w:rPr>
                <w:rFonts w:cs="Arial"/>
                <w:bCs/>
                <w:sz w:val="22"/>
                <w:szCs w:val="22"/>
                <w:lang w:val="en-US"/>
              </w:rPr>
              <w:lastRenderedPageBreak/>
              <w:t xml:space="preserve">The two indicators proposed </w:t>
            </w:r>
            <w:r>
              <w:rPr>
                <w:rFonts w:cs="Arial"/>
                <w:bCs/>
                <w:sz w:val="22"/>
                <w:szCs w:val="22"/>
                <w:lang w:val="en-US"/>
              </w:rPr>
              <w:lastRenderedPageBreak/>
              <w:t>by the Program "</w:t>
            </w:r>
            <w:r w:rsidRPr="009263EE">
              <w:rPr>
                <w:rFonts w:cs="Arial"/>
                <w:bCs/>
                <w:i/>
                <w:sz w:val="22"/>
                <w:szCs w:val="22"/>
                <w:lang w:val="en-US"/>
              </w:rPr>
              <w:t>Population benefiting from flood protection measures</w:t>
            </w:r>
            <w:r>
              <w:rPr>
                <w:rFonts w:cs="Arial"/>
                <w:bCs/>
                <w:sz w:val="22"/>
                <w:szCs w:val="22"/>
                <w:lang w:val="en-US"/>
              </w:rPr>
              <w:t>" and "</w:t>
            </w:r>
            <w:r w:rsidR="00155EE8" w:rsidRPr="002F37BA">
              <w:rPr>
                <w:rFonts w:ascii="Times New Roman" w:hAnsi="Times New Roman"/>
                <w:color w:val="000000"/>
                <w:sz w:val="20"/>
                <w:szCs w:val="20"/>
              </w:rPr>
              <w:t xml:space="preserve"> </w:t>
            </w:r>
            <w:r w:rsidR="00155EE8" w:rsidRPr="009263EE">
              <w:rPr>
                <w:rFonts w:cs="Arial"/>
                <w:bCs/>
                <w:i/>
                <w:sz w:val="22"/>
                <w:szCs w:val="22"/>
                <w:lang w:val="en-US"/>
              </w:rPr>
              <w:t>Number of joint actions, including soft operations, as well as joint infrastructure investments in the field of emergency situations and the prevention of man-made disaster</w:t>
            </w:r>
            <w:r w:rsidR="00155EE8">
              <w:rPr>
                <w:rFonts w:cs="Arial"/>
                <w:bCs/>
                <w:i/>
                <w:sz w:val="22"/>
                <w:szCs w:val="22"/>
                <w:lang w:val="en-US"/>
              </w:rPr>
              <w:t>s</w:t>
            </w:r>
            <w:r>
              <w:rPr>
                <w:rFonts w:cs="Arial"/>
                <w:bCs/>
                <w:sz w:val="22"/>
                <w:szCs w:val="22"/>
                <w:lang w:val="en-US"/>
              </w:rPr>
              <w:t xml:space="preserve"> " reflect the positive environmental impact due to measures of rehabilitation / modernization of wastewater pumping stations and the monitoring and quality control of the Danube</w:t>
            </w:r>
          </w:p>
        </w:tc>
        <w:tc>
          <w:tcPr>
            <w:tcW w:w="3544" w:type="dxa"/>
            <w:vMerge w:val="restart"/>
            <w:shd w:val="clear" w:color="auto" w:fill="auto"/>
          </w:tcPr>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AF1461" w:rsidRDefault="00AF1461">
            <w:pPr>
              <w:autoSpaceDE w:val="0"/>
              <w:autoSpaceDN w:val="0"/>
              <w:adjustRightInd w:val="0"/>
              <w:contextualSpacing/>
              <w:jc w:val="both"/>
              <w:rPr>
                <w:rFonts w:cs="Arial"/>
                <w:bCs/>
                <w:sz w:val="22"/>
                <w:szCs w:val="22"/>
                <w:lang w:val="en-US"/>
              </w:rPr>
            </w:pPr>
          </w:p>
          <w:p w:rsidR="00252B38" w:rsidRDefault="008C6885">
            <w:pPr>
              <w:autoSpaceDE w:val="0"/>
              <w:autoSpaceDN w:val="0"/>
              <w:adjustRightInd w:val="0"/>
              <w:contextualSpacing/>
              <w:jc w:val="both"/>
              <w:rPr>
                <w:rFonts w:cs="Arial"/>
                <w:bCs/>
                <w:sz w:val="22"/>
                <w:szCs w:val="22"/>
                <w:lang w:val="en-US"/>
              </w:rPr>
            </w:pPr>
            <w:r>
              <w:rPr>
                <w:rFonts w:cs="Arial"/>
                <w:bCs/>
                <w:sz w:val="22"/>
                <w:szCs w:val="22"/>
                <w:lang w:val="en-US"/>
              </w:rPr>
              <w:t xml:space="preserve">Realization of large infrastructure projects will have to undergo the procedure EIA / SEA and where appropriate through a </w:t>
            </w:r>
            <w:r w:rsidR="00AF1461">
              <w:rPr>
                <w:rFonts w:cs="Arial"/>
                <w:bCs/>
                <w:sz w:val="22"/>
                <w:szCs w:val="22"/>
                <w:lang w:val="en-US"/>
              </w:rPr>
              <w:t>biodiversity assessment</w:t>
            </w:r>
            <w:r>
              <w:rPr>
                <w:rFonts w:cs="Arial"/>
                <w:bCs/>
                <w:sz w:val="22"/>
                <w:szCs w:val="22"/>
                <w:lang w:val="en-US"/>
              </w:rPr>
              <w:t xml:space="preserve"> to see the impact on flora, fauna and aquatic ecosystems.</w:t>
            </w:r>
          </w:p>
          <w:p w:rsidR="00252B38" w:rsidRDefault="008C6885" w:rsidP="00AF1461">
            <w:pPr>
              <w:autoSpaceDE w:val="0"/>
              <w:autoSpaceDN w:val="0"/>
              <w:adjustRightInd w:val="0"/>
              <w:contextualSpacing/>
              <w:rPr>
                <w:rFonts w:cs="Arial"/>
                <w:bCs/>
                <w:sz w:val="22"/>
                <w:szCs w:val="22"/>
                <w:lang w:val="en-US"/>
              </w:rPr>
            </w:pPr>
            <w:r>
              <w:rPr>
                <w:rFonts w:cs="Arial"/>
                <w:bCs/>
                <w:sz w:val="22"/>
                <w:szCs w:val="22"/>
                <w:lang w:val="en-US"/>
              </w:rPr>
              <w:t>Transboundary consultations must be considered under the Espoo Convention, whe</w:t>
            </w:r>
            <w:r w:rsidR="00AF1461">
              <w:rPr>
                <w:rFonts w:cs="Arial"/>
                <w:bCs/>
                <w:sz w:val="22"/>
                <w:szCs w:val="22"/>
                <w:lang w:val="en-US"/>
              </w:rPr>
              <w:t>re</w:t>
            </w:r>
            <w:r>
              <w:rPr>
                <w:rFonts w:cs="Arial"/>
                <w:bCs/>
                <w:sz w:val="22"/>
                <w:szCs w:val="22"/>
                <w:lang w:val="en-US"/>
              </w:rPr>
              <w:t xml:space="preserve"> transboundary impacts</w:t>
            </w:r>
            <w:r w:rsidR="00AF1461">
              <w:rPr>
                <w:rFonts w:cs="Arial"/>
                <w:bCs/>
                <w:sz w:val="22"/>
                <w:szCs w:val="22"/>
                <w:lang w:val="en-US"/>
              </w:rPr>
              <w:t xml:space="preserve"> occur</w:t>
            </w:r>
          </w:p>
        </w:tc>
      </w:tr>
      <w:tr w:rsidR="00252B38" w:rsidTr="002E01ED">
        <w:trPr>
          <w:trHeight w:val="518"/>
        </w:trPr>
        <w:tc>
          <w:tcPr>
            <w:tcW w:w="1951" w:type="dxa"/>
            <w:vMerge/>
            <w:shd w:val="clear" w:color="auto" w:fill="auto"/>
          </w:tcPr>
          <w:p w:rsidR="00252B38" w:rsidRDefault="00252B38">
            <w:pPr>
              <w:autoSpaceDE w:val="0"/>
              <w:autoSpaceDN w:val="0"/>
              <w:adjustRightInd w:val="0"/>
              <w:contextualSpacing/>
              <w:rPr>
                <w:rFonts w:cs="Arial"/>
                <w:b/>
                <w:bCs/>
                <w:sz w:val="22"/>
                <w:szCs w:val="22"/>
                <w:lang w:val="en-US"/>
              </w:rPr>
            </w:pPr>
          </w:p>
        </w:tc>
        <w:tc>
          <w:tcPr>
            <w:tcW w:w="1701" w:type="dxa"/>
            <w:shd w:val="clear" w:color="auto" w:fill="auto"/>
          </w:tcPr>
          <w:p w:rsidR="00252B38" w:rsidRDefault="008C6885">
            <w:pPr>
              <w:autoSpaceDE w:val="0"/>
              <w:autoSpaceDN w:val="0"/>
              <w:adjustRightInd w:val="0"/>
              <w:contextualSpacing/>
              <w:rPr>
                <w:rFonts w:cs="Arial"/>
                <w:bCs/>
                <w:sz w:val="22"/>
                <w:szCs w:val="22"/>
                <w:lang w:val="en-US"/>
              </w:rPr>
            </w:pPr>
            <w:r>
              <w:rPr>
                <w:rFonts w:eastAsia="Calibri" w:cs="Arial"/>
                <w:sz w:val="22"/>
                <w:szCs w:val="22"/>
                <w:u w:color="000000"/>
                <w:lang w:val="en-US" w:eastAsia="en-US"/>
              </w:rPr>
              <w:t>Improving the cross-border infrastructure – opening the gate to Europe</w:t>
            </w:r>
            <w:r>
              <w:rPr>
                <w:rFonts w:cs="Arial"/>
                <w:bCs/>
                <w:sz w:val="22"/>
                <w:szCs w:val="22"/>
                <w:lang w:val="en-US"/>
              </w:rPr>
              <w:t xml:space="preserve">  (OT7) 3.1</w:t>
            </w:r>
          </w:p>
        </w:tc>
        <w:tc>
          <w:tcPr>
            <w:tcW w:w="3260" w:type="dxa"/>
            <w:shd w:val="clear" w:color="auto" w:fill="auto"/>
          </w:tcPr>
          <w:p w:rsidR="00252B38" w:rsidRDefault="008C6885">
            <w:pPr>
              <w:autoSpaceDE w:val="0"/>
              <w:autoSpaceDN w:val="0"/>
              <w:adjustRightInd w:val="0"/>
              <w:contextualSpacing/>
              <w:rPr>
                <w:rFonts w:cs="Arial"/>
                <w:bCs/>
                <w:sz w:val="22"/>
                <w:szCs w:val="22"/>
                <w:lang w:val="en-US"/>
              </w:rPr>
            </w:pPr>
            <w:r>
              <w:rPr>
                <w:rFonts w:cs="Arial"/>
                <w:bCs/>
                <w:sz w:val="22"/>
                <w:szCs w:val="22"/>
                <w:lang w:val="en-US"/>
              </w:rPr>
              <w:t>The indicator proposed for the Program "</w:t>
            </w:r>
            <w:r w:rsidR="00155EE8" w:rsidRPr="00882481">
              <w:rPr>
                <w:rFonts w:ascii="Times New Roman" w:hAnsi="Times New Roman"/>
                <w:color w:val="000000"/>
                <w:sz w:val="20"/>
                <w:szCs w:val="20"/>
              </w:rPr>
              <w:t xml:space="preserve"> </w:t>
            </w:r>
            <w:r w:rsidR="00155EE8" w:rsidRPr="009263EE">
              <w:rPr>
                <w:rFonts w:cs="Arial"/>
                <w:bCs/>
                <w:i/>
                <w:sz w:val="22"/>
                <w:szCs w:val="22"/>
                <w:lang w:val="en-US"/>
              </w:rPr>
              <w:t>Total length of reconstructed or upgraded roads</w:t>
            </w:r>
            <w:r w:rsidR="00155EE8" w:rsidDel="00155EE8">
              <w:rPr>
                <w:rFonts w:cs="Arial"/>
                <w:bCs/>
                <w:i/>
                <w:sz w:val="22"/>
                <w:szCs w:val="22"/>
                <w:lang w:val="en-US"/>
              </w:rPr>
              <w:t xml:space="preserve"> </w:t>
            </w:r>
            <w:r>
              <w:rPr>
                <w:rFonts w:cs="Arial"/>
                <w:bCs/>
                <w:sz w:val="22"/>
                <w:szCs w:val="22"/>
                <w:lang w:val="en-US"/>
              </w:rPr>
              <w:t>" may reflect the positive environmental impact due to the rehabilitation of the existing road between Kranoilsk - Upper Vicovu</w:t>
            </w:r>
          </w:p>
        </w:tc>
        <w:tc>
          <w:tcPr>
            <w:tcW w:w="3544" w:type="dxa"/>
            <w:vMerge/>
            <w:shd w:val="clear" w:color="auto" w:fill="auto"/>
          </w:tcPr>
          <w:p w:rsidR="00252B38" w:rsidRDefault="00252B38">
            <w:pPr>
              <w:autoSpaceDE w:val="0"/>
              <w:autoSpaceDN w:val="0"/>
              <w:adjustRightInd w:val="0"/>
              <w:contextualSpacing/>
              <w:jc w:val="both"/>
              <w:rPr>
                <w:rFonts w:cs="Arial"/>
                <w:bCs/>
                <w:sz w:val="22"/>
                <w:szCs w:val="22"/>
                <w:lang w:val="en-US"/>
              </w:rPr>
            </w:pPr>
          </w:p>
        </w:tc>
      </w:tr>
      <w:tr w:rsidR="00252B38" w:rsidTr="002E01ED">
        <w:trPr>
          <w:trHeight w:val="520"/>
        </w:trPr>
        <w:tc>
          <w:tcPr>
            <w:tcW w:w="1951" w:type="dxa"/>
            <w:vMerge/>
            <w:shd w:val="clear" w:color="auto" w:fill="auto"/>
          </w:tcPr>
          <w:p w:rsidR="00252B38" w:rsidRDefault="00252B38">
            <w:pPr>
              <w:autoSpaceDE w:val="0"/>
              <w:autoSpaceDN w:val="0"/>
              <w:adjustRightInd w:val="0"/>
              <w:contextualSpacing/>
              <w:rPr>
                <w:rFonts w:cs="Arial"/>
                <w:b/>
                <w:bCs/>
                <w:sz w:val="22"/>
                <w:szCs w:val="22"/>
                <w:lang w:val="en-US"/>
              </w:rPr>
            </w:pPr>
          </w:p>
        </w:tc>
        <w:tc>
          <w:tcPr>
            <w:tcW w:w="1701" w:type="dxa"/>
            <w:shd w:val="clear" w:color="auto" w:fill="auto"/>
          </w:tcPr>
          <w:p w:rsidR="00252B38" w:rsidRDefault="008C6885">
            <w:pPr>
              <w:autoSpaceDE w:val="0"/>
              <w:autoSpaceDN w:val="0"/>
              <w:adjustRightInd w:val="0"/>
              <w:contextualSpacing/>
              <w:rPr>
                <w:rFonts w:cs="Arial"/>
                <w:bCs/>
                <w:sz w:val="22"/>
                <w:szCs w:val="22"/>
                <w:lang w:val="en-US"/>
              </w:rPr>
            </w:pPr>
            <w:r>
              <w:rPr>
                <w:rFonts w:eastAsia="Calibri" w:cs="Arial"/>
                <w:sz w:val="22"/>
                <w:szCs w:val="22"/>
                <w:u w:color="000000"/>
                <w:lang w:val="en-US" w:eastAsia="en-US"/>
              </w:rPr>
              <w:t>Regional Cooperation for Prevention and Fighting of Cross-border Crime between Romania-Ukraine</w:t>
            </w:r>
            <w:r>
              <w:rPr>
                <w:rFonts w:cs="Arial"/>
                <w:bCs/>
                <w:sz w:val="22"/>
                <w:szCs w:val="22"/>
                <w:lang w:val="en-US"/>
              </w:rPr>
              <w:t xml:space="preserve">  (OT 8) 4.3</w:t>
            </w:r>
          </w:p>
        </w:tc>
        <w:tc>
          <w:tcPr>
            <w:tcW w:w="3260" w:type="dxa"/>
            <w:shd w:val="clear" w:color="auto" w:fill="auto"/>
          </w:tcPr>
          <w:p w:rsidR="00252B38" w:rsidRDefault="008C6885">
            <w:pPr>
              <w:autoSpaceDE w:val="0"/>
              <w:autoSpaceDN w:val="0"/>
              <w:adjustRightInd w:val="0"/>
              <w:contextualSpacing/>
              <w:jc w:val="both"/>
              <w:rPr>
                <w:rFonts w:cs="Arial"/>
                <w:bCs/>
                <w:sz w:val="22"/>
                <w:szCs w:val="22"/>
                <w:lang w:val="en-US"/>
              </w:rPr>
            </w:pPr>
            <w:r>
              <w:rPr>
                <w:rFonts w:cs="Arial"/>
                <w:bCs/>
                <w:sz w:val="22"/>
                <w:szCs w:val="22"/>
                <w:lang w:val="en-US"/>
              </w:rPr>
              <w:t xml:space="preserve">Indicator proposed in Program  </w:t>
            </w:r>
            <w:r w:rsidRPr="00AF1461">
              <w:rPr>
                <w:rFonts w:cs="Arial"/>
                <w:bCs/>
                <w:sz w:val="22"/>
                <w:szCs w:val="22"/>
                <w:lang w:val="en-US"/>
              </w:rPr>
              <w:t>"</w:t>
            </w:r>
            <w:r w:rsidR="00155EE8" w:rsidRPr="00AF1461">
              <w:rPr>
                <w:rFonts w:cs="Arial"/>
                <w:bCs/>
                <w:sz w:val="22"/>
                <w:szCs w:val="22"/>
                <w:lang w:val="en-US"/>
              </w:rPr>
              <w:t>Number</w:t>
            </w:r>
            <w:r w:rsidR="00155EE8" w:rsidRPr="009263EE">
              <w:rPr>
                <w:rFonts w:cs="Arial"/>
                <w:bCs/>
                <w:i/>
                <w:sz w:val="22"/>
                <w:szCs w:val="22"/>
                <w:lang w:val="en-US"/>
              </w:rPr>
              <w:t xml:space="preserve"> of modernized facilities of police, police border and custom services from the eligible area</w:t>
            </w:r>
            <w:r w:rsidR="00155EE8" w:rsidDel="00155EE8">
              <w:rPr>
                <w:rFonts w:cs="Arial"/>
                <w:bCs/>
                <w:i/>
                <w:sz w:val="22"/>
                <w:szCs w:val="22"/>
                <w:lang w:val="en-US"/>
              </w:rPr>
              <w:t xml:space="preserve"> </w:t>
            </w:r>
            <w:r>
              <w:rPr>
                <w:rFonts w:cs="Arial"/>
                <w:bCs/>
                <w:sz w:val="22"/>
                <w:szCs w:val="22"/>
                <w:lang w:val="en-US"/>
              </w:rPr>
              <w:t>" may reflect the positive environmental impact due to strengthening / modernization / extension of police premises</w:t>
            </w:r>
          </w:p>
        </w:tc>
        <w:tc>
          <w:tcPr>
            <w:tcW w:w="3544" w:type="dxa"/>
            <w:vMerge/>
            <w:shd w:val="clear" w:color="auto" w:fill="auto"/>
          </w:tcPr>
          <w:p w:rsidR="00252B38" w:rsidRDefault="00252B38">
            <w:pPr>
              <w:autoSpaceDE w:val="0"/>
              <w:autoSpaceDN w:val="0"/>
              <w:adjustRightInd w:val="0"/>
              <w:contextualSpacing/>
              <w:jc w:val="both"/>
              <w:rPr>
                <w:rFonts w:cs="Arial"/>
                <w:bCs/>
                <w:sz w:val="22"/>
                <w:szCs w:val="22"/>
                <w:lang w:val="en-US"/>
              </w:rPr>
            </w:pPr>
          </w:p>
        </w:tc>
      </w:tr>
      <w:tr w:rsidR="00252B38" w:rsidTr="002E01ED">
        <w:trPr>
          <w:trHeight w:val="1367"/>
        </w:trPr>
        <w:tc>
          <w:tcPr>
            <w:tcW w:w="1951" w:type="dxa"/>
            <w:vMerge/>
            <w:shd w:val="clear" w:color="auto" w:fill="auto"/>
          </w:tcPr>
          <w:p w:rsidR="00252B38" w:rsidRDefault="00252B38">
            <w:pPr>
              <w:autoSpaceDE w:val="0"/>
              <w:autoSpaceDN w:val="0"/>
              <w:adjustRightInd w:val="0"/>
              <w:contextualSpacing/>
              <w:jc w:val="both"/>
              <w:rPr>
                <w:rFonts w:cs="Arial"/>
                <w:b/>
                <w:bCs/>
                <w:sz w:val="22"/>
                <w:szCs w:val="22"/>
                <w:lang w:val="en-US"/>
              </w:rPr>
            </w:pPr>
          </w:p>
        </w:tc>
        <w:tc>
          <w:tcPr>
            <w:tcW w:w="1701" w:type="dxa"/>
            <w:shd w:val="clear" w:color="auto" w:fill="auto"/>
          </w:tcPr>
          <w:p w:rsidR="00252B38" w:rsidRDefault="008C6885">
            <w:pPr>
              <w:autoSpaceDE w:val="0"/>
              <w:autoSpaceDN w:val="0"/>
              <w:adjustRightInd w:val="0"/>
              <w:contextualSpacing/>
              <w:rPr>
                <w:rFonts w:cs="Arial"/>
                <w:bCs/>
                <w:sz w:val="22"/>
                <w:szCs w:val="22"/>
                <w:lang w:val="en-US"/>
              </w:rPr>
            </w:pPr>
            <w:r>
              <w:rPr>
                <w:rFonts w:eastAsia="Calibri" w:cs="Arial"/>
                <w:sz w:val="22"/>
                <w:szCs w:val="22"/>
                <w:lang w:val="en-US" w:eastAsia="en-US"/>
              </w:rPr>
              <w:t>Improvement of the population safety and security level in the cross-border area by enhancing the joint training and cooperation actions in emergency management</w:t>
            </w:r>
            <w:r>
              <w:rPr>
                <w:rFonts w:cs="Arial"/>
                <w:bCs/>
                <w:sz w:val="22"/>
                <w:szCs w:val="22"/>
                <w:lang w:val="en-US"/>
              </w:rPr>
              <w:t xml:space="preserve">  (OT) 4.1</w:t>
            </w:r>
          </w:p>
        </w:tc>
        <w:tc>
          <w:tcPr>
            <w:tcW w:w="3260" w:type="dxa"/>
            <w:shd w:val="clear" w:color="auto" w:fill="auto"/>
          </w:tcPr>
          <w:p w:rsidR="00252B38" w:rsidRDefault="008C6885">
            <w:pPr>
              <w:autoSpaceDE w:val="0"/>
              <w:autoSpaceDN w:val="0"/>
              <w:adjustRightInd w:val="0"/>
              <w:contextualSpacing/>
              <w:jc w:val="both"/>
              <w:rPr>
                <w:rFonts w:cs="Arial"/>
                <w:bCs/>
                <w:sz w:val="22"/>
                <w:szCs w:val="22"/>
                <w:lang w:val="en-US"/>
              </w:rPr>
            </w:pPr>
            <w:r>
              <w:rPr>
                <w:rFonts w:cs="Arial"/>
                <w:bCs/>
                <w:sz w:val="22"/>
                <w:szCs w:val="22"/>
                <w:lang w:val="en-US"/>
              </w:rPr>
              <w:t xml:space="preserve">One of the two indicators proposed in program namely </w:t>
            </w:r>
            <w:r w:rsidR="00AF1461">
              <w:rPr>
                <w:rFonts w:cs="Arial"/>
                <w:bCs/>
                <w:sz w:val="22"/>
                <w:szCs w:val="22"/>
                <w:lang w:val="en-US"/>
              </w:rPr>
              <w:t xml:space="preserve">   </w:t>
            </w:r>
            <w:r>
              <w:rPr>
                <w:rFonts w:cs="Arial"/>
                <w:bCs/>
                <w:sz w:val="22"/>
                <w:szCs w:val="22"/>
                <w:lang w:val="en-US"/>
              </w:rPr>
              <w:t>"</w:t>
            </w:r>
            <w:r w:rsidR="00155EE8" w:rsidRPr="00AF1461">
              <w:rPr>
                <w:rFonts w:cs="Arial"/>
                <w:bCs/>
                <w:i/>
                <w:sz w:val="22"/>
                <w:szCs w:val="22"/>
                <w:lang w:val="en-US"/>
              </w:rPr>
              <w:t>Number of medical service infrastructure units improved</w:t>
            </w:r>
            <w:r w:rsidRPr="00AF1461">
              <w:rPr>
                <w:rFonts w:cs="Arial"/>
                <w:bCs/>
                <w:i/>
                <w:sz w:val="22"/>
                <w:szCs w:val="22"/>
                <w:lang w:val="en-US"/>
              </w:rPr>
              <w:t>"</w:t>
            </w:r>
            <w:r>
              <w:rPr>
                <w:rFonts w:cs="Arial"/>
                <w:bCs/>
                <w:sz w:val="22"/>
                <w:szCs w:val="22"/>
                <w:lang w:val="en-US"/>
              </w:rPr>
              <w:t xml:space="preserve"> may reflect the positive impact on the population and public health</w:t>
            </w:r>
          </w:p>
        </w:tc>
        <w:tc>
          <w:tcPr>
            <w:tcW w:w="3544" w:type="dxa"/>
            <w:vMerge/>
            <w:shd w:val="clear" w:color="auto" w:fill="auto"/>
          </w:tcPr>
          <w:p w:rsidR="00252B38" w:rsidRDefault="00252B38">
            <w:pPr>
              <w:autoSpaceDE w:val="0"/>
              <w:autoSpaceDN w:val="0"/>
              <w:adjustRightInd w:val="0"/>
              <w:contextualSpacing/>
              <w:jc w:val="both"/>
              <w:rPr>
                <w:rFonts w:cs="Arial"/>
                <w:bCs/>
                <w:sz w:val="22"/>
                <w:szCs w:val="22"/>
                <w:lang w:val="en-US"/>
              </w:rPr>
            </w:pPr>
          </w:p>
        </w:tc>
      </w:tr>
    </w:tbl>
    <w:p w:rsidR="00252B38" w:rsidRDefault="00252B38">
      <w:pPr>
        <w:autoSpaceDE w:val="0"/>
        <w:autoSpaceDN w:val="0"/>
        <w:adjustRightInd w:val="0"/>
        <w:spacing w:before="60" w:after="60" w:line="288" w:lineRule="auto"/>
        <w:ind w:firstLine="709"/>
        <w:contextualSpacing/>
        <w:jc w:val="both"/>
        <w:rPr>
          <w:rFonts w:cs="Arial"/>
          <w:bCs/>
          <w:color w:val="FF0000"/>
        </w:rPr>
      </w:pPr>
    </w:p>
    <w:p w:rsidR="00252B38" w:rsidRDefault="00252B38">
      <w:pPr>
        <w:autoSpaceDE w:val="0"/>
        <w:autoSpaceDN w:val="0"/>
        <w:adjustRightInd w:val="0"/>
        <w:spacing w:before="60" w:after="60" w:line="288" w:lineRule="auto"/>
        <w:ind w:firstLine="709"/>
        <w:contextualSpacing/>
        <w:jc w:val="both"/>
        <w:rPr>
          <w:rFonts w:cs="Arial"/>
          <w:bCs/>
          <w:color w:val="FF0000"/>
        </w:rPr>
      </w:pPr>
    </w:p>
    <w:p w:rsidR="00AA323A" w:rsidRDefault="00AA323A">
      <w:pPr>
        <w:autoSpaceDE w:val="0"/>
        <w:autoSpaceDN w:val="0"/>
        <w:adjustRightInd w:val="0"/>
        <w:spacing w:before="60" w:after="60" w:line="288" w:lineRule="auto"/>
        <w:ind w:firstLine="709"/>
        <w:contextualSpacing/>
        <w:jc w:val="both"/>
        <w:rPr>
          <w:rFonts w:cs="Arial"/>
          <w:bCs/>
          <w:color w:val="FF0000"/>
        </w:rPr>
      </w:pPr>
      <w:r>
        <w:rPr>
          <w:rFonts w:cs="Arial"/>
          <w:bCs/>
        </w:rPr>
        <w:t xml:space="preserve">The table below summarizes the monitoring indicators reccommended for the indicative activities of the Programme under which there is a possibility to finance projects having an impact on the environment. Part of these indicators are the same as those monitoring the implementation of the programme as </w:t>
      </w:r>
      <w:r w:rsidR="00A40F4C">
        <w:rPr>
          <w:rFonts w:cs="Arial"/>
          <w:bCs/>
        </w:rPr>
        <w:t>they can also monitor impact on the environment. For certain indicative activities under</w:t>
      </w:r>
      <w:r>
        <w:rPr>
          <w:rFonts w:cs="Arial"/>
          <w:bCs/>
        </w:rPr>
        <w:t xml:space="preserve"> P1.1, P3.1, P4.2 </w:t>
      </w:r>
      <w:r w:rsidR="00A40F4C">
        <w:rPr>
          <w:rFonts w:cs="Arial"/>
          <w:bCs/>
        </w:rPr>
        <w:t>and</w:t>
      </w:r>
      <w:r>
        <w:rPr>
          <w:rFonts w:cs="Arial"/>
          <w:bCs/>
        </w:rPr>
        <w:t xml:space="preserve"> </w:t>
      </w:r>
      <w:r w:rsidR="00A40F4C">
        <w:rPr>
          <w:rFonts w:cs="Arial"/>
          <w:bCs/>
        </w:rPr>
        <w:t xml:space="preserve">LIPs specifc environmental indicators </w:t>
      </w:r>
      <w:r w:rsidR="00A40F4C">
        <w:rPr>
          <w:rFonts w:cs="Arial"/>
          <w:bCs/>
        </w:rPr>
        <w:lastRenderedPageBreak/>
        <w:t xml:space="preserve">were suggested or the programme indicators were modified as to reflect also the impact on the environment. </w:t>
      </w:r>
      <w:r>
        <w:rPr>
          <w:rFonts w:cs="Arial"/>
          <w:bCs/>
        </w:rPr>
        <w:t xml:space="preserve"> </w:t>
      </w:r>
    </w:p>
    <w:p w:rsidR="00252B38" w:rsidRDefault="00252B38">
      <w:pPr>
        <w:autoSpaceDE w:val="0"/>
        <w:autoSpaceDN w:val="0"/>
        <w:adjustRightInd w:val="0"/>
        <w:spacing w:before="60" w:after="60" w:line="288" w:lineRule="auto"/>
        <w:ind w:firstLine="709"/>
        <w:contextualSpacing/>
        <w:jc w:val="both"/>
        <w:rPr>
          <w:rFonts w:cs="Arial"/>
          <w:bCs/>
          <w:color w:val="FF0000"/>
        </w:rPr>
      </w:pP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8"/>
        <w:gridCol w:w="4678"/>
      </w:tblGrid>
      <w:tr w:rsidR="00252B38" w:rsidTr="00AF1461">
        <w:trPr>
          <w:tblHeader/>
        </w:trPr>
        <w:tc>
          <w:tcPr>
            <w:tcW w:w="5528" w:type="dxa"/>
            <w:shd w:val="clear" w:color="auto" w:fill="auto"/>
          </w:tcPr>
          <w:p w:rsidR="00252B38" w:rsidRDefault="008C6885">
            <w:pPr>
              <w:jc w:val="both"/>
              <w:rPr>
                <w:b/>
                <w:sz w:val="22"/>
                <w:szCs w:val="22"/>
              </w:rPr>
            </w:pPr>
            <w:r>
              <w:rPr>
                <w:b/>
                <w:sz w:val="22"/>
                <w:szCs w:val="22"/>
              </w:rPr>
              <w:t xml:space="preserve">INDICATIVE ACTIVITIES of the </w:t>
            </w:r>
            <w:r w:rsidRPr="002E01ED">
              <w:rPr>
                <w:b/>
                <w:sz w:val="22"/>
                <w:szCs w:val="22"/>
              </w:rPr>
              <w:t>Programme  Ro-Ua</w:t>
            </w:r>
          </w:p>
        </w:tc>
        <w:tc>
          <w:tcPr>
            <w:tcW w:w="4678" w:type="dxa"/>
            <w:shd w:val="clear" w:color="auto" w:fill="auto"/>
          </w:tcPr>
          <w:p w:rsidR="00252B38" w:rsidRDefault="00AF1461">
            <w:pPr>
              <w:jc w:val="both"/>
              <w:rPr>
                <w:b/>
                <w:sz w:val="22"/>
                <w:szCs w:val="22"/>
              </w:rPr>
            </w:pPr>
            <w:r>
              <w:rPr>
                <w:b/>
                <w:sz w:val="22"/>
                <w:szCs w:val="22"/>
              </w:rPr>
              <w:t>Proposed m</w:t>
            </w:r>
            <w:r w:rsidR="008C6885">
              <w:rPr>
                <w:b/>
                <w:sz w:val="22"/>
                <w:szCs w:val="22"/>
              </w:rPr>
              <w:t xml:space="preserve">onitoring indicators </w:t>
            </w:r>
          </w:p>
        </w:tc>
      </w:tr>
      <w:tr w:rsidR="00252B38" w:rsidTr="00AF1461">
        <w:tc>
          <w:tcPr>
            <w:tcW w:w="10206" w:type="dxa"/>
            <w:gridSpan w:val="2"/>
            <w:shd w:val="clear" w:color="auto" w:fill="auto"/>
          </w:tcPr>
          <w:p w:rsidR="00252B38" w:rsidRDefault="008C6885">
            <w:pPr>
              <w:jc w:val="both"/>
              <w:rPr>
                <w:b/>
                <w:sz w:val="22"/>
                <w:szCs w:val="22"/>
              </w:rPr>
            </w:pPr>
            <w:r>
              <w:rPr>
                <w:b/>
                <w:sz w:val="22"/>
                <w:szCs w:val="22"/>
              </w:rPr>
              <w:t>TO2 - SUPPORT TO EDUCATION, RESEARCH, TECHNOLOGICAL DEVELOPMENT &amp; INNOVATION</w:t>
            </w:r>
          </w:p>
          <w:p w:rsidR="00A40F4C" w:rsidRPr="001739C9" w:rsidRDefault="008C6885" w:rsidP="00A40F4C">
            <w:pPr>
              <w:pStyle w:val="ListBullet"/>
              <w:spacing w:after="0"/>
              <w:ind w:left="0" w:firstLine="0"/>
              <w:rPr>
                <w:rFonts w:ascii="Times New Roman" w:hAnsi="Times New Roman" w:cs="Times New Roman"/>
                <w:i/>
                <w:sz w:val="22"/>
                <w:szCs w:val="22"/>
              </w:rPr>
            </w:pPr>
            <w:r>
              <w:rPr>
                <w:b/>
                <w:bCs/>
                <w:iCs/>
                <w:sz w:val="22"/>
                <w:szCs w:val="22"/>
              </w:rPr>
              <w:t>Objective 1</w:t>
            </w:r>
            <w:r w:rsidRPr="00AF1461">
              <w:rPr>
                <w:rFonts w:ascii="Arial" w:hAnsi="Arial" w:cs="Arial"/>
                <w:b/>
                <w:bCs/>
                <w:iCs/>
                <w:sz w:val="22"/>
                <w:szCs w:val="22"/>
              </w:rPr>
              <w:t xml:space="preserve">:  </w:t>
            </w:r>
            <w:r w:rsidR="00A40F4C" w:rsidRPr="00AF1461">
              <w:rPr>
                <w:rFonts w:ascii="Arial" w:hAnsi="Arial" w:cs="Arial"/>
                <w:i/>
                <w:sz w:val="22"/>
                <w:szCs w:val="22"/>
              </w:rPr>
              <w:t>Develop education and</w:t>
            </w:r>
            <w:r w:rsidR="00A40F4C" w:rsidRPr="00AF1461">
              <w:rPr>
                <w:rFonts w:ascii="Arial" w:hAnsi="Arial" w:cs="Arial"/>
                <w:i/>
                <w:sz w:val="22"/>
              </w:rPr>
              <w:t xml:space="preserve"> </w:t>
            </w:r>
            <w:r w:rsidR="00A40F4C" w:rsidRPr="00AF1461">
              <w:rPr>
                <w:rFonts w:ascii="Arial" w:hAnsi="Arial" w:cs="Arial"/>
                <w:i/>
                <w:sz w:val="22"/>
                <w:szCs w:val="22"/>
              </w:rPr>
              <w:t>support research and innovation at the level of the Programme area by facilitating the cooperation at local, regional and central level</w:t>
            </w:r>
            <w:r w:rsidR="00A40F4C" w:rsidRPr="001739C9">
              <w:rPr>
                <w:rFonts w:ascii="Times New Roman" w:hAnsi="Times New Roman" w:cs="Times New Roman"/>
                <w:i/>
                <w:sz w:val="22"/>
                <w:szCs w:val="22"/>
              </w:rPr>
              <w:t xml:space="preserve"> </w:t>
            </w:r>
          </w:p>
          <w:p w:rsidR="00252B38" w:rsidRDefault="00252B38">
            <w:pPr>
              <w:jc w:val="both"/>
            </w:pPr>
          </w:p>
        </w:tc>
      </w:tr>
      <w:tr w:rsidR="00252B38" w:rsidTr="00AF1461">
        <w:tc>
          <w:tcPr>
            <w:tcW w:w="10206" w:type="dxa"/>
            <w:gridSpan w:val="2"/>
            <w:shd w:val="clear" w:color="auto" w:fill="auto"/>
          </w:tcPr>
          <w:p w:rsidR="00252B38" w:rsidRDefault="008C6885">
            <w:pPr>
              <w:jc w:val="both"/>
            </w:pPr>
            <w:r>
              <w:rPr>
                <w:i/>
                <w:sz w:val="22"/>
                <w:szCs w:val="22"/>
              </w:rPr>
              <w:t xml:space="preserve">Priority 1.1Institutional cooperation in the educational field for increasing access to education and quality of education </w:t>
            </w:r>
          </w:p>
        </w:tc>
      </w:tr>
      <w:tr w:rsidR="00252B38" w:rsidTr="00AF1461">
        <w:tc>
          <w:tcPr>
            <w:tcW w:w="5528" w:type="dxa"/>
            <w:shd w:val="clear" w:color="auto" w:fill="auto"/>
          </w:tcPr>
          <w:p w:rsidR="00252B38" w:rsidRDefault="008C6885">
            <w:pPr>
              <w:ind w:left="34" w:hanging="34"/>
              <w:jc w:val="both"/>
              <w:rPr>
                <w:sz w:val="22"/>
                <w:szCs w:val="22"/>
              </w:rPr>
            </w:pPr>
            <w:r>
              <w:rPr>
                <w:rFonts w:eastAsia="Calibri" w:cs="Arial"/>
                <w:sz w:val="22"/>
                <w:szCs w:val="22"/>
                <w:lang w:val="en-GB" w:eastAsia="en-US"/>
              </w:rPr>
              <w:t>Rehabilitation/modernization/ extension/ equipment procurement for the educational infrastructure to provide the necessary material preconditions of a quality educational process and increase the participation in the educational processes</w:t>
            </w:r>
          </w:p>
        </w:tc>
        <w:tc>
          <w:tcPr>
            <w:tcW w:w="4678" w:type="dxa"/>
            <w:shd w:val="clear" w:color="auto" w:fill="auto"/>
          </w:tcPr>
          <w:p w:rsidR="00252B38" w:rsidRDefault="008C6885">
            <w:pPr>
              <w:ind w:left="34"/>
              <w:rPr>
                <w:sz w:val="22"/>
                <w:szCs w:val="22"/>
              </w:rPr>
            </w:pPr>
            <w:r>
              <w:rPr>
                <w:sz w:val="22"/>
                <w:szCs w:val="22"/>
              </w:rPr>
              <w:t>Number of educational institutions rehabilitated/ modernizated</w:t>
            </w:r>
          </w:p>
          <w:p w:rsidR="00252B38" w:rsidRDefault="00252B38">
            <w:pPr>
              <w:ind w:left="34"/>
              <w:rPr>
                <w:sz w:val="22"/>
                <w:szCs w:val="22"/>
              </w:rPr>
            </w:pPr>
          </w:p>
        </w:tc>
      </w:tr>
      <w:tr w:rsidR="00252B38" w:rsidTr="00AF1461">
        <w:tc>
          <w:tcPr>
            <w:tcW w:w="10206" w:type="dxa"/>
            <w:gridSpan w:val="2"/>
            <w:shd w:val="clear" w:color="auto" w:fill="auto"/>
          </w:tcPr>
          <w:p w:rsidR="00252B38" w:rsidRDefault="008C6885">
            <w:pPr>
              <w:ind w:left="34"/>
              <w:jc w:val="both"/>
              <w:rPr>
                <w:sz w:val="22"/>
                <w:szCs w:val="22"/>
              </w:rPr>
            </w:pPr>
            <w:r>
              <w:rPr>
                <w:i/>
                <w:sz w:val="22"/>
                <w:szCs w:val="22"/>
              </w:rPr>
              <w:t xml:space="preserve">Priority 1.2 Promotion and support to research and innovation </w:t>
            </w:r>
          </w:p>
        </w:tc>
      </w:tr>
      <w:tr w:rsidR="00252B38" w:rsidTr="00AF1461">
        <w:tc>
          <w:tcPr>
            <w:tcW w:w="5528" w:type="dxa"/>
            <w:shd w:val="clear" w:color="auto" w:fill="auto"/>
          </w:tcPr>
          <w:p w:rsidR="00252B38" w:rsidRDefault="008C6885">
            <w:pPr>
              <w:jc w:val="both"/>
              <w:rPr>
                <w:rFonts w:eastAsia="Calibri" w:cs="Arial"/>
                <w:sz w:val="22"/>
                <w:szCs w:val="22"/>
                <w:lang w:val="en-GB" w:eastAsia="en-US"/>
              </w:rPr>
            </w:pPr>
            <w:r>
              <w:rPr>
                <w:rFonts w:eastAsia="Calibri" w:cs="Arial"/>
                <w:sz w:val="22"/>
                <w:szCs w:val="22"/>
                <w:lang w:val="en-GB" w:eastAsia="en-US"/>
              </w:rPr>
              <w:t>Promotion and support for research and innovation through rehabilitation/</w:t>
            </w:r>
          </w:p>
          <w:p w:rsidR="00252B38" w:rsidRDefault="008C6885">
            <w:pPr>
              <w:jc w:val="both"/>
              <w:rPr>
                <w:sz w:val="22"/>
                <w:szCs w:val="22"/>
              </w:rPr>
            </w:pPr>
            <w:r>
              <w:rPr>
                <w:rFonts w:eastAsia="Calibri" w:cs="Arial"/>
                <w:sz w:val="22"/>
                <w:szCs w:val="22"/>
                <w:lang w:val="en-GB" w:eastAsia="en-US"/>
              </w:rPr>
              <w:t>modernization/ extension of the specific infrastructure including the procurement of related equipment.</w:t>
            </w:r>
          </w:p>
        </w:tc>
        <w:tc>
          <w:tcPr>
            <w:tcW w:w="4678" w:type="dxa"/>
            <w:shd w:val="clear" w:color="auto" w:fill="auto"/>
          </w:tcPr>
          <w:p w:rsidR="00252B38" w:rsidRDefault="008C6885">
            <w:pPr>
              <w:ind w:left="34"/>
              <w:rPr>
                <w:sz w:val="22"/>
                <w:szCs w:val="22"/>
              </w:rPr>
            </w:pPr>
            <w:r>
              <w:rPr>
                <w:sz w:val="22"/>
                <w:szCs w:val="22"/>
              </w:rPr>
              <w:t xml:space="preserve">Number of institutions using funds from the Program for cooperation in R&amp;D and innovation </w:t>
            </w:r>
          </w:p>
        </w:tc>
      </w:tr>
      <w:tr w:rsidR="00252B38" w:rsidTr="00AF1461">
        <w:tc>
          <w:tcPr>
            <w:tcW w:w="10206" w:type="dxa"/>
            <w:gridSpan w:val="2"/>
            <w:shd w:val="clear" w:color="auto" w:fill="auto"/>
          </w:tcPr>
          <w:p w:rsidR="00252B38" w:rsidRDefault="008C6885">
            <w:pPr>
              <w:spacing w:line="288" w:lineRule="auto"/>
              <w:jc w:val="both"/>
              <w:rPr>
                <w:b/>
                <w:sz w:val="22"/>
                <w:szCs w:val="22"/>
                <w:lang w:val="en-GB"/>
              </w:rPr>
            </w:pPr>
            <w:r>
              <w:rPr>
                <w:b/>
                <w:sz w:val="22"/>
                <w:szCs w:val="22"/>
                <w:lang w:val="en-GB"/>
              </w:rPr>
              <w:t>TO3 - PROMOTION OF THE LOCAL CULTURE AND PRESERVATION OF HISTORICAL HERITAGE</w:t>
            </w:r>
          </w:p>
          <w:p w:rsidR="00AF1461" w:rsidRDefault="008C6885">
            <w:pPr>
              <w:jc w:val="both"/>
              <w:rPr>
                <w:rFonts w:ascii="Times New Roman" w:hAnsi="Times New Roman"/>
                <w:bCs/>
                <w:i/>
                <w:sz w:val="22"/>
                <w:szCs w:val="22"/>
              </w:rPr>
            </w:pPr>
            <w:r>
              <w:rPr>
                <w:b/>
                <w:bCs/>
                <w:i/>
                <w:iCs/>
                <w:sz w:val="22"/>
                <w:szCs w:val="22"/>
                <w:lang w:val="en-GB"/>
              </w:rPr>
              <w:t xml:space="preserve">Objective 2:  </w:t>
            </w:r>
            <w:r w:rsidR="00A40F4C" w:rsidRPr="00AF1461">
              <w:rPr>
                <w:rFonts w:cs="Arial"/>
                <w:bCs/>
                <w:i/>
                <w:sz w:val="22"/>
                <w:szCs w:val="22"/>
              </w:rPr>
              <w:t>Preservation of the cultural and historical heritage in the eligible area, support the developing of local culture, specific cultural identities and the cultural dialog contributing to an enhanced attractiveness of the eligible area.</w:t>
            </w:r>
            <w:r w:rsidR="00A40F4C">
              <w:rPr>
                <w:rFonts w:ascii="Times New Roman" w:hAnsi="Times New Roman"/>
                <w:bCs/>
                <w:i/>
                <w:sz w:val="22"/>
                <w:szCs w:val="22"/>
              </w:rPr>
              <w:t xml:space="preserve"> </w:t>
            </w:r>
          </w:p>
          <w:p w:rsidR="00AF1461" w:rsidRDefault="00AF1461">
            <w:pPr>
              <w:jc w:val="both"/>
              <w:rPr>
                <w:rFonts w:ascii="Times New Roman" w:hAnsi="Times New Roman"/>
                <w:bCs/>
                <w:i/>
                <w:sz w:val="22"/>
                <w:szCs w:val="22"/>
              </w:rPr>
            </w:pPr>
          </w:p>
          <w:p w:rsidR="00252B38" w:rsidRDefault="008C6885">
            <w:pPr>
              <w:jc w:val="both"/>
              <w:rPr>
                <w:sz w:val="22"/>
                <w:szCs w:val="22"/>
              </w:rPr>
            </w:pPr>
            <w:r>
              <w:rPr>
                <w:i/>
                <w:sz w:val="22"/>
                <w:szCs w:val="22"/>
              </w:rPr>
              <w:t xml:space="preserve">Priority 2.1 Preservation and promotion of the cultural and historical heritage  </w:t>
            </w:r>
          </w:p>
        </w:tc>
      </w:tr>
      <w:tr w:rsidR="00252B38" w:rsidTr="00AF1461">
        <w:tc>
          <w:tcPr>
            <w:tcW w:w="5528" w:type="dxa"/>
            <w:shd w:val="clear" w:color="auto" w:fill="auto"/>
          </w:tcPr>
          <w:p w:rsidR="00252B38" w:rsidRDefault="008C6885">
            <w:pPr>
              <w:jc w:val="both"/>
              <w:rPr>
                <w:sz w:val="22"/>
                <w:szCs w:val="22"/>
                <w:lang w:eastAsia="en-US"/>
              </w:rPr>
            </w:pPr>
            <w:r>
              <w:rPr>
                <w:rFonts w:eastAsia="EUAlbertina-Regular-Identity-H" w:cs="Arial"/>
                <w:bCs/>
                <w:sz w:val="22"/>
                <w:szCs w:val="22"/>
                <w:lang w:val="en-GB" w:eastAsia="en-US"/>
              </w:rPr>
              <w:t>Restoration, conservation, consolidation, protection, security of cultural and historical monuments</w:t>
            </w:r>
            <w:r w:rsidR="00A40F4C">
              <w:rPr>
                <w:rFonts w:eastAsia="EUAlbertina-Regular-Identity-H" w:cs="Arial"/>
                <w:bCs/>
                <w:sz w:val="22"/>
                <w:szCs w:val="22"/>
                <w:lang w:val="en-GB" w:eastAsia="en-US"/>
              </w:rPr>
              <w:t>, archaeological sites</w:t>
            </w:r>
            <w:r>
              <w:rPr>
                <w:rFonts w:eastAsia="EUAlbertina-Regular-Identity-H" w:cs="Arial"/>
                <w:bCs/>
                <w:sz w:val="22"/>
                <w:szCs w:val="22"/>
                <w:lang w:val="en-GB" w:eastAsia="en-US"/>
              </w:rPr>
              <w:t xml:space="preserve"> (including the corresponding access roads), museums, objects and art collections and their joint promotion based on relevant cross-border strategies/concepts </w:t>
            </w:r>
          </w:p>
        </w:tc>
        <w:tc>
          <w:tcPr>
            <w:tcW w:w="4678" w:type="dxa"/>
            <w:shd w:val="clear" w:color="auto" w:fill="auto"/>
          </w:tcPr>
          <w:p w:rsidR="00252B38" w:rsidRDefault="003A3416">
            <w:pPr>
              <w:ind w:left="34"/>
              <w:rPr>
                <w:sz w:val="22"/>
                <w:szCs w:val="22"/>
              </w:rPr>
            </w:pPr>
            <w:r w:rsidRPr="00AF1461">
              <w:rPr>
                <w:rFonts w:eastAsia="EUAlbertina-Regular-Identity-H" w:cs="Arial"/>
                <w:bCs/>
                <w:sz w:val="22"/>
                <w:szCs w:val="22"/>
                <w:lang w:val="en-GB" w:eastAsia="en-US"/>
              </w:rPr>
              <w:t xml:space="preserve">Number </w:t>
            </w:r>
            <w:r w:rsidR="00AF1461" w:rsidRPr="00AF1461">
              <w:rPr>
                <w:rFonts w:eastAsia="EUAlbertina-Regular-Identity-H" w:cs="Arial"/>
                <w:bCs/>
                <w:sz w:val="22"/>
                <w:szCs w:val="22"/>
                <w:lang w:val="en-GB" w:eastAsia="en-US"/>
              </w:rPr>
              <w:t>of rehabilitated</w:t>
            </w:r>
            <w:r w:rsidRPr="00AF1461">
              <w:rPr>
                <w:rFonts w:eastAsia="EUAlbertina-Regular-Identity-H" w:cs="Arial"/>
                <w:bCs/>
                <w:sz w:val="22"/>
                <w:szCs w:val="22"/>
                <w:lang w:val="en-GB" w:eastAsia="en-US"/>
              </w:rPr>
              <w:t xml:space="preserve"> / modernized educational institutions</w:t>
            </w:r>
            <w:r>
              <w:rPr>
                <w:rFonts w:eastAsia="EUAlbertina-Regular-Identity-H" w:cs="Arial"/>
                <w:bCs/>
                <w:sz w:val="22"/>
                <w:szCs w:val="22"/>
                <w:lang w:val="en-GB" w:eastAsia="en-US"/>
              </w:rPr>
              <w:t xml:space="preserve"> </w:t>
            </w:r>
          </w:p>
        </w:tc>
      </w:tr>
      <w:tr w:rsidR="00252B38" w:rsidTr="00AF1461">
        <w:tc>
          <w:tcPr>
            <w:tcW w:w="5528" w:type="dxa"/>
            <w:shd w:val="clear" w:color="auto" w:fill="auto"/>
          </w:tcPr>
          <w:p w:rsidR="00252B38" w:rsidRDefault="008C6885">
            <w:pPr>
              <w:jc w:val="both"/>
              <w:rPr>
                <w:sz w:val="22"/>
                <w:szCs w:val="22"/>
                <w:lang w:eastAsia="en-US"/>
              </w:rPr>
            </w:pPr>
            <w:r>
              <w:rPr>
                <w:rFonts w:eastAsia="EUAlbertina-Regular-Identity-H" w:cs="Arial"/>
                <w:bCs/>
                <w:sz w:val="22"/>
                <w:szCs w:val="22"/>
                <w:lang w:val="en-GB" w:eastAsia="en-US"/>
              </w:rPr>
              <w:t xml:space="preserve">Preservation, security, and joint valorisation of cultural and historical monuments and objects </w:t>
            </w:r>
          </w:p>
        </w:tc>
        <w:tc>
          <w:tcPr>
            <w:tcW w:w="4678" w:type="dxa"/>
            <w:shd w:val="clear" w:color="auto" w:fill="auto"/>
          </w:tcPr>
          <w:p w:rsidR="00252B38" w:rsidRDefault="00AF1461">
            <w:pPr>
              <w:ind w:left="34"/>
              <w:jc w:val="both"/>
              <w:rPr>
                <w:sz w:val="22"/>
                <w:szCs w:val="22"/>
              </w:rPr>
            </w:pPr>
            <w:r>
              <w:rPr>
                <w:rFonts w:eastAsia="EUAlbertina-Regular-Identity-H" w:cs="Arial"/>
                <w:bCs/>
                <w:sz w:val="22"/>
                <w:szCs w:val="22"/>
                <w:lang w:val="en-GB" w:eastAsia="en-US"/>
              </w:rPr>
              <w:t xml:space="preserve">Number of </w:t>
            </w:r>
            <w:r w:rsidR="003A3416" w:rsidRPr="00213DB6">
              <w:rPr>
                <w:rFonts w:eastAsia="EUAlbertina-Regular-Identity-H" w:cs="Arial"/>
                <w:bCs/>
                <w:sz w:val="22"/>
                <w:szCs w:val="22"/>
                <w:lang w:val="en-GB" w:eastAsia="en-US"/>
              </w:rPr>
              <w:t>rehabilitated / modernized educational institutions</w:t>
            </w:r>
          </w:p>
        </w:tc>
      </w:tr>
      <w:tr w:rsidR="00252B38" w:rsidTr="00AF1461">
        <w:tc>
          <w:tcPr>
            <w:tcW w:w="10206" w:type="dxa"/>
            <w:gridSpan w:val="2"/>
            <w:shd w:val="clear" w:color="auto" w:fill="auto"/>
          </w:tcPr>
          <w:p w:rsidR="00252B38" w:rsidRDefault="008C6885">
            <w:pPr>
              <w:jc w:val="both"/>
              <w:rPr>
                <w:b/>
                <w:sz w:val="22"/>
                <w:szCs w:val="22"/>
              </w:rPr>
            </w:pPr>
            <w:r>
              <w:rPr>
                <w:b/>
                <w:sz w:val="22"/>
                <w:szCs w:val="22"/>
              </w:rPr>
              <w:t>TO7 - IMPROVEMENT OF ACCESSIBILITY TO THE REGIONS, DEVELOPMENT OF TRANSPORT AND COMMON NETWORKS AND SYSTEMS</w:t>
            </w:r>
          </w:p>
          <w:p w:rsidR="00252B38" w:rsidRDefault="008C6885">
            <w:pPr>
              <w:spacing w:line="288" w:lineRule="auto"/>
              <w:jc w:val="both"/>
              <w:rPr>
                <w:i/>
                <w:sz w:val="22"/>
                <w:szCs w:val="22"/>
                <w:lang w:val="en-GB"/>
              </w:rPr>
            </w:pPr>
            <w:r>
              <w:rPr>
                <w:b/>
                <w:bCs/>
                <w:i/>
                <w:iCs/>
                <w:sz w:val="22"/>
                <w:szCs w:val="22"/>
                <w:lang w:val="en-GB"/>
              </w:rPr>
              <w:t>Objective 3:</w:t>
            </w:r>
            <w:r>
              <w:rPr>
                <w:b/>
                <w:bCs/>
                <w:iCs/>
                <w:sz w:val="22"/>
                <w:szCs w:val="22"/>
                <w:lang w:val="en-GB"/>
              </w:rPr>
              <w:t xml:space="preserve"> </w:t>
            </w:r>
            <w:r>
              <w:rPr>
                <w:i/>
                <w:sz w:val="22"/>
                <w:szCs w:val="22"/>
                <w:lang w:val="en-GB"/>
              </w:rPr>
              <w:t>Improve public transport services, infrastructure and ITC cooperation and networking</w:t>
            </w:r>
          </w:p>
          <w:p w:rsidR="00252B38" w:rsidRDefault="008C6885">
            <w:pPr>
              <w:jc w:val="both"/>
              <w:rPr>
                <w:sz w:val="22"/>
                <w:szCs w:val="22"/>
              </w:rPr>
            </w:pPr>
            <w:r>
              <w:rPr>
                <w:i/>
                <w:sz w:val="22"/>
                <w:szCs w:val="22"/>
              </w:rPr>
              <w:t>Priority 3.1Development of cross border transport infrastructure and ICT tools</w:t>
            </w:r>
          </w:p>
        </w:tc>
      </w:tr>
      <w:tr w:rsidR="00252B38" w:rsidTr="00AF1461">
        <w:tc>
          <w:tcPr>
            <w:tcW w:w="5528" w:type="dxa"/>
            <w:shd w:val="clear" w:color="auto" w:fill="auto"/>
          </w:tcPr>
          <w:p w:rsidR="00252B38" w:rsidRDefault="008C6885">
            <w:pPr>
              <w:jc w:val="both"/>
              <w:rPr>
                <w:sz w:val="22"/>
                <w:szCs w:val="22"/>
                <w:lang w:eastAsia="en-US"/>
              </w:rPr>
            </w:pPr>
            <w:r>
              <w:rPr>
                <w:sz w:val="22"/>
                <w:szCs w:val="22"/>
                <w:lang w:eastAsia="en-US"/>
              </w:rPr>
              <w:t xml:space="preserve">Reconstruction, rehabilitation, modernization  of cross-border transport systems </w:t>
            </w:r>
          </w:p>
        </w:tc>
        <w:tc>
          <w:tcPr>
            <w:tcW w:w="4678" w:type="dxa"/>
            <w:shd w:val="clear" w:color="auto" w:fill="auto"/>
          </w:tcPr>
          <w:p w:rsidR="00252B38" w:rsidRDefault="003A3416">
            <w:pPr>
              <w:ind w:left="34"/>
              <w:jc w:val="both"/>
              <w:rPr>
                <w:sz w:val="22"/>
                <w:szCs w:val="22"/>
              </w:rPr>
            </w:pPr>
            <w:r w:rsidRPr="00AF1461">
              <w:rPr>
                <w:sz w:val="22"/>
                <w:szCs w:val="22"/>
                <w:lang w:eastAsia="en-US"/>
              </w:rPr>
              <w:t>Total length of reconstructed or upgraded roads</w:t>
            </w:r>
            <w:r>
              <w:rPr>
                <w:sz w:val="22"/>
                <w:szCs w:val="22"/>
                <w:lang w:eastAsia="en-US"/>
              </w:rPr>
              <w:t xml:space="preserve"> </w:t>
            </w:r>
          </w:p>
        </w:tc>
      </w:tr>
      <w:tr w:rsidR="00252B38" w:rsidTr="00AF1461">
        <w:tc>
          <w:tcPr>
            <w:tcW w:w="5528" w:type="dxa"/>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 xml:space="preserve">Development of environmentally friendly cross-border transport initiatives and innovative solutions </w:t>
            </w:r>
          </w:p>
        </w:tc>
        <w:tc>
          <w:tcPr>
            <w:tcW w:w="4678" w:type="dxa"/>
            <w:shd w:val="clear" w:color="auto" w:fill="auto"/>
          </w:tcPr>
          <w:p w:rsidR="00252B38" w:rsidRDefault="003A3416">
            <w:pPr>
              <w:ind w:left="34"/>
              <w:rPr>
                <w:sz w:val="22"/>
                <w:szCs w:val="22"/>
              </w:rPr>
            </w:pPr>
            <w:r w:rsidRPr="00AF1461">
              <w:rPr>
                <w:rFonts w:eastAsia="EUAlbertina-Regular-Identity-H" w:cs="Arial"/>
                <w:sz w:val="22"/>
                <w:szCs w:val="22"/>
                <w:lang w:val="en-GB" w:eastAsia="en-US"/>
              </w:rPr>
              <w:t>Number of environmentally friendly (carbon-proofed) cross-border transport initiatives developed</w:t>
            </w:r>
            <w:r>
              <w:rPr>
                <w:rFonts w:eastAsia="EUAlbertina-Regular-Identity-H" w:cs="Arial"/>
                <w:sz w:val="22"/>
                <w:szCs w:val="22"/>
                <w:lang w:val="en-GB" w:eastAsia="en-US"/>
              </w:rPr>
              <w:t xml:space="preserve"> </w:t>
            </w:r>
          </w:p>
        </w:tc>
      </w:tr>
      <w:tr w:rsidR="00252B38" w:rsidTr="00AF1461">
        <w:tc>
          <w:tcPr>
            <w:tcW w:w="5528" w:type="dxa"/>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 xml:space="preserve">Improvements of multimode transport (road/water) facilities of cross-border interest </w:t>
            </w:r>
          </w:p>
        </w:tc>
        <w:tc>
          <w:tcPr>
            <w:tcW w:w="4678" w:type="dxa"/>
            <w:shd w:val="clear" w:color="auto" w:fill="auto"/>
          </w:tcPr>
          <w:p w:rsidR="00252B38" w:rsidRDefault="003A3416">
            <w:pPr>
              <w:ind w:left="34"/>
              <w:rPr>
                <w:sz w:val="22"/>
                <w:szCs w:val="22"/>
              </w:rPr>
            </w:pPr>
            <w:r w:rsidRPr="00AF1461">
              <w:rPr>
                <w:rFonts w:eastAsia="EUAlbertina-Regular-Identity-H" w:cs="Arial"/>
                <w:sz w:val="22"/>
                <w:szCs w:val="22"/>
                <w:lang w:val="en-GB" w:eastAsia="en-US"/>
              </w:rPr>
              <w:t>Number of joint mechanisms to support improvement of cross-border infrastructure (joint planning documents, including: strategies, plans, action plans; multi-modal facilitation mechanisms) developed</w:t>
            </w:r>
            <w:r>
              <w:rPr>
                <w:rFonts w:ascii="Times New Roman" w:hAnsi="Times New Roman"/>
                <w:color w:val="000000"/>
                <w:sz w:val="20"/>
                <w:szCs w:val="20"/>
              </w:rPr>
              <w:t xml:space="preserve"> </w:t>
            </w:r>
          </w:p>
        </w:tc>
      </w:tr>
      <w:tr w:rsidR="00252B38" w:rsidTr="00AF1461">
        <w:tc>
          <w:tcPr>
            <w:tcW w:w="5528" w:type="dxa"/>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 xml:space="preserve">Reconstruction, rehabilitation, widening of cross-border (segments of) roads connecting settlements alongside the border with main road, which leads to the border </w:t>
            </w:r>
          </w:p>
        </w:tc>
        <w:tc>
          <w:tcPr>
            <w:tcW w:w="4678" w:type="dxa"/>
            <w:shd w:val="clear" w:color="auto" w:fill="auto"/>
          </w:tcPr>
          <w:p w:rsidR="00252B38" w:rsidRDefault="003A3416">
            <w:pPr>
              <w:ind w:left="34"/>
              <w:rPr>
                <w:sz w:val="22"/>
                <w:szCs w:val="22"/>
              </w:rPr>
            </w:pPr>
            <w:r w:rsidRPr="002E01ED">
              <w:rPr>
                <w:rFonts w:eastAsia="EUAlbertina-Regular-Identity-H" w:cs="Arial"/>
                <w:sz w:val="22"/>
                <w:szCs w:val="22"/>
                <w:lang w:val="en-GB" w:eastAsia="en-US"/>
              </w:rPr>
              <w:t xml:space="preserve">Total length of reconstructed or upgraded roads </w:t>
            </w:r>
          </w:p>
        </w:tc>
      </w:tr>
      <w:tr w:rsidR="00252B38" w:rsidTr="00AF1461">
        <w:tc>
          <w:tcPr>
            <w:tcW w:w="5528" w:type="dxa"/>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 xml:space="preserve">Improvement/restoration/construction of (segments of) access roads  to centres of cross-border interest </w:t>
            </w:r>
          </w:p>
        </w:tc>
        <w:tc>
          <w:tcPr>
            <w:tcW w:w="4678" w:type="dxa"/>
            <w:shd w:val="clear" w:color="auto" w:fill="auto"/>
          </w:tcPr>
          <w:p w:rsidR="00252B38" w:rsidRDefault="00980E7E">
            <w:pPr>
              <w:ind w:left="34"/>
              <w:rPr>
                <w:sz w:val="22"/>
                <w:szCs w:val="22"/>
              </w:rPr>
            </w:pPr>
            <w:r w:rsidRPr="00213DB6">
              <w:rPr>
                <w:rFonts w:eastAsia="EUAlbertina-Regular-Identity-H" w:cs="Arial"/>
                <w:sz w:val="22"/>
                <w:szCs w:val="22"/>
                <w:lang w:val="en-GB" w:eastAsia="en-US"/>
              </w:rPr>
              <w:t>Total length of reconstructed or upgraded roads</w:t>
            </w:r>
          </w:p>
        </w:tc>
      </w:tr>
      <w:tr w:rsidR="00252B38" w:rsidTr="00AF1461">
        <w:tc>
          <w:tcPr>
            <w:tcW w:w="10206" w:type="dxa"/>
            <w:gridSpan w:val="2"/>
            <w:shd w:val="clear" w:color="auto" w:fill="auto"/>
          </w:tcPr>
          <w:p w:rsidR="00252B38" w:rsidRDefault="008C6885">
            <w:pPr>
              <w:jc w:val="both"/>
              <w:rPr>
                <w:b/>
                <w:sz w:val="22"/>
                <w:szCs w:val="22"/>
              </w:rPr>
            </w:pPr>
            <w:r>
              <w:rPr>
                <w:b/>
                <w:sz w:val="22"/>
                <w:szCs w:val="22"/>
              </w:rPr>
              <w:lastRenderedPageBreak/>
              <w:t>TO8 - COMMON CHALLENGES IN THE FIELD OF SAFETY AND SECURITY</w:t>
            </w:r>
          </w:p>
          <w:p w:rsidR="00252B38" w:rsidRDefault="008C6885">
            <w:pPr>
              <w:jc w:val="both"/>
              <w:rPr>
                <w:sz w:val="22"/>
                <w:szCs w:val="22"/>
              </w:rPr>
            </w:pPr>
            <w:r>
              <w:rPr>
                <w:b/>
                <w:i/>
                <w:sz w:val="22"/>
                <w:szCs w:val="22"/>
              </w:rPr>
              <w:t xml:space="preserve">Objective 4: </w:t>
            </w:r>
            <w:r>
              <w:rPr>
                <w:sz w:val="22"/>
                <w:szCs w:val="22"/>
              </w:rPr>
              <w:t>Addressing common challenges in cross-border security, access to health, management of natural and anthropic risks and emergency situations through joint projects</w:t>
            </w:r>
          </w:p>
        </w:tc>
      </w:tr>
      <w:tr w:rsidR="00252B38" w:rsidTr="00AF1461">
        <w:tc>
          <w:tcPr>
            <w:tcW w:w="10206" w:type="dxa"/>
            <w:gridSpan w:val="2"/>
            <w:shd w:val="clear" w:color="auto" w:fill="auto"/>
          </w:tcPr>
          <w:p w:rsidR="00252B38" w:rsidRDefault="008C6885">
            <w:pPr>
              <w:jc w:val="both"/>
              <w:rPr>
                <w:sz w:val="22"/>
                <w:szCs w:val="22"/>
              </w:rPr>
            </w:pPr>
            <w:r>
              <w:rPr>
                <w:i/>
                <w:sz w:val="22"/>
                <w:szCs w:val="22"/>
              </w:rPr>
              <w:t xml:space="preserve">Priority 4.1 Support to the development of health services and access to health </w:t>
            </w:r>
          </w:p>
        </w:tc>
      </w:tr>
      <w:tr w:rsidR="00252B38" w:rsidTr="00AF1461">
        <w:trPr>
          <w:trHeight w:val="1214"/>
        </w:trPr>
        <w:tc>
          <w:tcPr>
            <w:tcW w:w="5528" w:type="dxa"/>
            <w:shd w:val="clear" w:color="auto" w:fill="auto"/>
          </w:tcPr>
          <w:p w:rsidR="00252B38" w:rsidRDefault="008C6885">
            <w:pPr>
              <w:jc w:val="both"/>
              <w:rPr>
                <w:sz w:val="22"/>
                <w:szCs w:val="22"/>
              </w:rPr>
            </w:pPr>
            <w:r>
              <w:rPr>
                <w:rFonts w:eastAsia="Calibri" w:cs="Arial"/>
                <w:bCs/>
                <w:iCs/>
                <w:sz w:val="22"/>
                <w:szCs w:val="22"/>
                <w:lang w:val="en-GB" w:eastAsia="en-US"/>
              </w:rPr>
              <w:t xml:space="preserve">Joint activities meant to enhance the access to health in the border area through construction / rehabilitation / modernization of infrastructure of public health services (including through the use of renewable energy etc.) </w:t>
            </w:r>
          </w:p>
        </w:tc>
        <w:tc>
          <w:tcPr>
            <w:tcW w:w="4678" w:type="dxa"/>
            <w:shd w:val="clear" w:color="auto" w:fill="auto"/>
          </w:tcPr>
          <w:p w:rsidR="00252B38" w:rsidRDefault="008C6885">
            <w:pPr>
              <w:rPr>
                <w:sz w:val="22"/>
                <w:szCs w:val="22"/>
              </w:rPr>
            </w:pPr>
            <w:r>
              <w:rPr>
                <w:sz w:val="22"/>
                <w:szCs w:val="22"/>
              </w:rPr>
              <w:t xml:space="preserve">The population covered by improved health services, as a direct result of the Program support </w:t>
            </w:r>
          </w:p>
        </w:tc>
      </w:tr>
      <w:tr w:rsidR="00252B38" w:rsidTr="002E01ED">
        <w:tc>
          <w:tcPr>
            <w:tcW w:w="5528" w:type="dxa"/>
            <w:shd w:val="clear" w:color="auto" w:fill="auto"/>
          </w:tcPr>
          <w:p w:rsidR="00252B38" w:rsidRDefault="008C6885">
            <w:pPr>
              <w:jc w:val="both"/>
              <w:rPr>
                <w:sz w:val="22"/>
                <w:szCs w:val="22"/>
                <w:lang w:eastAsia="en-US"/>
              </w:rPr>
            </w:pPr>
            <w:r>
              <w:rPr>
                <w:rFonts w:eastAsia="Calibri" w:cs="Arial"/>
                <w:bCs/>
                <w:iCs/>
                <w:sz w:val="22"/>
                <w:szCs w:val="22"/>
                <w:lang w:val="en-GB" w:eastAsia="en-US"/>
              </w:rPr>
              <w:t>Developing labs and mobile labs for screening / clinical monitoring of diseases and prevention of cross border epidemics</w:t>
            </w:r>
            <w:r>
              <w:rPr>
                <w:sz w:val="22"/>
                <w:szCs w:val="22"/>
                <w:lang w:eastAsia="en-US"/>
              </w:rPr>
              <w:t xml:space="preserve"> </w:t>
            </w:r>
          </w:p>
        </w:tc>
        <w:tc>
          <w:tcPr>
            <w:tcW w:w="4678" w:type="dxa"/>
            <w:shd w:val="clear" w:color="auto" w:fill="auto"/>
          </w:tcPr>
          <w:p w:rsidR="00252B38" w:rsidRPr="00AF1461" w:rsidRDefault="00092BDC">
            <w:pPr>
              <w:keepNext/>
              <w:keepLines/>
              <w:spacing w:before="200"/>
              <w:jc w:val="both"/>
              <w:outlineLvl w:val="8"/>
              <w:rPr>
                <w:rFonts w:eastAsia="Calibri" w:cs="Arial"/>
                <w:bCs/>
                <w:iCs/>
                <w:sz w:val="22"/>
                <w:szCs w:val="22"/>
                <w:lang w:val="en-GB" w:eastAsia="en-US"/>
              </w:rPr>
            </w:pPr>
            <w:r w:rsidRPr="00AF1461">
              <w:rPr>
                <w:rFonts w:eastAsia="Calibri" w:cs="Arial"/>
                <w:bCs/>
                <w:iCs/>
                <w:sz w:val="22"/>
                <w:szCs w:val="22"/>
                <w:lang w:val="en-GB" w:eastAsia="en-US"/>
              </w:rPr>
              <w:t xml:space="preserve">Number of medical service infrastructure units improved </w:t>
            </w:r>
          </w:p>
        </w:tc>
      </w:tr>
      <w:tr w:rsidR="00252B38" w:rsidTr="002E01ED">
        <w:tc>
          <w:tcPr>
            <w:tcW w:w="5528" w:type="dxa"/>
            <w:shd w:val="clear" w:color="auto" w:fill="auto"/>
          </w:tcPr>
          <w:p w:rsidR="00252B38" w:rsidRDefault="008C6885">
            <w:pPr>
              <w:jc w:val="both"/>
              <w:rPr>
                <w:sz w:val="22"/>
                <w:szCs w:val="22"/>
                <w:lang w:eastAsia="en-US"/>
              </w:rPr>
            </w:pPr>
            <w:r>
              <w:rPr>
                <w:rFonts w:eastAsia="Calibri" w:cs="Arial"/>
                <w:bCs/>
                <w:iCs/>
                <w:sz w:val="22"/>
                <w:szCs w:val="22"/>
                <w:lang w:val="en-GB" w:eastAsia="en-US"/>
              </w:rPr>
              <w:t>Equipping specific public medical service infrastructure (outpatient, emergency room facilities, medical centres, integrated social intervention, etc.)</w:t>
            </w:r>
          </w:p>
        </w:tc>
        <w:tc>
          <w:tcPr>
            <w:tcW w:w="4678" w:type="dxa"/>
            <w:shd w:val="clear" w:color="auto" w:fill="auto"/>
          </w:tcPr>
          <w:p w:rsidR="00252B38" w:rsidRDefault="00092BDC">
            <w:pPr>
              <w:rPr>
                <w:sz w:val="22"/>
                <w:szCs w:val="22"/>
              </w:rPr>
            </w:pPr>
            <w:r>
              <w:rPr>
                <w:sz w:val="22"/>
                <w:szCs w:val="22"/>
              </w:rPr>
              <w:t>The population covered by improved health services, as a direct result of the Program suppor t</w:t>
            </w:r>
            <w:r w:rsidR="008C6885">
              <w:rPr>
                <w:sz w:val="22"/>
                <w:szCs w:val="22"/>
              </w:rPr>
              <w:t xml:space="preserve"> </w:t>
            </w:r>
          </w:p>
          <w:p w:rsidR="00252B38" w:rsidRDefault="008C6885">
            <w:pPr>
              <w:rPr>
                <w:sz w:val="22"/>
                <w:szCs w:val="22"/>
              </w:rPr>
            </w:pPr>
            <w:r>
              <w:rPr>
                <w:sz w:val="22"/>
                <w:szCs w:val="22"/>
              </w:rPr>
              <w:t xml:space="preserve">The population covered by improved health services, as a direct result of the Program support  </w:t>
            </w:r>
          </w:p>
        </w:tc>
      </w:tr>
      <w:tr w:rsidR="00252B38" w:rsidTr="002E01ED">
        <w:tc>
          <w:tcPr>
            <w:tcW w:w="10206" w:type="dxa"/>
            <w:gridSpan w:val="2"/>
            <w:shd w:val="clear" w:color="auto" w:fill="auto"/>
          </w:tcPr>
          <w:p w:rsidR="00252B38" w:rsidRDefault="008C6885">
            <w:pPr>
              <w:jc w:val="both"/>
              <w:rPr>
                <w:bCs/>
                <w:i/>
                <w:iCs/>
                <w:sz w:val="22"/>
                <w:szCs w:val="22"/>
              </w:rPr>
            </w:pPr>
            <w:r>
              <w:rPr>
                <w:bCs/>
                <w:i/>
                <w:iCs/>
                <w:sz w:val="22"/>
                <w:szCs w:val="22"/>
              </w:rPr>
              <w:t>Priority 4.2 Support to joint activities for the prevention of natural and man-made disasters as well as joint actions during emergency situations</w:t>
            </w:r>
          </w:p>
          <w:p w:rsidR="00252B38" w:rsidRDefault="00252B38">
            <w:pPr>
              <w:jc w:val="both"/>
              <w:rPr>
                <w:sz w:val="22"/>
                <w:szCs w:val="22"/>
              </w:rPr>
            </w:pPr>
          </w:p>
        </w:tc>
      </w:tr>
      <w:tr w:rsidR="00252B38" w:rsidTr="002E01ED">
        <w:tc>
          <w:tcPr>
            <w:tcW w:w="5528" w:type="dxa"/>
            <w:shd w:val="clear" w:color="auto" w:fill="auto"/>
          </w:tcPr>
          <w:p w:rsidR="00252B38" w:rsidRDefault="008C6885">
            <w:pPr>
              <w:jc w:val="both"/>
              <w:rPr>
                <w:sz w:val="22"/>
                <w:szCs w:val="22"/>
                <w:lang w:eastAsia="en-US"/>
              </w:rPr>
            </w:pPr>
            <w:r>
              <w:rPr>
                <w:rFonts w:eastAsia="Calibri" w:cs="Arial"/>
                <w:bCs/>
                <w:sz w:val="22"/>
                <w:szCs w:val="22"/>
                <w:lang w:val="en-GB" w:eastAsia="en-US"/>
              </w:rPr>
              <w:t xml:space="preserve">Common measures for preventing land slide and flooding of the cross border areas </w:t>
            </w:r>
          </w:p>
        </w:tc>
        <w:tc>
          <w:tcPr>
            <w:tcW w:w="4678" w:type="dxa"/>
            <w:shd w:val="clear" w:color="auto" w:fill="auto"/>
          </w:tcPr>
          <w:p w:rsidR="00252B38" w:rsidRDefault="008C6885">
            <w:pPr>
              <w:rPr>
                <w:sz w:val="22"/>
                <w:szCs w:val="22"/>
              </w:rPr>
            </w:pPr>
            <w:r>
              <w:rPr>
                <w:sz w:val="22"/>
                <w:szCs w:val="22"/>
              </w:rPr>
              <w:t xml:space="preserve">Population benefiting from flood protection measures </w:t>
            </w:r>
          </w:p>
          <w:p w:rsidR="00251CDA" w:rsidRDefault="00251CDA">
            <w:pPr>
              <w:rPr>
                <w:sz w:val="22"/>
                <w:szCs w:val="22"/>
              </w:rPr>
            </w:pPr>
            <w:r>
              <w:rPr>
                <w:sz w:val="22"/>
                <w:szCs w:val="22"/>
              </w:rPr>
              <w:t>Land surface affected by the implementation of the measures</w:t>
            </w:r>
            <w:r>
              <w:rPr>
                <w:rStyle w:val="FootnoteReference"/>
                <w:sz w:val="22"/>
                <w:szCs w:val="22"/>
              </w:rPr>
              <w:footnoteReference w:id="3"/>
            </w:r>
          </w:p>
        </w:tc>
      </w:tr>
      <w:tr w:rsidR="00252B38" w:rsidTr="002E01ED">
        <w:tc>
          <w:tcPr>
            <w:tcW w:w="5528" w:type="dxa"/>
            <w:shd w:val="clear" w:color="auto" w:fill="auto"/>
          </w:tcPr>
          <w:p w:rsidR="00252B38" w:rsidRDefault="008C6885">
            <w:pPr>
              <w:jc w:val="both"/>
              <w:rPr>
                <w:sz w:val="22"/>
                <w:szCs w:val="22"/>
                <w:lang w:eastAsia="en-US"/>
              </w:rPr>
            </w:pPr>
            <w:r>
              <w:rPr>
                <w:rFonts w:eastAsia="Calibri" w:cs="Arial"/>
                <w:bCs/>
                <w:sz w:val="22"/>
                <w:szCs w:val="22"/>
                <w:lang w:val="en-GB" w:eastAsia="en-US"/>
              </w:rPr>
              <w:t xml:space="preserve">Joint integrated systems for efficient monitoring and disaster prevention and for the mitigation of consequences </w:t>
            </w:r>
          </w:p>
        </w:tc>
        <w:tc>
          <w:tcPr>
            <w:tcW w:w="4678" w:type="dxa"/>
            <w:vMerge w:val="restart"/>
            <w:shd w:val="clear" w:color="auto" w:fill="auto"/>
          </w:tcPr>
          <w:p w:rsidR="00252B38" w:rsidRDefault="00092BDC" w:rsidP="00092BDC">
            <w:pPr>
              <w:rPr>
                <w:sz w:val="22"/>
                <w:szCs w:val="22"/>
              </w:rPr>
            </w:pPr>
            <w:r w:rsidRPr="00AF1461">
              <w:rPr>
                <w:sz w:val="22"/>
                <w:szCs w:val="22"/>
              </w:rPr>
              <w:t>Number of joint actions, including soft operations as well as joint infrastructure investments in the field of emergency situations and the prevention of man-made disasters.</w:t>
            </w:r>
            <w:r>
              <w:rPr>
                <w:rFonts w:ascii="Times New Roman" w:hAnsi="Times New Roman"/>
                <w:color w:val="000000"/>
                <w:sz w:val="20"/>
                <w:szCs w:val="20"/>
              </w:rPr>
              <w:t xml:space="preserve"> </w:t>
            </w:r>
          </w:p>
        </w:tc>
      </w:tr>
      <w:tr w:rsidR="00252B38" w:rsidTr="002E01ED">
        <w:tc>
          <w:tcPr>
            <w:tcW w:w="5528" w:type="dxa"/>
            <w:shd w:val="clear" w:color="auto" w:fill="auto"/>
          </w:tcPr>
          <w:p w:rsidR="00252B38" w:rsidRDefault="008C6885">
            <w:pPr>
              <w:jc w:val="both"/>
              <w:rPr>
                <w:sz w:val="22"/>
                <w:szCs w:val="22"/>
              </w:rPr>
            </w:pPr>
            <w:r>
              <w:rPr>
                <w:rFonts w:eastAsia="Calibri" w:cs="Arial"/>
                <w:bCs/>
                <w:sz w:val="22"/>
                <w:szCs w:val="22"/>
                <w:lang w:val="en-GB" w:eastAsia="en-US"/>
              </w:rPr>
              <w:t xml:space="preserve">Elaborating of joint detailed maps and databases (indicating natural and technological risks, and land use for regional planning authorities, environmental agencies and emergency services) </w:t>
            </w:r>
          </w:p>
        </w:tc>
        <w:tc>
          <w:tcPr>
            <w:tcW w:w="4678" w:type="dxa"/>
            <w:vMerge/>
            <w:shd w:val="clear" w:color="auto" w:fill="auto"/>
          </w:tcPr>
          <w:p w:rsidR="00252B38" w:rsidRDefault="00252B38">
            <w:pPr>
              <w:ind w:left="176"/>
              <w:jc w:val="both"/>
              <w:rPr>
                <w:sz w:val="22"/>
                <w:szCs w:val="22"/>
              </w:rPr>
            </w:pPr>
          </w:p>
        </w:tc>
      </w:tr>
      <w:tr w:rsidR="00252B38" w:rsidTr="002E01ED">
        <w:tc>
          <w:tcPr>
            <w:tcW w:w="5528" w:type="dxa"/>
            <w:shd w:val="clear" w:color="auto" w:fill="auto"/>
          </w:tcPr>
          <w:p w:rsidR="00252B38" w:rsidRDefault="008C6885">
            <w:pPr>
              <w:jc w:val="both"/>
              <w:rPr>
                <w:bCs/>
                <w:sz w:val="22"/>
                <w:szCs w:val="22"/>
              </w:rPr>
            </w:pPr>
            <w:r>
              <w:rPr>
                <w:rFonts w:eastAsia="Calibri" w:cs="Arial"/>
                <w:bCs/>
                <w:sz w:val="22"/>
                <w:szCs w:val="22"/>
                <w:lang w:val="en-GB" w:eastAsia="en-US"/>
              </w:rPr>
              <w:t>Investments and development of common, integrated, emergency management systems</w:t>
            </w:r>
          </w:p>
          <w:p w:rsidR="00252B38" w:rsidRDefault="00252B38">
            <w:pPr>
              <w:jc w:val="both"/>
              <w:rPr>
                <w:bCs/>
                <w:sz w:val="22"/>
                <w:szCs w:val="22"/>
              </w:rPr>
            </w:pPr>
          </w:p>
        </w:tc>
        <w:tc>
          <w:tcPr>
            <w:tcW w:w="4678" w:type="dxa"/>
            <w:vMerge/>
            <w:shd w:val="clear" w:color="auto" w:fill="auto"/>
          </w:tcPr>
          <w:p w:rsidR="00252B38" w:rsidRDefault="00252B38">
            <w:pPr>
              <w:ind w:left="176"/>
              <w:rPr>
                <w:sz w:val="22"/>
                <w:szCs w:val="22"/>
              </w:rPr>
            </w:pPr>
          </w:p>
        </w:tc>
      </w:tr>
      <w:tr w:rsidR="00252B38" w:rsidTr="002E01ED">
        <w:tc>
          <w:tcPr>
            <w:tcW w:w="10206" w:type="dxa"/>
            <w:gridSpan w:val="2"/>
            <w:shd w:val="clear" w:color="auto" w:fill="auto"/>
          </w:tcPr>
          <w:p w:rsidR="00252B38" w:rsidRDefault="008C6885">
            <w:pPr>
              <w:jc w:val="both"/>
              <w:rPr>
                <w:sz w:val="22"/>
                <w:szCs w:val="22"/>
              </w:rPr>
            </w:pPr>
            <w:r>
              <w:rPr>
                <w:i/>
                <w:sz w:val="22"/>
                <w:szCs w:val="22"/>
              </w:rPr>
              <w:t xml:space="preserve">Priority 4.3 Prevention and fight against organised crime and police cooperation </w:t>
            </w:r>
          </w:p>
        </w:tc>
      </w:tr>
      <w:tr w:rsidR="00252B38" w:rsidTr="002E01ED">
        <w:tc>
          <w:tcPr>
            <w:tcW w:w="5528" w:type="dxa"/>
            <w:shd w:val="clear" w:color="auto" w:fill="auto"/>
          </w:tcPr>
          <w:p w:rsidR="00252B38" w:rsidRDefault="008C6885">
            <w:pPr>
              <w:jc w:val="both"/>
              <w:rPr>
                <w:sz w:val="22"/>
                <w:szCs w:val="22"/>
                <w:lang w:eastAsia="en-US"/>
              </w:rPr>
            </w:pPr>
            <w:r>
              <w:rPr>
                <w:sz w:val="22"/>
                <w:szCs w:val="22"/>
                <w:lang w:eastAsia="en-US"/>
              </w:rPr>
              <w:t xml:space="preserve"> </w:t>
            </w:r>
            <w:r>
              <w:rPr>
                <w:rFonts w:eastAsia="Calibri" w:cs="Arial"/>
                <w:bCs/>
                <w:sz w:val="22"/>
                <w:szCs w:val="22"/>
                <w:lang w:val="en-GB" w:eastAsia="en-US"/>
              </w:rPr>
              <w:t xml:space="preserve">Investment in construction, renovation or upgrading of police and border crossing infrastructure and related buildings </w:t>
            </w:r>
          </w:p>
        </w:tc>
        <w:tc>
          <w:tcPr>
            <w:tcW w:w="4678" w:type="dxa"/>
            <w:vMerge w:val="restart"/>
            <w:shd w:val="clear" w:color="auto" w:fill="auto"/>
          </w:tcPr>
          <w:p w:rsidR="00252B38" w:rsidRDefault="00092BDC">
            <w:pPr>
              <w:ind w:left="176"/>
              <w:rPr>
                <w:sz w:val="22"/>
                <w:szCs w:val="22"/>
              </w:rPr>
            </w:pPr>
            <w:r w:rsidRPr="00AF1461">
              <w:rPr>
                <w:rFonts w:eastAsia="Calibri" w:cs="Arial"/>
                <w:bCs/>
                <w:sz w:val="22"/>
                <w:szCs w:val="22"/>
                <w:lang w:val="en-GB" w:eastAsia="en-US"/>
              </w:rPr>
              <w:t xml:space="preserve">Number of modernized facilities of police, police border and custom services from the eligible area </w:t>
            </w:r>
          </w:p>
        </w:tc>
      </w:tr>
      <w:tr w:rsidR="00252B38" w:rsidTr="002E01ED">
        <w:tc>
          <w:tcPr>
            <w:tcW w:w="5528" w:type="dxa"/>
            <w:shd w:val="clear" w:color="auto" w:fill="auto"/>
          </w:tcPr>
          <w:p w:rsidR="00252B38" w:rsidRDefault="008C6885">
            <w:pPr>
              <w:jc w:val="both"/>
              <w:rPr>
                <w:sz w:val="22"/>
                <w:szCs w:val="22"/>
                <w:lang w:eastAsia="en-US"/>
              </w:rPr>
            </w:pPr>
            <w:r>
              <w:rPr>
                <w:sz w:val="22"/>
                <w:szCs w:val="22"/>
                <w:lang w:eastAsia="en-US"/>
              </w:rPr>
              <w:t xml:space="preserve"> </w:t>
            </w:r>
            <w:r>
              <w:rPr>
                <w:rFonts w:eastAsia="Calibri" w:cs="Arial"/>
                <w:bCs/>
                <w:sz w:val="22"/>
                <w:szCs w:val="22"/>
                <w:lang w:val="en-GB" w:eastAsia="en-US"/>
              </w:rPr>
              <w:t xml:space="preserve">Investments in operating equipment and facilities specific for the activity of police/customs/border police/gendarmerie (e.g. laboratories,  equipment, detection tools,  hardware and software, means of transport) </w:t>
            </w:r>
          </w:p>
        </w:tc>
        <w:tc>
          <w:tcPr>
            <w:tcW w:w="4678" w:type="dxa"/>
            <w:vMerge/>
            <w:shd w:val="clear" w:color="auto" w:fill="auto"/>
          </w:tcPr>
          <w:p w:rsidR="00252B38" w:rsidRDefault="00252B38">
            <w:pPr>
              <w:ind w:left="176"/>
              <w:jc w:val="both"/>
              <w:rPr>
                <w:sz w:val="22"/>
                <w:szCs w:val="22"/>
              </w:rPr>
            </w:pPr>
          </w:p>
        </w:tc>
      </w:tr>
      <w:tr w:rsidR="00252B38" w:rsidTr="002E01ED">
        <w:tc>
          <w:tcPr>
            <w:tcW w:w="10206" w:type="dxa"/>
            <w:gridSpan w:val="2"/>
            <w:shd w:val="clear" w:color="auto" w:fill="auto"/>
          </w:tcPr>
          <w:p w:rsidR="00252B38" w:rsidRDefault="008C6885">
            <w:pPr>
              <w:jc w:val="both"/>
              <w:rPr>
                <w:b/>
                <w:sz w:val="22"/>
                <w:szCs w:val="22"/>
              </w:rPr>
            </w:pPr>
            <w:r>
              <w:rPr>
                <w:b/>
                <w:sz w:val="22"/>
                <w:szCs w:val="22"/>
              </w:rPr>
              <w:t xml:space="preserve">Large infrastructure projects </w:t>
            </w:r>
          </w:p>
        </w:tc>
      </w:tr>
      <w:tr w:rsidR="00252B38" w:rsidTr="002E01ED">
        <w:tc>
          <w:tcPr>
            <w:tcW w:w="5528" w:type="dxa"/>
            <w:shd w:val="clear" w:color="auto" w:fill="auto"/>
          </w:tcPr>
          <w:p w:rsidR="00252B38" w:rsidRDefault="008C6885">
            <w:pPr>
              <w:jc w:val="both"/>
              <w:rPr>
                <w:sz w:val="22"/>
                <w:szCs w:val="22"/>
              </w:rPr>
            </w:pPr>
            <w:r>
              <w:rPr>
                <w:rFonts w:eastAsia="Calibri" w:cs="Arial"/>
                <w:sz w:val="22"/>
                <w:szCs w:val="22"/>
                <w:lang w:val="en-GB" w:eastAsia="en-US"/>
              </w:rPr>
              <w:t xml:space="preserve">«Clean river» Dunărea </w:t>
            </w:r>
          </w:p>
        </w:tc>
        <w:tc>
          <w:tcPr>
            <w:tcW w:w="4678" w:type="dxa"/>
            <w:shd w:val="clear" w:color="auto" w:fill="auto"/>
          </w:tcPr>
          <w:p w:rsidR="00092BDC" w:rsidRDefault="008C6885" w:rsidP="00AF1461">
            <w:pPr>
              <w:ind w:left="34"/>
              <w:jc w:val="both"/>
              <w:rPr>
                <w:sz w:val="22"/>
                <w:szCs w:val="22"/>
              </w:rPr>
            </w:pPr>
            <w:r>
              <w:rPr>
                <w:sz w:val="22"/>
                <w:szCs w:val="22"/>
              </w:rPr>
              <w:t xml:space="preserve">Population benefiting from flood protection measures </w:t>
            </w:r>
          </w:p>
          <w:p w:rsidR="00252B38" w:rsidRDefault="00092BDC" w:rsidP="00AF1461">
            <w:pPr>
              <w:ind w:left="34"/>
              <w:jc w:val="both"/>
              <w:rPr>
                <w:sz w:val="22"/>
                <w:szCs w:val="22"/>
              </w:rPr>
            </w:pPr>
            <w:r w:rsidRPr="00AF1461">
              <w:rPr>
                <w:sz w:val="22"/>
                <w:szCs w:val="22"/>
              </w:rPr>
              <w:t>Number of joint actions, including soft operations, as well as joint infrastructure investments in the field of emergency situations and the prevention of man-made disasters.</w:t>
            </w:r>
            <w:r>
              <w:rPr>
                <w:rFonts w:ascii="Times New Roman" w:hAnsi="Times New Roman"/>
                <w:color w:val="000000"/>
                <w:sz w:val="20"/>
                <w:szCs w:val="20"/>
              </w:rPr>
              <w:t xml:space="preserve"> </w:t>
            </w:r>
          </w:p>
        </w:tc>
      </w:tr>
      <w:tr w:rsidR="00252B38" w:rsidTr="002E01ED">
        <w:tc>
          <w:tcPr>
            <w:tcW w:w="5528" w:type="dxa"/>
            <w:shd w:val="clear" w:color="auto" w:fill="auto"/>
          </w:tcPr>
          <w:p w:rsidR="00252B38" w:rsidRDefault="008C6885">
            <w:pPr>
              <w:jc w:val="both"/>
              <w:rPr>
                <w:sz w:val="22"/>
                <w:szCs w:val="22"/>
              </w:rPr>
            </w:pPr>
            <w:r>
              <w:rPr>
                <w:rFonts w:eastAsia="Calibri" w:cs="Arial"/>
                <w:color w:val="000000"/>
                <w:sz w:val="22"/>
                <w:szCs w:val="22"/>
                <w:u w:color="000000"/>
                <w:lang w:val="en-GB" w:eastAsia="en-US"/>
              </w:rPr>
              <w:t>Improving the cross-border infrastructure – opening the gate to Europe</w:t>
            </w:r>
            <w:r>
              <w:rPr>
                <w:sz w:val="22"/>
                <w:szCs w:val="22"/>
                <w:lang w:val="vi-VN"/>
              </w:rPr>
              <w:t xml:space="preserve"> </w:t>
            </w:r>
          </w:p>
        </w:tc>
        <w:tc>
          <w:tcPr>
            <w:tcW w:w="4678" w:type="dxa"/>
            <w:shd w:val="clear" w:color="auto" w:fill="auto"/>
          </w:tcPr>
          <w:p w:rsidR="00252B38" w:rsidRDefault="00092BDC">
            <w:pPr>
              <w:tabs>
                <w:tab w:val="left" w:pos="176"/>
              </w:tabs>
              <w:ind w:left="34"/>
              <w:rPr>
                <w:sz w:val="22"/>
                <w:szCs w:val="22"/>
              </w:rPr>
            </w:pPr>
            <w:r w:rsidRPr="002E01ED">
              <w:rPr>
                <w:rFonts w:eastAsia="Calibri" w:cs="Arial"/>
                <w:color w:val="000000"/>
                <w:sz w:val="22"/>
                <w:szCs w:val="22"/>
                <w:u w:color="000000"/>
                <w:lang w:val="en-GB" w:eastAsia="en-US"/>
              </w:rPr>
              <w:t>Total length of reconstructed or upgraded roads</w:t>
            </w:r>
            <w:r>
              <w:rPr>
                <w:rFonts w:ascii="Times New Roman" w:hAnsi="Times New Roman"/>
                <w:color w:val="000000"/>
                <w:sz w:val="20"/>
                <w:szCs w:val="20"/>
              </w:rPr>
              <w:t xml:space="preserve">  </w:t>
            </w:r>
          </w:p>
        </w:tc>
      </w:tr>
      <w:tr w:rsidR="00252B38" w:rsidTr="002E01ED">
        <w:tc>
          <w:tcPr>
            <w:tcW w:w="5528" w:type="dxa"/>
            <w:shd w:val="clear" w:color="auto" w:fill="auto"/>
          </w:tcPr>
          <w:p w:rsidR="00252B38" w:rsidRDefault="008C6885">
            <w:pPr>
              <w:jc w:val="both"/>
              <w:rPr>
                <w:sz w:val="22"/>
                <w:szCs w:val="22"/>
              </w:rPr>
            </w:pPr>
            <w:r>
              <w:rPr>
                <w:rFonts w:eastAsia="Calibri" w:cs="Arial"/>
                <w:color w:val="000000"/>
                <w:sz w:val="22"/>
                <w:szCs w:val="22"/>
                <w:u w:color="000000"/>
                <w:lang w:val="en-GB" w:eastAsia="en-US"/>
              </w:rPr>
              <w:lastRenderedPageBreak/>
              <w:t xml:space="preserve">Regional Cooperation for Prevention and Fighting of Cross-border Crime between Romania-Ukraine </w:t>
            </w:r>
          </w:p>
        </w:tc>
        <w:tc>
          <w:tcPr>
            <w:tcW w:w="4678" w:type="dxa"/>
            <w:shd w:val="clear" w:color="auto" w:fill="auto"/>
          </w:tcPr>
          <w:p w:rsidR="00252B38" w:rsidRDefault="00092BDC">
            <w:pPr>
              <w:tabs>
                <w:tab w:val="left" w:pos="176"/>
              </w:tabs>
              <w:ind w:left="34"/>
              <w:rPr>
                <w:sz w:val="22"/>
                <w:szCs w:val="22"/>
              </w:rPr>
            </w:pPr>
            <w:r w:rsidRPr="002E01ED">
              <w:rPr>
                <w:rFonts w:cs="Arial"/>
                <w:bCs/>
                <w:color w:val="000000"/>
                <w:sz w:val="22"/>
                <w:szCs w:val="22"/>
              </w:rPr>
              <w:t>Number of modernized facilities of police, police border and custom services from the eligible area</w:t>
            </w:r>
            <w:r>
              <w:rPr>
                <w:rFonts w:cs="Arial"/>
                <w:bCs/>
                <w:color w:val="000000"/>
                <w:sz w:val="22"/>
                <w:szCs w:val="22"/>
              </w:rPr>
              <w:t xml:space="preserve"> </w:t>
            </w:r>
          </w:p>
        </w:tc>
      </w:tr>
      <w:tr w:rsidR="00252B38" w:rsidTr="002E01ED">
        <w:tc>
          <w:tcPr>
            <w:tcW w:w="5528" w:type="dxa"/>
            <w:shd w:val="clear" w:color="auto" w:fill="auto"/>
          </w:tcPr>
          <w:p w:rsidR="00252B38" w:rsidRDefault="008C6885">
            <w:pPr>
              <w:jc w:val="both"/>
              <w:rPr>
                <w:sz w:val="22"/>
                <w:szCs w:val="22"/>
              </w:rPr>
            </w:pPr>
            <w:r>
              <w:rPr>
                <w:rFonts w:eastAsia="Calibri" w:cs="Arial"/>
                <w:sz w:val="22"/>
                <w:szCs w:val="22"/>
                <w:lang w:val="en-GB" w:eastAsia="en-US"/>
              </w:rPr>
              <w:t>Improvement of the population safety and security level in the cross-border area by enhancing the joint training and cooperation actions in emergency management.</w:t>
            </w:r>
          </w:p>
        </w:tc>
        <w:tc>
          <w:tcPr>
            <w:tcW w:w="4678" w:type="dxa"/>
            <w:shd w:val="clear" w:color="auto" w:fill="auto"/>
          </w:tcPr>
          <w:p w:rsidR="00252B38" w:rsidRDefault="00092BDC">
            <w:pPr>
              <w:tabs>
                <w:tab w:val="left" w:pos="176"/>
              </w:tabs>
              <w:ind w:left="34"/>
              <w:jc w:val="both"/>
              <w:rPr>
                <w:sz w:val="22"/>
                <w:szCs w:val="22"/>
              </w:rPr>
            </w:pPr>
            <w:r w:rsidRPr="002E01ED">
              <w:rPr>
                <w:rFonts w:cs="Arial"/>
                <w:color w:val="000000"/>
                <w:sz w:val="22"/>
                <w:szCs w:val="22"/>
              </w:rPr>
              <w:t>Number of joint actions, including soft operations, as well as joint infrastructure investments in the field of emergency situations and the prevention of man-made disasters.</w:t>
            </w:r>
            <w:r>
              <w:rPr>
                <w:rFonts w:ascii="Times New Roman" w:hAnsi="Times New Roman"/>
                <w:color w:val="000000"/>
                <w:sz w:val="20"/>
                <w:szCs w:val="20"/>
              </w:rPr>
              <w:t xml:space="preserve"> </w:t>
            </w:r>
          </w:p>
        </w:tc>
      </w:tr>
    </w:tbl>
    <w:p w:rsidR="0016267B" w:rsidRDefault="008C6885">
      <w:pPr>
        <w:autoSpaceDE w:val="0"/>
        <w:autoSpaceDN w:val="0"/>
        <w:adjustRightInd w:val="0"/>
        <w:spacing w:before="60" w:after="60" w:line="288" w:lineRule="auto"/>
        <w:ind w:firstLine="720"/>
        <w:contextualSpacing/>
        <w:jc w:val="both"/>
        <w:rPr>
          <w:rFonts w:cs="Arial"/>
          <w:bCs/>
          <w:color w:val="000000"/>
        </w:rPr>
      </w:pPr>
      <w:r>
        <w:rPr>
          <w:rFonts w:cs="Arial"/>
          <w:bCs/>
          <w:color w:val="000000"/>
        </w:rPr>
        <w:t xml:space="preserve">The monitoring indicators will be used for assessment of effects on environment for each project financed from the Programme. </w:t>
      </w:r>
      <w:r w:rsidR="0016267B">
        <w:rPr>
          <w:rFonts w:cs="Arial"/>
          <w:bCs/>
          <w:color w:val="000000"/>
        </w:rPr>
        <w:t xml:space="preserve">This data will be provided by the </w:t>
      </w:r>
      <w:r w:rsidR="004D1FFC">
        <w:rPr>
          <w:rFonts w:cs="Arial"/>
          <w:bCs/>
          <w:color w:val="000000"/>
        </w:rPr>
        <w:t xml:space="preserve">project beneficiaries </w:t>
      </w:r>
      <w:r w:rsidR="005449D1">
        <w:rPr>
          <w:rFonts w:cs="Arial"/>
          <w:bCs/>
          <w:color w:val="000000"/>
        </w:rPr>
        <w:t>thorugh the monitoring of activities and will be collected annually in order to be able to include them in the Annual Implmenting Report of the Programme submitted to the JMC. Authorities proposed to be involved in the monitoring of the effects on the environment are: project beneficiaries, JMC, MA (MRDPA).</w:t>
      </w:r>
    </w:p>
    <w:p w:rsidR="00252B38" w:rsidRDefault="00252B38">
      <w:pPr>
        <w:autoSpaceDE w:val="0"/>
        <w:autoSpaceDN w:val="0"/>
        <w:adjustRightInd w:val="0"/>
        <w:spacing w:before="60" w:after="60" w:line="288" w:lineRule="auto"/>
        <w:contextualSpacing/>
        <w:jc w:val="both"/>
        <w:rPr>
          <w:rFonts w:cs="Arial"/>
          <w:b/>
          <w:bCs/>
          <w:color w:val="000000"/>
          <w:sz w:val="22"/>
          <w:szCs w:val="22"/>
          <w:lang w:val="en-GB"/>
        </w:rPr>
      </w:pPr>
    </w:p>
    <w:p w:rsidR="00252B38" w:rsidRDefault="008C6885" w:rsidP="002E01ED">
      <w:pPr>
        <w:pStyle w:val="Title"/>
        <w:ind w:left="1800"/>
        <w:jc w:val="left"/>
        <w:rPr>
          <w:rFonts w:ascii="Arial" w:hAnsi="Arial" w:cs="Arial"/>
          <w:sz w:val="24"/>
          <w:szCs w:val="24"/>
          <w:lang w:val="en-GB"/>
        </w:rPr>
      </w:pPr>
      <w:bookmarkStart w:id="181" w:name="_Toc412114142"/>
      <w:bookmarkStart w:id="182" w:name="_Toc419704943"/>
      <w:r>
        <w:rPr>
          <w:rFonts w:ascii="Arial" w:hAnsi="Arial" w:cs="Arial"/>
          <w:sz w:val="24"/>
          <w:szCs w:val="24"/>
          <w:lang w:val="en-GB"/>
        </w:rPr>
        <w:t xml:space="preserve">11 </w:t>
      </w:r>
      <w:bookmarkEnd w:id="181"/>
      <w:r>
        <w:rPr>
          <w:rFonts w:ascii="Arial" w:hAnsi="Arial" w:cs="Arial"/>
          <w:sz w:val="24"/>
          <w:szCs w:val="24"/>
          <w:lang w:val="en-GB"/>
        </w:rPr>
        <w:t>NON-TECHNICAL SUMMARY</w:t>
      </w:r>
      <w:bookmarkEnd w:id="182"/>
    </w:p>
    <w:p w:rsidR="00252B38" w:rsidRDefault="00252B38">
      <w:pPr>
        <w:spacing w:before="60" w:after="60" w:line="288" w:lineRule="auto"/>
        <w:rPr>
          <w:rFonts w:eastAsia="Calibri" w:cs="Arial"/>
          <w:b/>
          <w:sz w:val="22"/>
          <w:szCs w:val="22"/>
          <w:lang w:val="en-US" w:eastAsia="en-US"/>
        </w:rPr>
      </w:pPr>
    </w:p>
    <w:p w:rsidR="00252B38" w:rsidRDefault="008C6885">
      <w:pPr>
        <w:spacing w:before="60" w:after="60" w:line="288" w:lineRule="auto"/>
        <w:ind w:firstLine="709"/>
        <w:jc w:val="both"/>
        <w:rPr>
          <w:lang w:val="en-GB"/>
        </w:rPr>
      </w:pPr>
      <w:r>
        <w:rPr>
          <w:lang w:val="en-GB"/>
        </w:rPr>
        <w:t>The Strategic Environmental Assessment is carried out based on the requirements of the SEA Directive (European Council Directive no. 2001/42/EC on the assessment of effects of certain plans and programmes on the environment) in Romania and of the SEA Protocol in  Ukraine, if there are no other specific rules.</w:t>
      </w:r>
    </w:p>
    <w:p w:rsidR="00252B38" w:rsidRDefault="008C6885">
      <w:pPr>
        <w:spacing w:before="60" w:after="60" w:line="288" w:lineRule="auto"/>
        <w:ind w:firstLine="630"/>
        <w:jc w:val="both"/>
      </w:pPr>
      <w:r>
        <w:t>The main elements recommended to be followed by law or implementation guidelines in such environmental assessment are:</w:t>
      </w:r>
    </w:p>
    <w:p w:rsidR="00252B38" w:rsidRDefault="008C6885">
      <w:pPr>
        <w:numPr>
          <w:ilvl w:val="0"/>
          <w:numId w:val="40"/>
        </w:numPr>
        <w:tabs>
          <w:tab w:val="left" w:pos="990"/>
        </w:tabs>
        <w:spacing w:before="60" w:after="60" w:line="288" w:lineRule="auto"/>
        <w:ind w:left="990" w:hanging="270"/>
        <w:jc w:val="both"/>
      </w:pPr>
      <w:r>
        <w:t>description of key aspects of the environment that need to be addressed;</w:t>
      </w:r>
    </w:p>
    <w:p w:rsidR="00252B38" w:rsidRDefault="008C6885">
      <w:pPr>
        <w:numPr>
          <w:ilvl w:val="0"/>
          <w:numId w:val="40"/>
        </w:numPr>
        <w:tabs>
          <w:tab w:val="left" w:pos="990"/>
        </w:tabs>
        <w:spacing w:before="60" w:after="60" w:line="288" w:lineRule="auto"/>
        <w:ind w:left="990" w:hanging="270"/>
        <w:jc w:val="both"/>
      </w:pPr>
      <w:r>
        <w:t xml:space="preserve"> description of reference range values for environment, to be submitted for analysis in the SEA report;</w:t>
      </w:r>
    </w:p>
    <w:p w:rsidR="00252B38" w:rsidRDefault="008C6885">
      <w:pPr>
        <w:numPr>
          <w:ilvl w:val="0"/>
          <w:numId w:val="40"/>
        </w:numPr>
        <w:tabs>
          <w:tab w:val="left" w:pos="990"/>
        </w:tabs>
        <w:spacing w:before="60" w:after="60" w:line="288" w:lineRule="auto"/>
        <w:ind w:left="990" w:hanging="270"/>
        <w:jc w:val="both"/>
      </w:pPr>
      <w:r>
        <w:t>ways for identifying the impact of the plan / programme on the environment;</w:t>
      </w:r>
    </w:p>
    <w:p w:rsidR="00252B38" w:rsidRDefault="008C6885">
      <w:pPr>
        <w:numPr>
          <w:ilvl w:val="0"/>
          <w:numId w:val="40"/>
        </w:numPr>
        <w:tabs>
          <w:tab w:val="left" w:pos="990"/>
        </w:tabs>
        <w:spacing w:before="60" w:after="60" w:line="288" w:lineRule="auto"/>
        <w:ind w:left="990" w:hanging="270"/>
        <w:jc w:val="both"/>
      </w:pPr>
      <w:r>
        <w:t xml:space="preserve"> evaluation of the capacities to address the challenges, risks and prevention.</w:t>
      </w:r>
    </w:p>
    <w:p w:rsidR="00252B38" w:rsidRDefault="00252B38">
      <w:pPr>
        <w:spacing w:before="60" w:after="60" w:line="288" w:lineRule="auto"/>
        <w:ind w:firstLine="709"/>
        <w:jc w:val="both"/>
        <w:rPr>
          <w:lang w:val="en-GB"/>
        </w:rPr>
      </w:pPr>
    </w:p>
    <w:p w:rsidR="00252B38" w:rsidRDefault="008C6885">
      <w:pPr>
        <w:spacing w:before="60" w:after="60" w:line="288" w:lineRule="auto"/>
        <w:ind w:firstLine="709"/>
        <w:jc w:val="both"/>
        <w:rPr>
          <w:rFonts w:cs="Arial"/>
          <w:lang w:val="en-GB"/>
        </w:rPr>
      </w:pPr>
      <w:r>
        <w:rPr>
          <w:rFonts w:cs="Arial"/>
          <w:lang w:val="en-GB"/>
        </w:rPr>
        <w:t>The methodology used in the strategic environmental assessment includes the requirements of the above-mentioned documents and of the following methodological recommendation: "</w:t>
      </w:r>
      <w:r>
        <w:rPr>
          <w:rFonts w:cs="Arial"/>
          <w:i/>
          <w:lang w:val="en-GB"/>
        </w:rPr>
        <w:t>Guidance Note on Strategic Environment Assessment in the context of ENI CBC</w:t>
      </w:r>
      <w:r>
        <w:rPr>
          <w:rFonts w:cs="Arial"/>
          <w:lang w:val="en-GB"/>
        </w:rPr>
        <w:t xml:space="preserve">" developed by INTERACT ENPI for the specific situation of Joint Operational Programmes and approved by the Directorate General for Development and Cooperation - Europe Aid (DG DEVCO) and the Directorate General for Environment (DG ENV). </w:t>
      </w:r>
    </w:p>
    <w:p w:rsidR="005449D1" w:rsidRDefault="008C6885">
      <w:pPr>
        <w:spacing w:before="60" w:after="60" w:line="288" w:lineRule="auto"/>
        <w:ind w:firstLine="709"/>
        <w:jc w:val="both"/>
        <w:rPr>
          <w:rFonts w:cs="Arial"/>
          <w:lang w:val="en-GB"/>
        </w:rPr>
      </w:pPr>
      <w:r>
        <w:rPr>
          <w:rFonts w:cs="Arial"/>
          <w:lang w:val="en-GB"/>
        </w:rPr>
        <w:t xml:space="preserve">Considering the extent to which the Joint Operational </w:t>
      </w:r>
      <w:r>
        <w:rPr>
          <w:rFonts w:cs="Arial"/>
          <w:i/>
          <w:lang w:val="en-GB"/>
        </w:rPr>
        <w:t>Programme "Romania - Ukraine" 2014 ÷ 2020</w:t>
      </w:r>
      <w:r>
        <w:rPr>
          <w:rFonts w:cs="Arial"/>
          <w:lang w:val="en-GB"/>
        </w:rPr>
        <w:t xml:space="preserve"> provides a framework for future projects and other activities, development of it’s first version will be notified to the environmental competent authorities, for estimation of its impact on environmental factors. In this procedure it is necessary </w:t>
      </w:r>
      <w:r>
        <w:rPr>
          <w:rFonts w:cs="Arial"/>
          <w:b/>
          <w:lang w:val="en-GB"/>
        </w:rPr>
        <w:t>to finalize the Programme in parallel with developing Environmental Report</w:t>
      </w:r>
      <w:r>
        <w:rPr>
          <w:rFonts w:cs="Arial"/>
          <w:lang w:val="en-GB"/>
        </w:rPr>
        <w:t>.</w:t>
      </w:r>
    </w:p>
    <w:p w:rsidR="00252B38" w:rsidRDefault="008C6885">
      <w:pPr>
        <w:spacing w:before="60" w:after="60" w:line="288" w:lineRule="auto"/>
        <w:ind w:firstLine="630"/>
        <w:jc w:val="both"/>
      </w:pPr>
      <w:r>
        <w:rPr>
          <w:b/>
        </w:rPr>
        <w:t xml:space="preserve">The environmental report, </w:t>
      </w:r>
      <w:r w:rsidR="005449D1">
        <w:t>i</w:t>
      </w:r>
      <w:r>
        <w:t xml:space="preserve">s </w:t>
      </w:r>
      <w:r w:rsidR="005449D1">
        <w:t xml:space="preserve">a </w:t>
      </w:r>
      <w:r>
        <w:t xml:space="preserve">part of </w:t>
      </w:r>
      <w:r w:rsidR="005449D1">
        <w:t xml:space="preserve">the </w:t>
      </w:r>
      <w:r>
        <w:t xml:space="preserve">Programme documentation </w:t>
      </w:r>
      <w:r w:rsidR="005449D1">
        <w:t xml:space="preserve">that </w:t>
      </w:r>
      <w:r>
        <w:t>indentif</w:t>
      </w:r>
      <w:r w:rsidR="005449D1">
        <w:t>ies</w:t>
      </w:r>
      <w:r>
        <w:t>, describe</w:t>
      </w:r>
      <w:r w:rsidR="005449D1">
        <w:t>s</w:t>
      </w:r>
      <w:r>
        <w:t xml:space="preserve"> and evaluate</w:t>
      </w:r>
      <w:r w:rsidR="005449D1">
        <w:t>s</w:t>
      </w:r>
      <w:r>
        <w:t xml:space="preserve"> potential semnificative effects on environment and rational alternatives, considering the objectives and related geographical area. </w:t>
      </w:r>
    </w:p>
    <w:p w:rsidR="00252B38" w:rsidRDefault="00252B38">
      <w:pPr>
        <w:spacing w:before="60" w:after="60" w:line="288" w:lineRule="auto"/>
        <w:ind w:firstLine="709"/>
        <w:jc w:val="both"/>
        <w:rPr>
          <w:rFonts w:cs="Arial"/>
          <w:lang w:val="en-GB"/>
        </w:rPr>
      </w:pPr>
    </w:p>
    <w:p w:rsidR="00252B38" w:rsidRDefault="008C6885">
      <w:pPr>
        <w:spacing w:before="60" w:after="60" w:line="288" w:lineRule="auto"/>
        <w:ind w:firstLine="709"/>
        <w:jc w:val="both"/>
        <w:rPr>
          <w:rFonts w:cs="Arial"/>
          <w:lang w:val="en-GB"/>
        </w:rPr>
      </w:pPr>
      <w:r>
        <w:rPr>
          <w:rFonts w:cs="Arial"/>
          <w:lang w:val="en-GB"/>
        </w:rPr>
        <w:t>The development of the Strategic Environmental Assessment procedure is mandatory, the European Commission requiring the related opinions on environmental assessment, for the approval of the Programme "</w:t>
      </w:r>
      <w:r>
        <w:rPr>
          <w:rFonts w:cs="Arial"/>
          <w:i/>
          <w:lang w:val="en-GB"/>
        </w:rPr>
        <w:t>Romania - Ukraine</w:t>
      </w:r>
      <w:r>
        <w:rPr>
          <w:rFonts w:cs="Arial"/>
          <w:lang w:val="en-GB"/>
        </w:rPr>
        <w:t>" 2014 ÷ 2020 under national and European legislation in force.</w:t>
      </w:r>
    </w:p>
    <w:p w:rsidR="00252B38" w:rsidRDefault="008C6885">
      <w:pPr>
        <w:spacing w:before="60" w:after="60" w:line="288" w:lineRule="auto"/>
        <w:ind w:firstLine="709"/>
        <w:jc w:val="both"/>
        <w:rPr>
          <w:rFonts w:cs="Arial"/>
          <w:lang w:val="en-GB"/>
        </w:rPr>
      </w:pPr>
      <w:r>
        <w:rPr>
          <w:rFonts w:cs="Arial"/>
          <w:lang w:val="en-GB"/>
        </w:rPr>
        <w:t>In accordance with the SEA Directive (2001/42/EC), environmental assessment involves the following steps:</w:t>
      </w:r>
    </w:p>
    <w:p w:rsidR="00252B38" w:rsidRDefault="008C6885">
      <w:pPr>
        <w:numPr>
          <w:ilvl w:val="0"/>
          <w:numId w:val="42"/>
        </w:numPr>
        <w:spacing w:before="60" w:after="60" w:line="288" w:lineRule="auto"/>
        <w:jc w:val="both"/>
        <w:rPr>
          <w:rFonts w:cs="Arial"/>
          <w:lang w:val="en-GB"/>
        </w:rPr>
      </w:pPr>
      <w:r>
        <w:rPr>
          <w:rFonts w:cs="Arial"/>
          <w:lang w:val="en-GB"/>
        </w:rPr>
        <w:t>Identification of environmental authorities of all countries concerned (Romania, Ukraine);</w:t>
      </w:r>
    </w:p>
    <w:p w:rsidR="00252B38" w:rsidRDefault="008C6885">
      <w:pPr>
        <w:numPr>
          <w:ilvl w:val="0"/>
          <w:numId w:val="42"/>
        </w:numPr>
        <w:spacing w:before="60" w:after="60" w:line="288" w:lineRule="auto"/>
        <w:jc w:val="both"/>
        <w:rPr>
          <w:rFonts w:cs="Arial"/>
          <w:lang w:val="en-GB"/>
        </w:rPr>
      </w:pPr>
      <w:r>
        <w:rPr>
          <w:rFonts w:cs="Arial"/>
          <w:lang w:val="en-GB"/>
        </w:rPr>
        <w:t xml:space="preserve">The decision on whether SEA is required or not, </w:t>
      </w:r>
    </w:p>
    <w:p w:rsidR="00252B38" w:rsidRDefault="008C6885">
      <w:pPr>
        <w:spacing w:before="60" w:after="60" w:line="288" w:lineRule="auto"/>
        <w:jc w:val="both"/>
        <w:rPr>
          <w:rFonts w:cs="Arial"/>
          <w:lang w:val="en-GB"/>
        </w:rPr>
      </w:pPr>
      <w:r>
        <w:rPr>
          <w:rFonts w:cs="Arial"/>
          <w:lang w:val="en-GB"/>
        </w:rPr>
        <w:t>and if yes:</w:t>
      </w:r>
    </w:p>
    <w:p w:rsidR="00252B38" w:rsidRDefault="008C6885">
      <w:pPr>
        <w:numPr>
          <w:ilvl w:val="0"/>
          <w:numId w:val="42"/>
        </w:numPr>
        <w:spacing w:before="60" w:after="60" w:line="288" w:lineRule="auto"/>
        <w:jc w:val="both"/>
        <w:rPr>
          <w:rFonts w:cs="Arial"/>
          <w:lang w:val="en-GB"/>
        </w:rPr>
      </w:pPr>
      <w:r>
        <w:rPr>
          <w:rFonts w:cs="Arial"/>
          <w:lang w:val="en-GB"/>
        </w:rPr>
        <w:t>Determining the SEA scope and development of the Environmental Report;</w:t>
      </w:r>
    </w:p>
    <w:p w:rsidR="00252B38" w:rsidRDefault="008C6885">
      <w:pPr>
        <w:numPr>
          <w:ilvl w:val="0"/>
          <w:numId w:val="42"/>
        </w:numPr>
        <w:spacing w:before="60" w:after="60" w:line="288" w:lineRule="auto"/>
        <w:jc w:val="both"/>
        <w:rPr>
          <w:rFonts w:cs="Arial"/>
          <w:lang w:val="en-GB"/>
        </w:rPr>
      </w:pPr>
      <w:r>
        <w:rPr>
          <w:rFonts w:cs="Arial"/>
          <w:lang w:val="en-GB"/>
        </w:rPr>
        <w:t>Consultation of environmental authorities and the public;</w:t>
      </w:r>
    </w:p>
    <w:p w:rsidR="00252B38" w:rsidRDefault="008C6885">
      <w:pPr>
        <w:numPr>
          <w:ilvl w:val="0"/>
          <w:numId w:val="42"/>
        </w:numPr>
        <w:spacing w:before="60" w:after="60" w:line="288" w:lineRule="auto"/>
        <w:jc w:val="both"/>
        <w:rPr>
          <w:rFonts w:cs="Arial"/>
          <w:lang w:val="en-GB"/>
        </w:rPr>
      </w:pPr>
      <w:r>
        <w:rPr>
          <w:rFonts w:cs="Arial"/>
          <w:lang w:val="en-GB"/>
        </w:rPr>
        <w:t>Inclusion of findings and results of consultations in the Environmental Report;</w:t>
      </w:r>
    </w:p>
    <w:p w:rsidR="00252B38" w:rsidRDefault="008C6885">
      <w:pPr>
        <w:numPr>
          <w:ilvl w:val="0"/>
          <w:numId w:val="42"/>
        </w:numPr>
        <w:spacing w:before="60" w:after="60" w:line="288" w:lineRule="auto"/>
        <w:jc w:val="both"/>
        <w:rPr>
          <w:rFonts w:cs="Arial"/>
          <w:lang w:val="en-GB"/>
        </w:rPr>
      </w:pPr>
      <w:r>
        <w:rPr>
          <w:rFonts w:cs="Arial"/>
          <w:lang w:val="en-GB"/>
        </w:rPr>
        <w:t>Adequate monitoring of recommendations;</w:t>
      </w:r>
    </w:p>
    <w:p w:rsidR="00252B38" w:rsidRDefault="008C6885">
      <w:pPr>
        <w:numPr>
          <w:ilvl w:val="0"/>
          <w:numId w:val="42"/>
        </w:numPr>
        <w:spacing w:before="60" w:after="60" w:line="288" w:lineRule="auto"/>
        <w:jc w:val="both"/>
        <w:rPr>
          <w:rFonts w:cs="Arial"/>
          <w:lang w:val="en-GB"/>
        </w:rPr>
      </w:pPr>
      <w:r>
        <w:rPr>
          <w:rFonts w:cs="Arial"/>
          <w:lang w:val="en-GB"/>
        </w:rPr>
        <w:t>Notification of the authorities consulted and public on the programme approval.</w:t>
      </w:r>
    </w:p>
    <w:p w:rsidR="00252B38" w:rsidRDefault="00252B38">
      <w:pPr>
        <w:spacing w:before="60" w:after="60" w:line="288" w:lineRule="auto"/>
        <w:jc w:val="both"/>
        <w:rPr>
          <w:rFonts w:cs="Arial"/>
          <w:lang w:val="en-GB"/>
        </w:rPr>
      </w:pPr>
    </w:p>
    <w:p w:rsidR="00252B38" w:rsidRDefault="008C6885">
      <w:pPr>
        <w:spacing w:before="60" w:after="60" w:line="288" w:lineRule="auto"/>
        <w:ind w:firstLine="709"/>
        <w:jc w:val="both"/>
        <w:rPr>
          <w:rFonts w:cs="Arial"/>
          <w:lang w:val="en-GB"/>
        </w:rPr>
      </w:pPr>
      <w:r>
        <w:rPr>
          <w:rFonts w:cs="Arial"/>
          <w:b/>
          <w:i/>
          <w:lang w:val="en-GB"/>
        </w:rPr>
        <w:t>Environmental assessment is mandatory</w:t>
      </w:r>
      <w:r>
        <w:rPr>
          <w:rFonts w:cs="Arial"/>
          <w:lang w:val="en-GB"/>
        </w:rPr>
        <w:t xml:space="preserve"> when programmes include projects covered by the EIA Directive in the sectors covered by Article 3.2 (energy, industry, transport, waste management, water management, telecommunications, tourism, town and country planning, land use, etc) and projects with significant environmental impact in other sectors, under Article 3.4.</w:t>
      </w:r>
    </w:p>
    <w:p w:rsidR="00252B38" w:rsidRDefault="008C6885">
      <w:pPr>
        <w:spacing w:before="60" w:after="60" w:line="288" w:lineRule="auto"/>
        <w:ind w:firstLine="709"/>
        <w:jc w:val="both"/>
        <w:rPr>
          <w:rFonts w:cs="Arial"/>
          <w:b/>
          <w:lang w:val="en-GB"/>
        </w:rPr>
      </w:pPr>
      <w:r>
        <w:rPr>
          <w:rFonts w:cs="Arial"/>
          <w:b/>
          <w:lang w:val="en-GB"/>
        </w:rPr>
        <w:t>ENI CBC Programmes with Large Infrastructure Projects should perform a SEA procedure.</w:t>
      </w:r>
    </w:p>
    <w:p w:rsidR="00252B38" w:rsidRDefault="008C6885">
      <w:pPr>
        <w:spacing w:before="60" w:after="60" w:line="288" w:lineRule="auto"/>
        <w:ind w:firstLine="709"/>
        <w:jc w:val="both"/>
        <w:rPr>
          <w:rFonts w:cs="Arial"/>
          <w:lang w:val="en-GB"/>
        </w:rPr>
      </w:pPr>
      <w:r>
        <w:rPr>
          <w:rFonts w:cs="Arial"/>
          <w:lang w:val="en-GB"/>
        </w:rPr>
        <w:t>In the period 2014 ÷ 2020, the European Union will finance through the European Neighbourhood Instrument (ENI), the bilateral cross-border cooperation programme (CBC) between Romania - Ukraine, as a continuation of the Joint Operational Programme "Romania – Ukraine - Republic of Moldova 2007÷2013".</w:t>
      </w:r>
    </w:p>
    <w:p w:rsidR="00252B38" w:rsidRDefault="008C6885">
      <w:pPr>
        <w:spacing w:before="60" w:after="60" w:line="288" w:lineRule="auto"/>
        <w:ind w:firstLine="709"/>
        <w:jc w:val="both"/>
        <w:rPr>
          <w:rFonts w:cs="Arial"/>
          <w:lang w:val="en-GB"/>
        </w:rPr>
      </w:pPr>
      <w:r>
        <w:rPr>
          <w:rFonts w:cs="Arial"/>
          <w:lang w:val="en-GB"/>
        </w:rPr>
        <w:t xml:space="preserve">Regulation no. 232/2014 establishing a European Neighbourhood Instrument (ENI) and Regulation no 897/2014 laying down specific provisions for the implementation of cross-border cooperation programmes, say that the programme partners have to cooperate in order to identify the needs of the programme area and select those thematic objectives and priorities, that are most relevant to the border region. </w:t>
      </w:r>
    </w:p>
    <w:p w:rsidR="00252B38" w:rsidRDefault="008C6885">
      <w:pPr>
        <w:spacing w:before="60" w:after="60" w:line="288" w:lineRule="auto"/>
        <w:ind w:firstLine="709"/>
        <w:jc w:val="both"/>
        <w:rPr>
          <w:rFonts w:cs="Arial"/>
          <w:lang w:val="en-GB"/>
        </w:rPr>
      </w:pPr>
      <w:r>
        <w:rPr>
          <w:rFonts w:cs="Arial"/>
          <w:lang w:val="en-GB"/>
        </w:rPr>
        <w:t xml:space="preserve">Within this context, the partner countries nominated the Ministry of Regional Development and Public Administration from Romania as Managing Authority and created the Joint Programming Committee (JPC) as decisional body for the programming process. Additionally, two working groups were created, one for the identification of Large Infrastructure Projects and one for the Management and Control structures. </w:t>
      </w:r>
    </w:p>
    <w:p w:rsidR="00252B38" w:rsidRDefault="008C6885">
      <w:pPr>
        <w:spacing w:before="60" w:after="60" w:line="288" w:lineRule="auto"/>
        <w:ind w:firstLine="709"/>
        <w:jc w:val="both"/>
        <w:rPr>
          <w:rFonts w:cs="Arial"/>
          <w:bCs/>
          <w:lang w:val="en-GB"/>
        </w:rPr>
      </w:pPr>
      <w:r>
        <w:rPr>
          <w:rFonts w:cs="Arial"/>
          <w:bCs/>
          <w:lang w:val="en-GB"/>
        </w:rPr>
        <w:t xml:space="preserve">The Joint Programming Committee approved 4 thematic objectives (TO) for the Romania-Ukraine Programme 2014-2020, together with their subsequent priorities as follows: </w:t>
      </w:r>
    </w:p>
    <w:p w:rsidR="00252B38" w:rsidRDefault="008C6885">
      <w:pPr>
        <w:spacing w:before="60" w:after="60" w:line="288" w:lineRule="auto"/>
        <w:jc w:val="both"/>
        <w:rPr>
          <w:rFonts w:cs="Arial"/>
          <w:lang w:val="en-GB"/>
        </w:rPr>
      </w:pPr>
      <w:r>
        <w:rPr>
          <w:rFonts w:cs="Arial"/>
          <w:b/>
          <w:i/>
          <w:lang w:val="en-GB"/>
        </w:rPr>
        <w:t>TO2 - Support to education, research, technological development and innovation</w:t>
      </w:r>
      <w:r>
        <w:rPr>
          <w:rFonts w:cs="Arial"/>
          <w:lang w:val="en-GB"/>
        </w:rPr>
        <w:t>:</w:t>
      </w:r>
    </w:p>
    <w:p w:rsidR="00252B38" w:rsidRDefault="008C6885">
      <w:pPr>
        <w:spacing w:before="60" w:after="60" w:line="288" w:lineRule="auto"/>
        <w:jc w:val="both"/>
        <w:rPr>
          <w:rFonts w:cs="Arial"/>
          <w:lang w:val="en-GB"/>
        </w:rPr>
      </w:pPr>
      <w:r>
        <w:rPr>
          <w:rFonts w:cs="Arial"/>
          <w:b/>
          <w:i/>
          <w:lang w:val="en-GB"/>
        </w:rPr>
        <w:lastRenderedPageBreak/>
        <w:t>Objective 1</w:t>
      </w:r>
      <w:r>
        <w:rPr>
          <w:rFonts w:cs="Arial"/>
          <w:lang w:val="en-GB"/>
        </w:rPr>
        <w:t xml:space="preserve">: Develop </w:t>
      </w:r>
      <w:r w:rsidR="005449D1">
        <w:rPr>
          <w:rFonts w:cs="Arial"/>
          <w:lang w:val="en-GB"/>
        </w:rPr>
        <w:t xml:space="preserve">education </w:t>
      </w:r>
      <w:r>
        <w:rPr>
          <w:rFonts w:cs="Arial"/>
          <w:lang w:val="en-GB"/>
        </w:rPr>
        <w:t>and support research and innovation by facilitating the cooperation at local, regional and central levels:</w:t>
      </w:r>
    </w:p>
    <w:p w:rsidR="00252B38" w:rsidRDefault="008C6885">
      <w:pPr>
        <w:numPr>
          <w:ilvl w:val="0"/>
          <w:numId w:val="27"/>
        </w:numPr>
        <w:spacing w:before="60" w:after="60" w:line="288" w:lineRule="auto"/>
        <w:ind w:left="851" w:hanging="284"/>
        <w:jc w:val="both"/>
        <w:rPr>
          <w:rFonts w:cs="Arial"/>
          <w:i/>
          <w:lang w:val="en-GB"/>
        </w:rPr>
      </w:pPr>
      <w:r>
        <w:rPr>
          <w:rFonts w:cs="Arial"/>
          <w:i/>
          <w:lang w:val="en-GB"/>
        </w:rPr>
        <w:t xml:space="preserve">Priority 1.1 </w:t>
      </w:r>
      <w:r>
        <w:rPr>
          <w:rFonts w:cs="Arial"/>
          <w:lang w:val="en-GB"/>
        </w:rPr>
        <w:t xml:space="preserve">- Institutional cooperation in the educational field for increasing </w:t>
      </w:r>
      <w:r w:rsidR="005449D1">
        <w:rPr>
          <w:rFonts w:cs="Arial"/>
          <w:lang w:val="en-GB"/>
        </w:rPr>
        <w:t xml:space="preserve">access to </w:t>
      </w:r>
      <w:r>
        <w:rPr>
          <w:rFonts w:cs="Arial"/>
          <w:i/>
          <w:lang w:val="en-GB"/>
        </w:rPr>
        <w:t>education and quality of education</w:t>
      </w:r>
      <w:r>
        <w:rPr>
          <w:rFonts w:cs="Arial"/>
          <w:lang w:val="en-GB"/>
        </w:rPr>
        <w:t>;</w:t>
      </w:r>
    </w:p>
    <w:p w:rsidR="00252B38" w:rsidRDefault="008C6885">
      <w:pPr>
        <w:numPr>
          <w:ilvl w:val="0"/>
          <w:numId w:val="27"/>
        </w:numPr>
        <w:spacing w:before="60" w:after="60" w:line="288" w:lineRule="auto"/>
        <w:ind w:left="851" w:hanging="284"/>
        <w:jc w:val="both"/>
        <w:rPr>
          <w:rFonts w:cs="Arial"/>
          <w:lang w:val="en-GB"/>
        </w:rPr>
      </w:pPr>
      <w:r>
        <w:rPr>
          <w:rFonts w:cs="Arial"/>
          <w:i/>
          <w:lang w:val="en-GB"/>
        </w:rPr>
        <w:t>Priority</w:t>
      </w:r>
      <w:r>
        <w:rPr>
          <w:rFonts w:cs="Arial"/>
          <w:lang w:val="en-GB"/>
        </w:rPr>
        <w:t xml:space="preserve"> 1.2 - Promotion and support to research and innovation.</w:t>
      </w:r>
    </w:p>
    <w:p w:rsidR="00252B38" w:rsidRDefault="008C6885">
      <w:pPr>
        <w:numPr>
          <w:ilvl w:val="0"/>
          <w:numId w:val="42"/>
        </w:numPr>
        <w:spacing w:before="60" w:after="60" w:line="288" w:lineRule="auto"/>
        <w:ind w:left="284" w:hanging="284"/>
        <w:jc w:val="both"/>
        <w:rPr>
          <w:rFonts w:cs="Arial"/>
          <w:lang w:val="en-GB"/>
        </w:rPr>
      </w:pPr>
      <w:r>
        <w:rPr>
          <w:rFonts w:cs="Arial"/>
          <w:b/>
          <w:lang w:val="en-GB"/>
        </w:rPr>
        <w:t>TO 3</w:t>
      </w:r>
      <w:r>
        <w:rPr>
          <w:rFonts w:cs="Arial"/>
          <w:lang w:val="en-GB"/>
        </w:rPr>
        <w:t xml:space="preserve"> - </w:t>
      </w:r>
      <w:r>
        <w:rPr>
          <w:rFonts w:cs="Arial"/>
          <w:b/>
          <w:lang w:val="en-GB"/>
        </w:rPr>
        <w:t>Promotion of the local culture and preservation of historical heritage</w:t>
      </w:r>
    </w:p>
    <w:p w:rsidR="009612A1" w:rsidRPr="009612A1" w:rsidRDefault="008C6885" w:rsidP="009612A1">
      <w:pPr>
        <w:spacing w:before="60" w:after="60" w:line="288" w:lineRule="auto"/>
        <w:jc w:val="both"/>
        <w:rPr>
          <w:rFonts w:cs="Arial"/>
          <w:lang w:val="en-GB"/>
        </w:rPr>
      </w:pPr>
      <w:r>
        <w:rPr>
          <w:rFonts w:cs="Arial"/>
          <w:b/>
          <w:lang w:val="en-GB"/>
        </w:rPr>
        <w:t>Objective 2:</w:t>
      </w:r>
      <w:r>
        <w:rPr>
          <w:rFonts w:cs="Arial"/>
          <w:lang w:val="en-GB"/>
        </w:rPr>
        <w:t xml:space="preserve">  </w:t>
      </w:r>
      <w:r w:rsidR="009612A1" w:rsidRPr="009612A1">
        <w:rPr>
          <w:rFonts w:cs="Arial"/>
          <w:lang w:val="en-GB"/>
        </w:rPr>
        <w:t>Preservation of the cultural and historical heritage in the eligible area, support the development of local culture, specific cultural identities and the cultural dialog contributing to an enhanced attractiveness of the eligible area</w:t>
      </w:r>
    </w:p>
    <w:p w:rsidR="00252B38" w:rsidRDefault="00252B38">
      <w:pPr>
        <w:spacing w:before="60" w:after="60" w:line="288" w:lineRule="auto"/>
        <w:jc w:val="both"/>
        <w:rPr>
          <w:rFonts w:cs="Arial"/>
          <w:lang w:val="en-GB"/>
        </w:rPr>
      </w:pPr>
    </w:p>
    <w:p w:rsidR="00252B38" w:rsidRPr="00985B8D" w:rsidRDefault="008C6885" w:rsidP="009612A1">
      <w:pPr>
        <w:numPr>
          <w:ilvl w:val="0"/>
          <w:numId w:val="26"/>
        </w:numPr>
        <w:spacing w:before="60" w:after="60" w:line="288" w:lineRule="auto"/>
        <w:ind w:left="284" w:hanging="284"/>
        <w:jc w:val="both"/>
        <w:rPr>
          <w:rFonts w:cs="Arial"/>
          <w:lang w:val="en-GB"/>
        </w:rPr>
      </w:pPr>
      <w:r w:rsidRPr="009612A1">
        <w:rPr>
          <w:rFonts w:cs="Arial"/>
          <w:i/>
          <w:lang w:val="en-GB"/>
        </w:rPr>
        <w:t>Priority 2.1</w:t>
      </w:r>
      <w:r w:rsidRPr="009612A1">
        <w:rPr>
          <w:rFonts w:cs="Arial"/>
          <w:lang w:val="en-GB"/>
        </w:rPr>
        <w:t xml:space="preserve"> – Preservation and promotion of the cultural and historical heritage </w:t>
      </w:r>
      <w:r w:rsidRPr="009612A1">
        <w:rPr>
          <w:rFonts w:cs="Arial"/>
          <w:b/>
          <w:i/>
          <w:lang w:val="en-GB"/>
        </w:rPr>
        <w:t>TO 7 - Improvement of accessibility to the regions, development of transport and common networks and systems</w:t>
      </w:r>
      <w:r w:rsidRPr="00AF233D">
        <w:rPr>
          <w:rFonts w:cs="Arial"/>
          <w:lang w:val="en-GB"/>
        </w:rPr>
        <w:t>:</w:t>
      </w:r>
    </w:p>
    <w:p w:rsidR="00252B38" w:rsidRDefault="008C6885">
      <w:pPr>
        <w:spacing w:before="60" w:after="60" w:line="288" w:lineRule="auto"/>
        <w:jc w:val="both"/>
        <w:rPr>
          <w:rFonts w:cs="Arial"/>
          <w:lang w:val="en-GB"/>
        </w:rPr>
      </w:pPr>
      <w:r>
        <w:rPr>
          <w:rFonts w:cs="Arial"/>
          <w:b/>
          <w:i/>
          <w:lang w:val="en-GB"/>
        </w:rPr>
        <w:t>Objective 3</w:t>
      </w:r>
      <w:r>
        <w:rPr>
          <w:rFonts w:cs="Arial"/>
          <w:lang w:val="en-GB"/>
        </w:rPr>
        <w:t>: Improve public transport services, infrastructure and IC</w:t>
      </w:r>
      <w:r w:rsidR="009612A1">
        <w:rPr>
          <w:rFonts w:cs="Arial"/>
          <w:lang w:val="en-GB"/>
        </w:rPr>
        <w:t>T</w:t>
      </w:r>
      <w:r>
        <w:rPr>
          <w:rFonts w:cs="Arial"/>
          <w:lang w:val="en-GB"/>
        </w:rPr>
        <w:t xml:space="preserve"> cooperation and networking</w:t>
      </w:r>
    </w:p>
    <w:p w:rsidR="009612A1" w:rsidRPr="002E01ED" w:rsidRDefault="008C6885">
      <w:pPr>
        <w:numPr>
          <w:ilvl w:val="0"/>
          <w:numId w:val="46"/>
        </w:numPr>
        <w:spacing w:before="60" w:after="60" w:line="288" w:lineRule="auto"/>
        <w:ind w:left="851" w:hanging="284"/>
        <w:jc w:val="both"/>
        <w:rPr>
          <w:rFonts w:cs="Arial"/>
          <w:i/>
          <w:lang w:val="en-GB"/>
        </w:rPr>
      </w:pPr>
      <w:r>
        <w:rPr>
          <w:rFonts w:cs="Arial"/>
          <w:i/>
          <w:lang w:val="en-GB"/>
        </w:rPr>
        <w:t xml:space="preserve">Priority 3.1 - </w:t>
      </w:r>
      <w:r>
        <w:rPr>
          <w:rFonts w:cs="Arial"/>
          <w:bCs/>
          <w:lang w:val="en-GB"/>
        </w:rPr>
        <w:t xml:space="preserve">Development of cross border transport </w:t>
      </w:r>
      <w:r w:rsidR="009612A1">
        <w:rPr>
          <w:rFonts w:cs="Arial"/>
          <w:bCs/>
          <w:lang w:val="en-GB"/>
        </w:rPr>
        <w:t xml:space="preserve">infrastructure  </w:t>
      </w:r>
      <w:r>
        <w:rPr>
          <w:rFonts w:cs="Arial"/>
          <w:bCs/>
          <w:lang w:val="en-GB"/>
        </w:rPr>
        <w:t xml:space="preserve">and </w:t>
      </w:r>
      <w:r w:rsidR="009612A1">
        <w:rPr>
          <w:rFonts w:cs="Arial"/>
          <w:bCs/>
          <w:lang w:val="en-GB"/>
        </w:rPr>
        <w:t>ICT tools</w:t>
      </w:r>
    </w:p>
    <w:p w:rsidR="00252B38" w:rsidRDefault="008C6885">
      <w:pPr>
        <w:numPr>
          <w:ilvl w:val="0"/>
          <w:numId w:val="26"/>
        </w:numPr>
        <w:spacing w:before="60" w:after="60" w:line="288" w:lineRule="auto"/>
        <w:ind w:left="284" w:hanging="284"/>
        <w:jc w:val="both"/>
        <w:rPr>
          <w:rFonts w:cs="Arial"/>
          <w:b/>
          <w:i/>
          <w:lang w:val="en-GB"/>
        </w:rPr>
      </w:pPr>
      <w:r>
        <w:rPr>
          <w:rFonts w:cs="Arial"/>
          <w:b/>
          <w:i/>
          <w:lang w:val="en-GB"/>
        </w:rPr>
        <w:t>TO 8 - Common challenges in the field of safety and security</w:t>
      </w:r>
    </w:p>
    <w:p w:rsidR="00252B38" w:rsidRPr="002E01ED" w:rsidRDefault="008C6885" w:rsidP="002E01ED">
      <w:pPr>
        <w:pStyle w:val="ListBullet"/>
        <w:spacing w:after="0"/>
        <w:ind w:left="0" w:firstLine="0"/>
        <w:rPr>
          <w:rFonts w:ascii="Times New Roman" w:hAnsi="Times New Roman" w:cs="Times New Roman"/>
          <w:i/>
          <w:sz w:val="22"/>
          <w:szCs w:val="22"/>
        </w:rPr>
      </w:pPr>
      <w:r>
        <w:rPr>
          <w:rFonts w:cs="Arial"/>
          <w:b/>
          <w:i/>
        </w:rPr>
        <w:t>Objective 4</w:t>
      </w:r>
      <w:r w:rsidRPr="002E01ED">
        <w:rPr>
          <w:rFonts w:ascii="Arial" w:eastAsia="Times New Roman" w:hAnsi="Arial" w:cs="Arial"/>
          <w:kern w:val="0"/>
          <w:lang w:eastAsia="ro-RO" w:bidi="ar-SA"/>
        </w:rPr>
        <w:t xml:space="preserve">: </w:t>
      </w:r>
      <w:r w:rsidR="009612A1" w:rsidRPr="002E01ED">
        <w:rPr>
          <w:rFonts w:ascii="Arial" w:eastAsia="Times New Roman" w:hAnsi="Arial" w:cs="Arial"/>
          <w:kern w:val="0"/>
          <w:lang w:eastAsia="ro-RO" w:bidi="ar-SA"/>
        </w:rPr>
        <w:t>Addressing common challenges in cross-border security, access to health,  management of natural and anthropic risks and emergency situations through joint projects</w:t>
      </w:r>
    </w:p>
    <w:p w:rsidR="00252B38" w:rsidRDefault="008C6885">
      <w:pPr>
        <w:numPr>
          <w:ilvl w:val="0"/>
          <w:numId w:val="47"/>
        </w:numPr>
        <w:spacing w:before="60" w:after="60" w:line="288" w:lineRule="auto"/>
        <w:ind w:left="993" w:hanging="284"/>
        <w:jc w:val="both"/>
        <w:rPr>
          <w:rFonts w:cs="Arial"/>
          <w:i/>
          <w:lang w:val="en-GB"/>
        </w:rPr>
      </w:pPr>
      <w:r>
        <w:rPr>
          <w:rFonts w:cs="Arial"/>
          <w:i/>
          <w:lang w:val="en-GB"/>
        </w:rPr>
        <w:t xml:space="preserve">Priority 4.1 - </w:t>
      </w:r>
      <w:r>
        <w:rPr>
          <w:rFonts w:cs="Arial"/>
          <w:bCs/>
          <w:iCs/>
          <w:lang w:val="en-GB"/>
        </w:rPr>
        <w:t>Support to the development of health services and access to health</w:t>
      </w:r>
      <w:r>
        <w:rPr>
          <w:rFonts w:cs="Arial"/>
          <w:lang w:val="en-GB"/>
        </w:rPr>
        <w:t>;</w:t>
      </w:r>
    </w:p>
    <w:p w:rsidR="00252B38" w:rsidRDefault="008C6885">
      <w:pPr>
        <w:numPr>
          <w:ilvl w:val="0"/>
          <w:numId w:val="47"/>
        </w:numPr>
        <w:spacing w:before="60" w:after="60" w:line="288" w:lineRule="auto"/>
        <w:ind w:left="993" w:hanging="284"/>
        <w:jc w:val="both"/>
        <w:rPr>
          <w:rFonts w:cs="Arial"/>
          <w:i/>
          <w:lang w:val="en-GB"/>
        </w:rPr>
      </w:pPr>
      <w:r>
        <w:rPr>
          <w:rFonts w:cs="Arial"/>
          <w:i/>
          <w:lang w:val="en-GB"/>
        </w:rPr>
        <w:t xml:space="preserve">Priority 4.2 – </w:t>
      </w:r>
      <w:r>
        <w:rPr>
          <w:rFonts w:cs="Arial"/>
          <w:lang w:val="en-GB"/>
        </w:rPr>
        <w:t xml:space="preserve">Support to joint activities for the prevention of natural and man-made disasters as well as joint </w:t>
      </w:r>
      <w:r w:rsidR="009612A1">
        <w:rPr>
          <w:rFonts w:cs="Arial"/>
          <w:lang w:val="en-GB"/>
        </w:rPr>
        <w:t xml:space="preserve">actions </w:t>
      </w:r>
      <w:r>
        <w:rPr>
          <w:rFonts w:cs="Arial"/>
          <w:lang w:val="en-GB"/>
        </w:rPr>
        <w:t>during emergency situations;</w:t>
      </w:r>
    </w:p>
    <w:p w:rsidR="00252B38" w:rsidRDefault="008C6885">
      <w:pPr>
        <w:numPr>
          <w:ilvl w:val="0"/>
          <w:numId w:val="47"/>
        </w:numPr>
        <w:spacing w:before="60" w:after="60" w:line="288" w:lineRule="auto"/>
        <w:ind w:left="993" w:hanging="284"/>
        <w:jc w:val="both"/>
        <w:rPr>
          <w:rFonts w:cs="Arial"/>
          <w:i/>
          <w:lang w:val="en-GB"/>
        </w:rPr>
      </w:pPr>
      <w:r>
        <w:rPr>
          <w:rFonts w:cs="Arial"/>
          <w:i/>
          <w:lang w:val="en-GB"/>
        </w:rPr>
        <w:t>Priority 4.3 -</w:t>
      </w:r>
      <w:r>
        <w:rPr>
          <w:rFonts w:cs="Arial"/>
          <w:lang w:val="en-GB"/>
        </w:rPr>
        <w:t xml:space="preserve"> Prevention and fight against organized crime and police cooperation </w:t>
      </w:r>
    </w:p>
    <w:p w:rsidR="00252B38" w:rsidRDefault="008C6885">
      <w:pPr>
        <w:numPr>
          <w:ilvl w:val="0"/>
          <w:numId w:val="42"/>
        </w:numPr>
        <w:tabs>
          <w:tab w:val="left" w:pos="993"/>
        </w:tabs>
        <w:spacing w:before="60" w:after="60" w:line="288" w:lineRule="auto"/>
        <w:ind w:left="284" w:hanging="284"/>
        <w:contextualSpacing/>
        <w:jc w:val="both"/>
        <w:rPr>
          <w:rFonts w:cs="Arial"/>
          <w:b/>
          <w:i/>
          <w:lang w:val="en-GB"/>
        </w:rPr>
      </w:pPr>
      <w:r>
        <w:rPr>
          <w:rFonts w:cs="Arial"/>
          <w:b/>
          <w:i/>
          <w:lang w:val="en-GB"/>
        </w:rPr>
        <w:t>Large Infrastructure Projects (indicative as they are not yet approved by the JPC)</w:t>
      </w:r>
    </w:p>
    <w:tbl>
      <w:tblPr>
        <w:tblW w:w="9639" w:type="dxa"/>
        <w:tblInd w:w="108" w:type="dxa"/>
        <w:tblLayout w:type="fixed"/>
        <w:tblLook w:val="04A0" w:firstRow="1" w:lastRow="0" w:firstColumn="1" w:lastColumn="0" w:noHBand="0" w:noVBand="1"/>
      </w:tblPr>
      <w:tblGrid>
        <w:gridCol w:w="9639"/>
      </w:tblGrid>
      <w:tr w:rsidR="00252B38">
        <w:tc>
          <w:tcPr>
            <w:tcW w:w="9639" w:type="dxa"/>
            <w:shd w:val="clear" w:color="auto" w:fill="auto"/>
          </w:tcPr>
          <w:p w:rsidR="00252B38" w:rsidRDefault="008C6885">
            <w:pPr>
              <w:numPr>
                <w:ilvl w:val="0"/>
                <w:numId w:val="84"/>
              </w:numPr>
              <w:tabs>
                <w:tab w:val="left" w:pos="993"/>
              </w:tabs>
              <w:spacing w:before="60" w:after="60" w:line="288" w:lineRule="auto"/>
              <w:ind w:left="885" w:hanging="284"/>
              <w:contextualSpacing/>
              <w:jc w:val="both"/>
              <w:rPr>
                <w:rFonts w:cs="Arial"/>
                <w:lang w:val="en-GB"/>
              </w:rPr>
            </w:pPr>
            <w:r>
              <w:rPr>
                <w:rFonts w:cs="Arial"/>
                <w:lang w:val="en-GB"/>
              </w:rPr>
              <w:t>«Clean river» Dunărea</w:t>
            </w:r>
          </w:p>
        </w:tc>
      </w:tr>
      <w:tr w:rsidR="00252B38">
        <w:tc>
          <w:tcPr>
            <w:tcW w:w="9639" w:type="dxa"/>
            <w:shd w:val="clear" w:color="auto" w:fill="auto"/>
          </w:tcPr>
          <w:p w:rsidR="00252B38" w:rsidRDefault="00252B38" w:rsidP="009612A1">
            <w:pPr>
              <w:tabs>
                <w:tab w:val="left" w:pos="993"/>
              </w:tabs>
              <w:spacing w:before="60" w:after="60" w:line="288" w:lineRule="auto"/>
              <w:contextualSpacing/>
              <w:jc w:val="both"/>
              <w:rPr>
                <w:rFonts w:cs="Arial"/>
                <w:lang w:val="en-GB"/>
              </w:rPr>
            </w:pPr>
          </w:p>
        </w:tc>
      </w:tr>
      <w:tr w:rsidR="00252B38">
        <w:tc>
          <w:tcPr>
            <w:tcW w:w="9639" w:type="dxa"/>
            <w:shd w:val="clear" w:color="auto" w:fill="auto"/>
          </w:tcPr>
          <w:p w:rsidR="00252B38" w:rsidRDefault="008C6885">
            <w:pPr>
              <w:numPr>
                <w:ilvl w:val="0"/>
                <w:numId w:val="84"/>
              </w:numPr>
              <w:tabs>
                <w:tab w:val="left" w:pos="993"/>
              </w:tabs>
              <w:spacing w:before="60" w:after="60" w:line="288" w:lineRule="auto"/>
              <w:ind w:left="885" w:hanging="284"/>
              <w:contextualSpacing/>
              <w:jc w:val="both"/>
              <w:rPr>
                <w:rFonts w:cs="Arial"/>
                <w:lang w:val="en-GB"/>
              </w:rPr>
            </w:pPr>
            <w:r>
              <w:rPr>
                <w:rFonts w:cs="Arial"/>
                <w:lang w:val="en-GB"/>
              </w:rPr>
              <w:t>Improving the cross-border infrastructure – opening the gate to Europe</w:t>
            </w:r>
          </w:p>
        </w:tc>
      </w:tr>
      <w:tr w:rsidR="00252B38">
        <w:tc>
          <w:tcPr>
            <w:tcW w:w="9639" w:type="dxa"/>
            <w:shd w:val="clear" w:color="auto" w:fill="auto"/>
          </w:tcPr>
          <w:p w:rsidR="00252B38" w:rsidRDefault="008C6885">
            <w:pPr>
              <w:numPr>
                <w:ilvl w:val="0"/>
                <w:numId w:val="84"/>
              </w:numPr>
              <w:tabs>
                <w:tab w:val="left" w:pos="993"/>
              </w:tabs>
              <w:spacing w:before="60" w:after="60" w:line="288" w:lineRule="auto"/>
              <w:ind w:left="885" w:hanging="284"/>
              <w:contextualSpacing/>
              <w:jc w:val="both"/>
              <w:rPr>
                <w:rFonts w:cs="Arial"/>
                <w:lang w:val="en-GB"/>
              </w:rPr>
            </w:pPr>
            <w:r>
              <w:rPr>
                <w:rFonts w:cs="Arial"/>
                <w:lang w:val="en-GB"/>
              </w:rPr>
              <w:t>Regional Cooperation for Prevention and Fighting of Cross-border Crime between Romania-Ukraine</w:t>
            </w:r>
          </w:p>
        </w:tc>
      </w:tr>
      <w:tr w:rsidR="00252B38">
        <w:tc>
          <w:tcPr>
            <w:tcW w:w="9639" w:type="dxa"/>
            <w:shd w:val="clear" w:color="auto" w:fill="auto"/>
          </w:tcPr>
          <w:p w:rsidR="00252B38" w:rsidRDefault="008C6885">
            <w:pPr>
              <w:numPr>
                <w:ilvl w:val="0"/>
                <w:numId w:val="84"/>
              </w:numPr>
              <w:tabs>
                <w:tab w:val="left" w:pos="993"/>
              </w:tabs>
              <w:spacing w:before="60" w:after="60" w:line="288" w:lineRule="auto"/>
              <w:ind w:left="885" w:hanging="284"/>
              <w:contextualSpacing/>
              <w:jc w:val="both"/>
              <w:rPr>
                <w:rFonts w:cs="Arial"/>
                <w:lang w:val="en-GB"/>
              </w:rPr>
            </w:pPr>
            <w:r>
              <w:rPr>
                <w:rFonts w:cs="Arial"/>
                <w:lang w:val="en-GB"/>
              </w:rPr>
              <w:t>Improvement of the population safety and security level in the cross-border area by enhancing the joint training and cooperation actions in emergency management.</w:t>
            </w:r>
          </w:p>
        </w:tc>
      </w:tr>
    </w:tbl>
    <w:p w:rsidR="00252B38" w:rsidRDefault="00252B38">
      <w:pPr>
        <w:tabs>
          <w:tab w:val="left" w:pos="993"/>
        </w:tabs>
        <w:spacing w:before="60" w:after="60" w:line="288" w:lineRule="auto"/>
        <w:contextualSpacing/>
        <w:jc w:val="both"/>
        <w:rPr>
          <w:rFonts w:cs="Arial"/>
          <w:lang w:val="en-GB"/>
        </w:rPr>
      </w:pPr>
    </w:p>
    <w:p w:rsidR="00252B38" w:rsidRDefault="008C6885">
      <w:pPr>
        <w:spacing w:before="60" w:after="60" w:line="288" w:lineRule="auto"/>
        <w:ind w:firstLine="709"/>
        <w:jc w:val="both"/>
        <w:rPr>
          <w:rFonts w:cs="Arial"/>
          <w:lang w:val="en-GB"/>
        </w:rPr>
      </w:pPr>
      <w:r>
        <w:rPr>
          <w:rFonts w:cs="Arial"/>
          <w:lang w:val="en-GB"/>
        </w:rPr>
        <w:t>The Joint Operational Programme Romania - Ukraine 2014 ÷ 2020 will cover the following area, established by ENI CBC:</w:t>
      </w:r>
    </w:p>
    <w:p w:rsidR="00252B38" w:rsidRDefault="008C6885">
      <w:pPr>
        <w:spacing w:before="60" w:after="60" w:line="288" w:lineRule="auto"/>
        <w:ind w:firstLine="709"/>
        <w:jc w:val="both"/>
        <w:rPr>
          <w:rFonts w:cs="Arial"/>
          <w:i/>
          <w:lang w:val="fr-FR"/>
        </w:rPr>
      </w:pPr>
      <w:r>
        <w:rPr>
          <w:rFonts w:cs="Arial"/>
          <w:b/>
          <w:bCs/>
          <w:lang w:val="fr-FR"/>
        </w:rPr>
        <w:t>Romania:</w:t>
      </w:r>
      <w:r>
        <w:rPr>
          <w:rFonts w:cs="Arial"/>
          <w:lang w:val="fr-FR"/>
        </w:rPr>
        <w:t> </w:t>
      </w:r>
      <w:r>
        <w:rPr>
          <w:rFonts w:cs="Arial"/>
          <w:lang w:val="fr-FR"/>
        </w:rPr>
        <w:tab/>
      </w:r>
      <w:r>
        <w:rPr>
          <w:rFonts w:cs="Arial"/>
          <w:b/>
          <w:lang w:val="fr-FR"/>
        </w:rPr>
        <w:t>5 counties</w:t>
      </w:r>
      <w:r>
        <w:rPr>
          <w:rFonts w:cs="Arial"/>
          <w:lang w:val="fr-FR"/>
        </w:rPr>
        <w:t xml:space="preserve">: </w:t>
      </w:r>
      <w:r>
        <w:rPr>
          <w:rFonts w:cs="Arial"/>
          <w:i/>
          <w:lang w:val="fr-FR"/>
        </w:rPr>
        <w:t>Satu Mare, Maramureş, Botoșani, Suceava, Tulcea;</w:t>
      </w:r>
    </w:p>
    <w:p w:rsidR="00252B38" w:rsidRDefault="008C6885">
      <w:pPr>
        <w:spacing w:before="60" w:after="60" w:line="288" w:lineRule="auto"/>
        <w:ind w:firstLine="709"/>
        <w:jc w:val="both"/>
        <w:rPr>
          <w:rFonts w:cs="Arial"/>
          <w:lang w:val="en-US"/>
        </w:rPr>
      </w:pPr>
      <w:r>
        <w:rPr>
          <w:rFonts w:cs="Arial"/>
          <w:b/>
          <w:bCs/>
          <w:lang w:val="en-US"/>
        </w:rPr>
        <w:t>Ukraine:</w:t>
      </w:r>
      <w:r>
        <w:rPr>
          <w:rFonts w:cs="Arial"/>
          <w:lang w:val="en-US"/>
        </w:rPr>
        <w:t xml:space="preserve">  </w:t>
      </w:r>
      <w:r>
        <w:rPr>
          <w:rFonts w:cs="Arial"/>
          <w:lang w:val="en-US"/>
        </w:rPr>
        <w:tab/>
      </w:r>
      <w:r>
        <w:rPr>
          <w:rFonts w:cs="Arial"/>
          <w:b/>
          <w:lang w:val="en-US"/>
        </w:rPr>
        <w:t>4 oblasts</w:t>
      </w:r>
      <w:r>
        <w:rPr>
          <w:rFonts w:cs="Arial"/>
          <w:lang w:val="en-US"/>
        </w:rPr>
        <w:t xml:space="preserve">: </w:t>
      </w:r>
      <w:r>
        <w:rPr>
          <w:rFonts w:cs="Arial"/>
          <w:i/>
          <w:lang w:val="en-US"/>
        </w:rPr>
        <w:t>Ivano-Frankivsk, Zakarpatska, Chernivtsi, Odessa.</w:t>
      </w:r>
    </w:p>
    <w:p w:rsidR="00252B38" w:rsidRDefault="008C6885">
      <w:pPr>
        <w:spacing w:before="60" w:after="60" w:line="288" w:lineRule="auto"/>
        <w:ind w:firstLine="709"/>
        <w:jc w:val="both"/>
        <w:rPr>
          <w:rFonts w:cs="Arial"/>
          <w:lang w:val="en-GB"/>
        </w:rPr>
      </w:pPr>
      <w:r>
        <w:rPr>
          <w:rFonts w:cs="Arial"/>
          <w:lang w:val="en-GB"/>
        </w:rPr>
        <w:t xml:space="preserve">In terms of proportionality, the Ukrainian eligible area is more than double in size compared to the Romanian territory. </w:t>
      </w:r>
    </w:p>
    <w:p w:rsidR="00252B38" w:rsidRDefault="008C6885" w:rsidP="00AF233D">
      <w:pPr>
        <w:spacing w:before="60" w:after="60" w:line="288" w:lineRule="auto"/>
        <w:ind w:firstLine="709"/>
        <w:jc w:val="both"/>
        <w:rPr>
          <w:rFonts w:cs="Arial"/>
          <w:lang w:val="en-GB"/>
        </w:rPr>
      </w:pPr>
      <w:r>
        <w:t xml:space="preserve">According with Regulation EU no. 232/2014, art. 8(3) establishing ENI, two major social, economic and cultural centers were included in the programme: Bucharest and Kiev. </w:t>
      </w:r>
    </w:p>
    <w:p w:rsidR="00252B38" w:rsidRDefault="008C6885">
      <w:pPr>
        <w:spacing w:before="60" w:after="60" w:line="288" w:lineRule="auto"/>
        <w:ind w:firstLine="709"/>
        <w:jc w:val="both"/>
      </w:pPr>
      <w:r>
        <w:lastRenderedPageBreak/>
        <w:t>According with Regulation 897/2014, article 39, para. 2, point b and article 45, para. 4, the partener countries decided to allow a flexibility rule of maximum 10% of the Programme allocation to be used by the beneficiaries located outside the Programme area and/or for activities activities outside the Programme area, under specific conditions outlined in the program.</w:t>
      </w:r>
    </w:p>
    <w:p w:rsidR="00252B38" w:rsidRDefault="00252B38">
      <w:pPr>
        <w:spacing w:before="60" w:after="60" w:line="288" w:lineRule="auto"/>
        <w:ind w:firstLine="709"/>
        <w:jc w:val="both"/>
        <w:rPr>
          <w:rFonts w:cs="Arial"/>
          <w:lang w:val="en-GB"/>
        </w:rPr>
      </w:pPr>
    </w:p>
    <w:p w:rsidR="00252B38" w:rsidRDefault="008C6885">
      <w:pPr>
        <w:spacing w:before="60" w:after="60" w:line="288" w:lineRule="auto"/>
        <w:ind w:firstLine="709"/>
        <w:jc w:val="both"/>
        <w:rPr>
          <w:rFonts w:cs="Arial"/>
          <w:lang w:val="en-GB"/>
        </w:rPr>
      </w:pPr>
      <w:r>
        <w:rPr>
          <w:rFonts w:cs="Arial"/>
          <w:lang w:val="en-GB"/>
        </w:rPr>
        <w:t xml:space="preserve">The </w:t>
      </w:r>
      <w:r w:rsidR="009612A1">
        <w:rPr>
          <w:rFonts w:cs="Arial"/>
          <w:lang w:val="en-GB"/>
        </w:rPr>
        <w:t>core</w:t>
      </w:r>
      <w:r>
        <w:rPr>
          <w:rFonts w:cs="Arial"/>
          <w:lang w:val="en-GB"/>
        </w:rPr>
        <w:t xml:space="preserve"> eligible area of the Programme has </w:t>
      </w:r>
      <w:r w:rsidR="009612A1">
        <w:rPr>
          <w:rFonts w:cs="Arial"/>
          <w:lang w:val="en-GB"/>
        </w:rPr>
        <w:t xml:space="preserve">some </w:t>
      </w:r>
      <w:r>
        <w:rPr>
          <w:rFonts w:cs="Arial"/>
          <w:lang w:val="en-GB"/>
        </w:rPr>
        <w:t xml:space="preserve">ecological problems, as a result of the aggressive industrialised process before 1989, but </w:t>
      </w:r>
      <w:r w:rsidR="009612A1">
        <w:rPr>
          <w:rFonts w:cs="Arial"/>
          <w:lang w:val="en-GB"/>
        </w:rPr>
        <w:t>with</w:t>
      </w:r>
      <w:r>
        <w:rPr>
          <w:rFonts w:cs="Arial"/>
          <w:lang w:val="en-GB"/>
        </w:rPr>
        <w:t xml:space="preserve">in the limits of international pollution.  The major problems come from four main sources: </w:t>
      </w:r>
    </w:p>
    <w:p w:rsidR="00252B38" w:rsidRDefault="008C6885">
      <w:pPr>
        <w:numPr>
          <w:ilvl w:val="0"/>
          <w:numId w:val="83"/>
        </w:numPr>
        <w:tabs>
          <w:tab w:val="left" w:pos="990"/>
        </w:tabs>
        <w:spacing w:before="60" w:after="60" w:line="288" w:lineRule="auto"/>
        <w:ind w:left="720" w:firstLine="0"/>
        <w:contextualSpacing/>
        <w:jc w:val="both"/>
        <w:rPr>
          <w:rFonts w:cs="Arial"/>
          <w:lang w:val="en-GB"/>
        </w:rPr>
      </w:pPr>
      <w:r>
        <w:rPr>
          <w:rFonts w:cs="Arial"/>
          <w:lang w:val="en-GB"/>
        </w:rPr>
        <w:t xml:space="preserve">The industrial emissions and the waste resulted from operating and closing </w:t>
      </w:r>
      <w:r w:rsidR="00AF233D">
        <w:rPr>
          <w:rFonts w:cs="Arial"/>
          <w:lang w:val="en-GB"/>
        </w:rPr>
        <w:t xml:space="preserve">of </w:t>
      </w:r>
      <w:r>
        <w:rPr>
          <w:rFonts w:cs="Arial"/>
          <w:lang w:val="en-GB"/>
        </w:rPr>
        <w:t xml:space="preserve">the industrial platforms, that have a negative impact on air, soil and waters; </w:t>
      </w:r>
    </w:p>
    <w:p w:rsidR="00252B38" w:rsidRDefault="009612A1">
      <w:pPr>
        <w:numPr>
          <w:ilvl w:val="0"/>
          <w:numId w:val="83"/>
        </w:numPr>
        <w:spacing w:before="60" w:after="60" w:line="288" w:lineRule="auto"/>
        <w:ind w:left="993" w:hanging="284"/>
        <w:contextualSpacing/>
        <w:jc w:val="both"/>
        <w:rPr>
          <w:rFonts w:cs="Arial"/>
          <w:lang w:val="en-GB"/>
        </w:rPr>
      </w:pPr>
      <w:r>
        <w:rPr>
          <w:rFonts w:cs="Arial"/>
          <w:lang w:val="en-GB"/>
        </w:rPr>
        <w:t>Limited waste management</w:t>
      </w:r>
      <w:r w:rsidR="008C6885">
        <w:rPr>
          <w:rFonts w:cs="Arial"/>
          <w:lang w:val="en-GB"/>
        </w:rPr>
        <w:t>, especial</w:t>
      </w:r>
      <w:r>
        <w:rPr>
          <w:rFonts w:cs="Arial"/>
          <w:lang w:val="en-GB"/>
        </w:rPr>
        <w:t>ly</w:t>
      </w:r>
      <w:r w:rsidR="008C6885">
        <w:rPr>
          <w:rFonts w:cs="Arial"/>
          <w:lang w:val="en-GB"/>
        </w:rPr>
        <w:t xml:space="preserve"> </w:t>
      </w:r>
      <w:r w:rsidR="00AF233D">
        <w:rPr>
          <w:rFonts w:cs="Arial"/>
          <w:lang w:val="en-GB"/>
        </w:rPr>
        <w:t xml:space="preserve">in </w:t>
      </w:r>
      <w:r w:rsidR="008C6885">
        <w:rPr>
          <w:rFonts w:cs="Arial"/>
          <w:lang w:val="en-GB"/>
        </w:rPr>
        <w:t>the rural zones; hav</w:t>
      </w:r>
      <w:r w:rsidR="00AF233D">
        <w:rPr>
          <w:rFonts w:cs="Arial"/>
          <w:lang w:val="en-GB"/>
        </w:rPr>
        <w:t>ing</w:t>
      </w:r>
      <w:r w:rsidR="008C6885">
        <w:rPr>
          <w:rFonts w:cs="Arial"/>
          <w:lang w:val="en-GB"/>
        </w:rPr>
        <w:t xml:space="preserve"> a direct effect on </w:t>
      </w:r>
      <w:r w:rsidR="00AF233D">
        <w:rPr>
          <w:rFonts w:cs="Arial"/>
          <w:lang w:val="en-GB"/>
        </w:rPr>
        <w:t xml:space="preserve">the </w:t>
      </w:r>
      <w:r w:rsidR="008C6885">
        <w:rPr>
          <w:rFonts w:cs="Arial"/>
          <w:lang w:val="en-GB"/>
        </w:rPr>
        <w:t xml:space="preserve">environment, </w:t>
      </w:r>
      <w:r w:rsidR="00AF233D">
        <w:rPr>
          <w:rFonts w:cs="Arial"/>
          <w:lang w:val="en-GB"/>
        </w:rPr>
        <w:t>considering that</w:t>
      </w:r>
      <w:r w:rsidR="008C6885">
        <w:rPr>
          <w:rFonts w:cs="Arial"/>
          <w:lang w:val="en-GB"/>
        </w:rPr>
        <w:t xml:space="preserve"> there are no adequate facilities for </w:t>
      </w:r>
      <w:r w:rsidR="00AF233D">
        <w:rPr>
          <w:rFonts w:cs="Arial"/>
          <w:lang w:val="en-GB"/>
        </w:rPr>
        <w:t xml:space="preserve">waste </w:t>
      </w:r>
      <w:r w:rsidR="008C6885">
        <w:rPr>
          <w:rFonts w:cs="Arial"/>
          <w:lang w:val="en-GB"/>
        </w:rPr>
        <w:t>treatment</w:t>
      </w:r>
      <w:r w:rsidR="00AF233D">
        <w:rPr>
          <w:rFonts w:cs="Arial"/>
          <w:lang w:val="en-GB"/>
        </w:rPr>
        <w:t xml:space="preserve"> in these areas</w:t>
      </w:r>
      <w:r w:rsidR="008C6885">
        <w:rPr>
          <w:rFonts w:cs="Arial"/>
          <w:lang w:val="en-GB"/>
        </w:rPr>
        <w:t>;</w:t>
      </w:r>
      <w:r w:rsidR="00AF233D">
        <w:rPr>
          <w:rFonts w:cs="Arial"/>
          <w:lang w:val="en-GB"/>
        </w:rPr>
        <w:t xml:space="preserve"> </w:t>
      </w:r>
    </w:p>
    <w:p w:rsidR="00252B38" w:rsidRDefault="008C6885">
      <w:pPr>
        <w:numPr>
          <w:ilvl w:val="0"/>
          <w:numId w:val="83"/>
        </w:numPr>
        <w:spacing w:before="60" w:after="60" w:line="288" w:lineRule="auto"/>
        <w:ind w:left="993" w:hanging="284"/>
        <w:contextualSpacing/>
        <w:jc w:val="both"/>
        <w:rPr>
          <w:rFonts w:cs="Arial"/>
          <w:lang w:val="en-GB"/>
        </w:rPr>
      </w:pPr>
      <w:r>
        <w:rPr>
          <w:rFonts w:cs="Arial"/>
          <w:lang w:val="en-GB"/>
        </w:rPr>
        <w:t xml:space="preserve">The usage of the chemical fertilizers and improper disposal of agricultural waste, with direct impact on soil and on water quality; </w:t>
      </w:r>
    </w:p>
    <w:p w:rsidR="00252B38" w:rsidRDefault="008C6885">
      <w:pPr>
        <w:numPr>
          <w:ilvl w:val="0"/>
          <w:numId w:val="83"/>
        </w:numPr>
        <w:spacing w:before="60" w:after="60" w:line="288" w:lineRule="auto"/>
        <w:ind w:left="993" w:hanging="284"/>
        <w:contextualSpacing/>
        <w:jc w:val="both"/>
        <w:rPr>
          <w:rFonts w:cs="Arial"/>
          <w:lang w:val="en-GB"/>
        </w:rPr>
      </w:pPr>
      <w:r>
        <w:rPr>
          <w:rFonts w:cs="Arial"/>
          <w:lang w:val="en-GB"/>
        </w:rPr>
        <w:t>The urban centres are the main generator</w:t>
      </w:r>
      <w:r w:rsidR="00AF233D">
        <w:rPr>
          <w:rFonts w:cs="Arial"/>
          <w:lang w:val="en-GB"/>
        </w:rPr>
        <w:t>s</w:t>
      </w:r>
      <w:r>
        <w:rPr>
          <w:rFonts w:cs="Arial"/>
          <w:lang w:val="en-GB"/>
        </w:rPr>
        <w:t xml:space="preserve"> of greenhouses gas (CO</w:t>
      </w:r>
      <w:r>
        <w:rPr>
          <w:rFonts w:cs="Arial"/>
          <w:vertAlign w:val="subscript"/>
          <w:lang w:val="en-GB"/>
        </w:rPr>
        <w:t>2</w:t>
      </w:r>
      <w:r>
        <w:rPr>
          <w:rFonts w:cs="Arial"/>
          <w:lang w:val="en-GB"/>
        </w:rPr>
        <w:t>) and have a significant impact on air quality and generally on environment, too.</w:t>
      </w:r>
    </w:p>
    <w:p w:rsidR="00252B38" w:rsidRDefault="008C6885">
      <w:pPr>
        <w:spacing w:before="60" w:after="60" w:line="288" w:lineRule="auto"/>
        <w:ind w:firstLine="709"/>
        <w:jc w:val="both"/>
        <w:rPr>
          <w:rFonts w:cs="Arial"/>
          <w:lang w:val="en-GB"/>
        </w:rPr>
      </w:pPr>
      <w:r>
        <w:rPr>
          <w:rFonts w:cs="Arial"/>
          <w:lang w:val="en-GB"/>
        </w:rPr>
        <w:t>There are now in the Program area more than 1000 national and international protected areas and many historical sites.</w:t>
      </w:r>
    </w:p>
    <w:p w:rsidR="00252B38" w:rsidRDefault="00AF233D">
      <w:pPr>
        <w:spacing w:before="60" w:after="60" w:line="288" w:lineRule="auto"/>
        <w:ind w:firstLine="709"/>
        <w:jc w:val="both"/>
        <w:rPr>
          <w:rFonts w:cs="Arial"/>
          <w:lang w:val="en-GB"/>
        </w:rPr>
      </w:pPr>
      <w:r>
        <w:rPr>
          <w:rFonts w:cs="Arial"/>
          <w:lang w:val="en-GB"/>
        </w:rPr>
        <w:t xml:space="preserve">Generally </w:t>
      </w:r>
      <w:r w:rsidR="008C6885">
        <w:rPr>
          <w:rFonts w:cs="Arial"/>
          <w:lang w:val="en-GB"/>
        </w:rPr>
        <w:t>the ecological status of the eligible areas both from Romania and Ukraine will not be directly influenced</w:t>
      </w:r>
      <w:r>
        <w:rPr>
          <w:rFonts w:cs="Arial"/>
          <w:lang w:val="en-GB"/>
        </w:rPr>
        <w:t xml:space="preserve"> if the projects financed under the Ro-Ua Programme will not be implemented, </w:t>
      </w:r>
    </w:p>
    <w:p w:rsidR="00252B38" w:rsidRDefault="008C6885">
      <w:pPr>
        <w:spacing w:before="60" w:after="60" w:line="288" w:lineRule="auto"/>
        <w:ind w:firstLine="709"/>
        <w:jc w:val="both"/>
        <w:rPr>
          <w:rFonts w:cs="Arial"/>
          <w:lang w:val="en-GB"/>
        </w:rPr>
      </w:pPr>
      <w:r>
        <w:rPr>
          <w:rFonts w:cs="Arial"/>
          <w:lang w:val="en-GB"/>
        </w:rPr>
        <w:t xml:space="preserve">The Projects that can be financed under thematic objectives TO2 and TO3 are generally soft projects more focused on concept and exchange of experience related to education, research &amp; development and innovation or rehabilitation and promotion of the historical heritage, </w:t>
      </w:r>
      <w:r w:rsidR="00AF233D">
        <w:rPr>
          <w:rFonts w:cs="Arial"/>
          <w:lang w:val="en-GB"/>
        </w:rPr>
        <w:t xml:space="preserve">and </w:t>
      </w:r>
      <w:r>
        <w:rPr>
          <w:rFonts w:cs="Arial"/>
          <w:lang w:val="en-GB"/>
        </w:rPr>
        <w:t>can have only an indirect impact on environment.</w:t>
      </w:r>
    </w:p>
    <w:p w:rsidR="00252B38" w:rsidRDefault="008C6885">
      <w:pPr>
        <w:spacing w:before="60" w:after="60" w:line="288" w:lineRule="auto"/>
        <w:ind w:firstLine="709"/>
        <w:jc w:val="both"/>
        <w:rPr>
          <w:rFonts w:cs="Arial"/>
          <w:lang w:val="en-GB"/>
        </w:rPr>
      </w:pPr>
      <w:r>
        <w:rPr>
          <w:rFonts w:cs="Arial"/>
          <w:lang w:val="en-GB"/>
        </w:rPr>
        <w:t xml:space="preserve">Instead, the Projects that can be financed under TO7 and TO8 would have beneficial effect on environment through the development of an infrastructure at the border with a significant positive impact compared with the </w:t>
      </w:r>
      <w:r w:rsidR="00AF233D">
        <w:rPr>
          <w:rFonts w:cs="Arial"/>
          <w:lang w:val="en-GB"/>
        </w:rPr>
        <w:t xml:space="preserve">present </w:t>
      </w:r>
      <w:r>
        <w:rPr>
          <w:rFonts w:cs="Arial"/>
          <w:lang w:val="en-GB"/>
        </w:rPr>
        <w:t>situation and through prevention of the landslides and flooding with a positive impact, too.</w:t>
      </w:r>
    </w:p>
    <w:p w:rsidR="00252B38" w:rsidRDefault="008C6885">
      <w:pPr>
        <w:spacing w:before="60" w:after="60" w:line="288" w:lineRule="auto"/>
        <w:ind w:firstLine="709"/>
        <w:jc w:val="both"/>
        <w:rPr>
          <w:rFonts w:cs="Arial"/>
          <w:lang w:val="en-GB"/>
        </w:rPr>
      </w:pPr>
      <w:r>
        <w:rPr>
          <w:rFonts w:cs="Arial"/>
          <w:lang w:val="en-GB"/>
        </w:rPr>
        <w:t xml:space="preserve">If the Programme Ro-Ua </w:t>
      </w:r>
      <w:r w:rsidR="00AF233D">
        <w:rPr>
          <w:rFonts w:cs="Arial"/>
          <w:lang w:val="en-GB"/>
        </w:rPr>
        <w:t>is not</w:t>
      </w:r>
      <w:r>
        <w:rPr>
          <w:rFonts w:cs="Arial"/>
          <w:lang w:val="en-GB"/>
        </w:rPr>
        <w:t xml:space="preserve"> implemented, the current status of the environment in the eligible area would stay unchanged and in time will be damaged, affecting almost all the environment factors: air, water, soil, biodiversity, waste management, archaeological an architectural and landscape.</w:t>
      </w:r>
    </w:p>
    <w:p w:rsidR="00252B38" w:rsidRDefault="008C6885">
      <w:pPr>
        <w:spacing w:before="60" w:after="60" w:line="288" w:lineRule="auto"/>
        <w:ind w:firstLine="709"/>
        <w:jc w:val="both"/>
        <w:rPr>
          <w:rFonts w:cs="Arial"/>
          <w:bCs/>
          <w:lang w:val="en-GB"/>
        </w:rPr>
      </w:pPr>
      <w:r>
        <w:rPr>
          <w:rFonts w:cs="Arial"/>
          <w:bCs/>
          <w:lang w:val="en-GB"/>
        </w:rPr>
        <w:t>The environmental protection objectives, established at international, community or member state level, which are relevant to the programme and which have been taken into account during Program preparation are included in the following documents:</w:t>
      </w:r>
    </w:p>
    <w:p w:rsidR="00985B8D" w:rsidRPr="002E01ED" w:rsidRDefault="008C6885">
      <w:pPr>
        <w:spacing w:before="60" w:after="60" w:line="288" w:lineRule="auto"/>
        <w:jc w:val="both"/>
        <w:rPr>
          <w:rFonts w:cs="Arial"/>
          <w:b/>
          <w:bCs/>
          <w:lang w:val="en-GB"/>
        </w:rPr>
      </w:pPr>
      <w:r w:rsidRPr="002E01ED">
        <w:rPr>
          <w:rFonts w:cs="Arial"/>
          <w:b/>
          <w:bCs/>
          <w:i/>
          <w:lang w:val="en-GB"/>
        </w:rPr>
        <w:t>Romania:</w:t>
      </w:r>
      <w:r w:rsidRPr="002E01ED">
        <w:rPr>
          <w:rFonts w:cs="Arial"/>
          <w:b/>
          <w:bCs/>
          <w:lang w:val="en-GB"/>
        </w:rPr>
        <w:t xml:space="preserve"> </w:t>
      </w:r>
    </w:p>
    <w:p w:rsidR="00985B8D" w:rsidRPr="002E01ED" w:rsidRDefault="008C6885" w:rsidP="002E01ED">
      <w:pPr>
        <w:numPr>
          <w:ilvl w:val="1"/>
          <w:numId w:val="103"/>
        </w:numPr>
        <w:tabs>
          <w:tab w:val="left" w:pos="284"/>
        </w:tabs>
        <w:spacing w:before="60" w:after="60" w:line="288" w:lineRule="auto"/>
        <w:ind w:left="284" w:hanging="284"/>
        <w:jc w:val="both"/>
      </w:pPr>
      <w:r w:rsidRPr="002E01ED">
        <w:t>The Partnership Agreement with EU</w:t>
      </w:r>
    </w:p>
    <w:p w:rsidR="00252B38" w:rsidRPr="002E01ED" w:rsidRDefault="008C6885" w:rsidP="002E01ED">
      <w:pPr>
        <w:numPr>
          <w:ilvl w:val="1"/>
          <w:numId w:val="103"/>
        </w:numPr>
        <w:tabs>
          <w:tab w:val="left" w:pos="284"/>
        </w:tabs>
        <w:spacing w:before="60" w:after="60" w:line="288" w:lineRule="auto"/>
        <w:ind w:left="284" w:hanging="284"/>
        <w:jc w:val="both"/>
      </w:pPr>
      <w:r w:rsidRPr="002E01ED">
        <w:t>National Reform Program for Romania (NRP)</w:t>
      </w:r>
    </w:p>
    <w:p w:rsidR="00252B38" w:rsidRDefault="008C6885">
      <w:pPr>
        <w:numPr>
          <w:ilvl w:val="1"/>
          <w:numId w:val="103"/>
        </w:numPr>
        <w:tabs>
          <w:tab w:val="left" w:pos="284"/>
        </w:tabs>
        <w:spacing w:before="60" w:after="60" w:line="288" w:lineRule="auto"/>
        <w:ind w:left="284" w:hanging="284"/>
        <w:jc w:val="both"/>
      </w:pPr>
      <w:r>
        <w:t xml:space="preserve">National Strategy for Climate Change 2013 </w:t>
      </w:r>
      <w:r>
        <w:rPr>
          <w:lang w:val="vi-VN"/>
        </w:rPr>
        <w:t>÷ 2020</w:t>
      </w:r>
    </w:p>
    <w:p w:rsidR="00252B38" w:rsidRDefault="008C6885">
      <w:pPr>
        <w:numPr>
          <w:ilvl w:val="1"/>
          <w:numId w:val="103"/>
        </w:numPr>
        <w:tabs>
          <w:tab w:val="left" w:pos="284"/>
        </w:tabs>
        <w:spacing w:before="60" w:after="60" w:line="288" w:lineRule="auto"/>
        <w:ind w:left="284" w:hanging="284"/>
        <w:jc w:val="both"/>
      </w:pPr>
      <w:r>
        <w:lastRenderedPageBreak/>
        <w:t xml:space="preserve">National Strategy for Risk management at medium and long term flood (period 2010 </w:t>
      </w:r>
      <w:r>
        <w:rPr>
          <w:lang w:val="vi-VN"/>
        </w:rPr>
        <w:t>÷ 20</w:t>
      </w:r>
      <w:r>
        <w:t>35)</w:t>
      </w:r>
    </w:p>
    <w:p w:rsidR="00252B38" w:rsidRDefault="008C6885">
      <w:pPr>
        <w:numPr>
          <w:ilvl w:val="1"/>
          <w:numId w:val="103"/>
        </w:numPr>
        <w:tabs>
          <w:tab w:val="left" w:pos="284"/>
        </w:tabs>
        <w:spacing w:before="60" w:after="60" w:line="288" w:lineRule="auto"/>
        <w:ind w:left="284" w:hanging="284"/>
        <w:jc w:val="both"/>
      </w:pPr>
      <w:r>
        <w:t xml:space="preserve">Waste management (National Stategy, National/Regional Plan for waste management ) </w:t>
      </w:r>
    </w:p>
    <w:p w:rsidR="00252B38" w:rsidRDefault="008C6885">
      <w:pPr>
        <w:numPr>
          <w:ilvl w:val="1"/>
          <w:numId w:val="103"/>
        </w:numPr>
        <w:tabs>
          <w:tab w:val="left" w:pos="284"/>
        </w:tabs>
        <w:spacing w:before="60" w:after="60" w:line="288" w:lineRule="auto"/>
        <w:ind w:left="284" w:hanging="284"/>
        <w:jc w:val="both"/>
        <w:rPr>
          <w:lang w:val="vi-VN"/>
        </w:rPr>
      </w:pPr>
      <w:r>
        <w:rPr>
          <w:lang w:val="vi-VN"/>
        </w:rPr>
        <w:t xml:space="preserve">North-East Regional Development Plan 2014 - 2020  </w:t>
      </w:r>
    </w:p>
    <w:p w:rsidR="00252B38" w:rsidRDefault="008C6885">
      <w:pPr>
        <w:numPr>
          <w:ilvl w:val="1"/>
          <w:numId w:val="103"/>
        </w:numPr>
        <w:tabs>
          <w:tab w:val="left" w:pos="284"/>
        </w:tabs>
        <w:spacing w:before="60" w:after="60" w:line="288" w:lineRule="auto"/>
        <w:ind w:left="284" w:hanging="284"/>
        <w:jc w:val="both"/>
        <w:rPr>
          <w:lang w:val="vi-VN"/>
        </w:rPr>
      </w:pPr>
      <w:r>
        <w:rPr>
          <w:lang w:val="vi-VN"/>
        </w:rPr>
        <w:t xml:space="preserve">South-East Regional Development Plan 2014 - 2020 </w:t>
      </w:r>
    </w:p>
    <w:p w:rsidR="00E86C06" w:rsidRPr="002E01ED" w:rsidRDefault="008C6885">
      <w:pPr>
        <w:spacing w:before="60" w:after="60" w:line="288" w:lineRule="auto"/>
        <w:jc w:val="both"/>
        <w:rPr>
          <w:rFonts w:cs="Arial"/>
          <w:b/>
          <w:bCs/>
          <w:lang w:val="en-GB"/>
        </w:rPr>
      </w:pPr>
      <w:r w:rsidRPr="002E01ED">
        <w:rPr>
          <w:rFonts w:cs="Arial"/>
          <w:b/>
          <w:bCs/>
          <w:i/>
          <w:lang w:val="en-US"/>
        </w:rPr>
        <w:t>Ukraine:</w:t>
      </w:r>
      <w:r w:rsidRPr="002E01ED">
        <w:rPr>
          <w:rFonts w:cs="Arial"/>
          <w:b/>
          <w:bCs/>
          <w:lang w:val="en-GB"/>
        </w:rPr>
        <w:t xml:space="preserve">  </w:t>
      </w:r>
    </w:p>
    <w:p w:rsidR="00252B38" w:rsidRPr="002E01ED" w:rsidRDefault="008C6885" w:rsidP="002E01ED">
      <w:pPr>
        <w:numPr>
          <w:ilvl w:val="1"/>
          <w:numId w:val="103"/>
        </w:numPr>
        <w:tabs>
          <w:tab w:val="left" w:pos="284"/>
        </w:tabs>
        <w:spacing w:before="60" w:after="60" w:line="288" w:lineRule="auto"/>
        <w:ind w:left="284" w:hanging="284"/>
        <w:jc w:val="both"/>
        <w:rPr>
          <w:lang w:val="vi-VN"/>
        </w:rPr>
      </w:pPr>
      <w:r w:rsidRPr="002E01ED">
        <w:rPr>
          <w:lang w:val="vi-VN"/>
        </w:rPr>
        <w:t xml:space="preserve">State Strategy of Regional Development for the period until 2020 </w:t>
      </w:r>
    </w:p>
    <w:p w:rsidR="00E86C06" w:rsidRPr="002E01ED" w:rsidRDefault="008C6885">
      <w:pPr>
        <w:spacing w:before="60" w:after="60" w:line="288" w:lineRule="auto"/>
        <w:jc w:val="both"/>
        <w:rPr>
          <w:rFonts w:cs="Arial"/>
          <w:b/>
          <w:bCs/>
          <w:i/>
          <w:lang w:val="en-US"/>
        </w:rPr>
      </w:pPr>
      <w:r w:rsidRPr="002E01ED">
        <w:rPr>
          <w:rFonts w:cs="Arial"/>
          <w:b/>
          <w:bCs/>
          <w:i/>
          <w:lang w:val="en-US"/>
        </w:rPr>
        <w:t xml:space="preserve">EU: </w:t>
      </w:r>
      <w:r w:rsidRPr="002E01ED">
        <w:rPr>
          <w:rFonts w:cs="Arial"/>
          <w:b/>
          <w:bCs/>
          <w:i/>
          <w:lang w:val="en-US"/>
        </w:rPr>
        <w:tab/>
        <w:t xml:space="preserve">    </w:t>
      </w:r>
    </w:p>
    <w:p w:rsidR="00252B38" w:rsidRPr="002E01ED" w:rsidRDefault="008C6885" w:rsidP="002E01ED">
      <w:pPr>
        <w:numPr>
          <w:ilvl w:val="1"/>
          <w:numId w:val="103"/>
        </w:numPr>
        <w:tabs>
          <w:tab w:val="left" w:pos="284"/>
        </w:tabs>
        <w:spacing w:before="60" w:after="60" w:line="288" w:lineRule="auto"/>
        <w:ind w:left="284" w:hanging="284"/>
        <w:jc w:val="both"/>
        <w:rPr>
          <w:lang w:val="vi-VN"/>
        </w:rPr>
      </w:pPr>
      <w:r>
        <w:rPr>
          <w:rFonts w:cs="Arial"/>
          <w:bCs/>
          <w:i/>
          <w:lang w:val="en-US"/>
        </w:rPr>
        <w:t xml:space="preserve"> </w:t>
      </w:r>
      <w:r w:rsidRPr="002E01ED">
        <w:rPr>
          <w:lang w:val="vi-VN"/>
        </w:rPr>
        <w:t>Europe 2020</w:t>
      </w:r>
    </w:p>
    <w:p w:rsidR="00252B38" w:rsidRPr="002E01ED" w:rsidRDefault="008C6885" w:rsidP="002E01ED">
      <w:pPr>
        <w:numPr>
          <w:ilvl w:val="1"/>
          <w:numId w:val="103"/>
        </w:numPr>
        <w:tabs>
          <w:tab w:val="left" w:pos="284"/>
        </w:tabs>
        <w:spacing w:before="60" w:after="60" w:line="288" w:lineRule="auto"/>
        <w:ind w:left="284" w:hanging="284"/>
        <w:jc w:val="both"/>
        <w:rPr>
          <w:lang w:val="vi-VN"/>
        </w:rPr>
      </w:pPr>
      <w:r w:rsidRPr="002E01ED">
        <w:rPr>
          <w:lang w:val="vi-VN"/>
        </w:rPr>
        <w:t xml:space="preserve"> Danube Strategy</w:t>
      </w:r>
    </w:p>
    <w:p w:rsidR="00252B38" w:rsidRPr="002E01ED" w:rsidRDefault="008C6885" w:rsidP="002E01ED">
      <w:pPr>
        <w:numPr>
          <w:ilvl w:val="1"/>
          <w:numId w:val="103"/>
        </w:numPr>
        <w:tabs>
          <w:tab w:val="left" w:pos="284"/>
        </w:tabs>
        <w:spacing w:before="60" w:after="60" w:line="288" w:lineRule="auto"/>
        <w:ind w:left="284" w:hanging="284"/>
        <w:jc w:val="both"/>
        <w:rPr>
          <w:lang w:val="vi-VN"/>
        </w:rPr>
      </w:pPr>
      <w:r w:rsidRPr="002E01ED">
        <w:rPr>
          <w:lang w:val="vi-VN"/>
        </w:rPr>
        <w:t xml:space="preserve"> Eastern Partnership</w:t>
      </w:r>
    </w:p>
    <w:p w:rsidR="00252B38" w:rsidRDefault="008C6885">
      <w:pPr>
        <w:spacing w:before="60" w:after="60" w:line="288" w:lineRule="auto"/>
        <w:ind w:firstLine="709"/>
        <w:jc w:val="both"/>
        <w:rPr>
          <w:rFonts w:cs="Arial"/>
          <w:b/>
          <w:bCs/>
          <w:lang w:val="en-GB"/>
        </w:rPr>
      </w:pPr>
      <w:r>
        <w:rPr>
          <w:rFonts w:cs="Arial"/>
          <w:bCs/>
          <w:lang w:val="en"/>
        </w:rPr>
        <w:t xml:space="preserve">The implementation of the Programme Ro-Ua thematic objectives should take into consideration the EU Directives, Decisions and Regulations on air quality, surface water and groundwater, soil and subsoil, climate change, health, biodiversity, conservation, resource efficiency or the national legislation in force (Romania or Ukraine) if this is </w:t>
      </w:r>
      <w:r w:rsidR="00E86C06">
        <w:rPr>
          <w:rFonts w:cs="Arial"/>
          <w:bCs/>
          <w:lang w:val="en"/>
        </w:rPr>
        <w:t xml:space="preserve">more </w:t>
      </w:r>
      <w:r>
        <w:rPr>
          <w:rFonts w:cs="Arial"/>
          <w:bCs/>
          <w:lang w:val="en"/>
        </w:rPr>
        <w:t>restrictive.</w:t>
      </w:r>
    </w:p>
    <w:p w:rsidR="00252B38" w:rsidRDefault="008C6885">
      <w:pPr>
        <w:tabs>
          <w:tab w:val="left" w:pos="0"/>
        </w:tabs>
        <w:spacing w:before="60" w:after="60" w:line="288" w:lineRule="auto"/>
        <w:ind w:firstLine="709"/>
        <w:jc w:val="both"/>
      </w:pPr>
      <w:r>
        <w:t xml:space="preserve">The development of indicative actions of the program will consider the necessary measures for </w:t>
      </w:r>
      <w:r w:rsidR="00E86C06">
        <w:t xml:space="preserve">the </w:t>
      </w:r>
      <w:r>
        <w:t xml:space="preserve">fullfilment </w:t>
      </w:r>
      <w:r w:rsidR="00E86C06">
        <w:t xml:space="preserve">of </w:t>
      </w:r>
      <w:r>
        <w:t xml:space="preserve">the requirements of United Nations Framework Convention on Climate Change and Kyoto Protocol. Also, any national/ european policy or stategy related adaptation and mitigation </w:t>
      </w:r>
      <w:r w:rsidR="00E86C06">
        <w:t xml:space="preserve">of </w:t>
      </w:r>
      <w:r>
        <w:t>the climate change will be considered.</w:t>
      </w:r>
    </w:p>
    <w:p w:rsidR="00252B38" w:rsidRDefault="008C6885">
      <w:pPr>
        <w:tabs>
          <w:tab w:val="left" w:pos="0"/>
        </w:tabs>
        <w:spacing w:before="60" w:after="60" w:line="288" w:lineRule="auto"/>
        <w:ind w:firstLine="709"/>
        <w:jc w:val="both"/>
        <w:rPr>
          <w:lang w:val="en-GB"/>
        </w:rPr>
      </w:pPr>
      <w:r>
        <w:rPr>
          <w:lang w:val="en-GB"/>
        </w:rPr>
        <w:t xml:space="preserve">The potential contribution of individual activity proposed for each priority of thematic objectives of Programme Ro-Ua is assessed by result effects, considering the objectives and relevant environmental policies at national, European and international level.  </w:t>
      </w:r>
    </w:p>
    <w:p w:rsidR="00252B38" w:rsidRDefault="008C6885">
      <w:pPr>
        <w:spacing w:before="60" w:after="60" w:line="288" w:lineRule="auto"/>
        <w:ind w:firstLine="709"/>
        <w:jc w:val="both"/>
        <w:rPr>
          <w:rFonts w:cs="Arial"/>
          <w:bCs/>
          <w:lang w:val="en-GB"/>
        </w:rPr>
      </w:pPr>
      <w:r>
        <w:rPr>
          <w:rFonts w:cs="Arial"/>
          <w:bCs/>
          <w:lang w:val="en-GB"/>
        </w:rPr>
        <w:t>The impact of the eligible activities financed by the Program is analysed for each of the following relevant aspects that characterised the environment:</w:t>
      </w:r>
    </w:p>
    <w:p w:rsidR="00252B38" w:rsidRDefault="008C6885">
      <w:pPr>
        <w:numPr>
          <w:ilvl w:val="0"/>
          <w:numId w:val="61"/>
        </w:numPr>
        <w:spacing w:before="60" w:after="60" w:line="288" w:lineRule="auto"/>
        <w:jc w:val="both"/>
        <w:rPr>
          <w:rFonts w:cs="Arial"/>
          <w:bCs/>
          <w:lang w:val="en-GB"/>
        </w:rPr>
      </w:pPr>
      <w:r>
        <w:rPr>
          <w:rFonts w:cs="Arial"/>
          <w:bCs/>
          <w:lang w:val="en-GB"/>
        </w:rPr>
        <w:t>Air;</w:t>
      </w:r>
    </w:p>
    <w:p w:rsidR="00252B38" w:rsidRDefault="008C6885">
      <w:pPr>
        <w:numPr>
          <w:ilvl w:val="0"/>
          <w:numId w:val="61"/>
        </w:numPr>
        <w:spacing w:before="60" w:after="60" w:line="288" w:lineRule="auto"/>
        <w:jc w:val="both"/>
        <w:rPr>
          <w:rFonts w:cs="Arial"/>
          <w:bCs/>
          <w:lang w:val="en-GB"/>
        </w:rPr>
      </w:pPr>
      <w:r>
        <w:rPr>
          <w:rFonts w:cs="Arial"/>
          <w:bCs/>
          <w:lang w:val="en-GB"/>
        </w:rPr>
        <w:t>Surface and underground waters;</w:t>
      </w:r>
    </w:p>
    <w:p w:rsidR="00252B38" w:rsidRDefault="008C6885">
      <w:pPr>
        <w:numPr>
          <w:ilvl w:val="0"/>
          <w:numId w:val="61"/>
        </w:numPr>
        <w:spacing w:before="60" w:after="60" w:line="288" w:lineRule="auto"/>
        <w:jc w:val="both"/>
        <w:rPr>
          <w:rFonts w:cs="Arial"/>
          <w:bCs/>
          <w:lang w:val="en-GB"/>
        </w:rPr>
      </w:pPr>
      <w:r>
        <w:rPr>
          <w:rFonts w:cs="Arial"/>
          <w:bCs/>
          <w:lang w:val="en-GB"/>
        </w:rPr>
        <w:t xml:space="preserve">Soil </w:t>
      </w:r>
      <w:r w:rsidR="00E86C06">
        <w:rPr>
          <w:rFonts w:cs="Arial"/>
          <w:bCs/>
          <w:lang w:val="en-GB"/>
        </w:rPr>
        <w:t xml:space="preserve">, </w:t>
      </w:r>
      <w:r>
        <w:rPr>
          <w:rFonts w:cs="Arial"/>
          <w:bCs/>
          <w:lang w:val="en-GB"/>
        </w:rPr>
        <w:t>subsoil l</w:t>
      </w:r>
      <w:r w:rsidR="00E86C06">
        <w:rPr>
          <w:rFonts w:cs="Arial"/>
          <w:bCs/>
          <w:lang w:val="en-GB"/>
        </w:rPr>
        <w:t xml:space="preserve">and </w:t>
      </w:r>
      <w:r>
        <w:rPr>
          <w:rFonts w:cs="Arial"/>
          <w:bCs/>
          <w:lang w:val="en-GB"/>
        </w:rPr>
        <w:t>andscape;</w:t>
      </w:r>
    </w:p>
    <w:p w:rsidR="00252B38" w:rsidRDefault="008C6885">
      <w:pPr>
        <w:numPr>
          <w:ilvl w:val="0"/>
          <w:numId w:val="61"/>
        </w:numPr>
        <w:spacing w:before="60" w:after="60" w:line="288" w:lineRule="auto"/>
        <w:jc w:val="both"/>
        <w:rPr>
          <w:rFonts w:cs="Arial"/>
          <w:bCs/>
          <w:lang w:val="en-GB"/>
        </w:rPr>
      </w:pPr>
      <w:r>
        <w:rPr>
          <w:rFonts w:cs="Arial"/>
          <w:bCs/>
          <w:lang w:val="en-GB"/>
        </w:rPr>
        <w:t>Climate changes;</w:t>
      </w:r>
    </w:p>
    <w:p w:rsidR="00252B38" w:rsidRDefault="008C6885">
      <w:pPr>
        <w:numPr>
          <w:ilvl w:val="0"/>
          <w:numId w:val="61"/>
        </w:numPr>
        <w:spacing w:before="60" w:after="60" w:line="288" w:lineRule="auto"/>
        <w:jc w:val="both"/>
        <w:rPr>
          <w:rFonts w:cs="Arial"/>
          <w:bCs/>
          <w:lang w:val="en-GB"/>
        </w:rPr>
      </w:pPr>
      <w:r>
        <w:rPr>
          <w:rFonts w:cs="Arial"/>
          <w:bCs/>
          <w:lang w:val="en-GB"/>
        </w:rPr>
        <w:t>Population and public health;</w:t>
      </w:r>
    </w:p>
    <w:p w:rsidR="00252B38" w:rsidRDefault="008C6885">
      <w:pPr>
        <w:numPr>
          <w:ilvl w:val="0"/>
          <w:numId w:val="61"/>
        </w:numPr>
        <w:spacing w:before="60" w:after="60" w:line="288" w:lineRule="auto"/>
        <w:jc w:val="both"/>
        <w:rPr>
          <w:rFonts w:cs="Arial"/>
          <w:bCs/>
          <w:lang w:val="en-GB"/>
        </w:rPr>
      </w:pPr>
      <w:r>
        <w:rPr>
          <w:rFonts w:cs="Arial"/>
          <w:bCs/>
          <w:lang w:val="en-GB"/>
        </w:rPr>
        <w:t>Biodiversity, flora and fauna;</w:t>
      </w:r>
    </w:p>
    <w:p w:rsidR="00252B38" w:rsidRPr="002E01ED" w:rsidRDefault="008C6885" w:rsidP="002E01ED">
      <w:pPr>
        <w:numPr>
          <w:ilvl w:val="0"/>
          <w:numId w:val="61"/>
        </w:numPr>
        <w:spacing w:before="60" w:after="60" w:line="288" w:lineRule="auto"/>
        <w:jc w:val="both"/>
        <w:rPr>
          <w:rFonts w:cs="Arial"/>
          <w:bCs/>
          <w:lang w:val="en-GB"/>
        </w:rPr>
      </w:pPr>
      <w:r>
        <w:rPr>
          <w:rFonts w:cs="Arial"/>
          <w:bCs/>
          <w:lang w:val="en-GB"/>
        </w:rPr>
        <w:t>Waste management;</w:t>
      </w:r>
    </w:p>
    <w:p w:rsidR="00252B38" w:rsidRDefault="008C6885">
      <w:pPr>
        <w:numPr>
          <w:ilvl w:val="0"/>
          <w:numId w:val="61"/>
        </w:numPr>
        <w:spacing w:before="60" w:after="60" w:line="288" w:lineRule="auto"/>
        <w:jc w:val="both"/>
        <w:rPr>
          <w:rFonts w:cs="Arial"/>
          <w:bCs/>
          <w:lang w:val="en-GB"/>
        </w:rPr>
      </w:pPr>
      <w:r>
        <w:rPr>
          <w:rFonts w:cs="Arial"/>
          <w:bCs/>
          <w:lang w:val="en-GB"/>
        </w:rPr>
        <w:t>Cultural heritage;</w:t>
      </w:r>
    </w:p>
    <w:p w:rsidR="00252B38" w:rsidRDefault="008C6885">
      <w:pPr>
        <w:numPr>
          <w:ilvl w:val="0"/>
          <w:numId w:val="61"/>
        </w:numPr>
        <w:spacing w:before="60" w:after="60" w:line="288" w:lineRule="auto"/>
        <w:jc w:val="both"/>
        <w:rPr>
          <w:rFonts w:cs="Arial"/>
          <w:bCs/>
          <w:lang w:val="en-GB"/>
        </w:rPr>
      </w:pPr>
      <w:r>
        <w:rPr>
          <w:rFonts w:cs="Arial"/>
          <w:bCs/>
          <w:lang w:val="en-GB"/>
        </w:rPr>
        <w:t>Resources efficiency, including renewable sources;</w:t>
      </w:r>
    </w:p>
    <w:p w:rsidR="00252B38" w:rsidRDefault="00252B38">
      <w:pPr>
        <w:spacing w:before="60" w:after="60" w:line="288" w:lineRule="auto"/>
        <w:jc w:val="both"/>
        <w:rPr>
          <w:rFonts w:cs="Arial"/>
          <w:bCs/>
          <w:lang w:val="en-GB"/>
        </w:rPr>
      </w:pPr>
    </w:p>
    <w:p w:rsidR="00252B38" w:rsidRDefault="008C6885">
      <w:pPr>
        <w:spacing w:before="60" w:after="60" w:line="288" w:lineRule="auto"/>
        <w:ind w:firstLine="709"/>
        <w:jc w:val="both"/>
        <w:rPr>
          <w:rFonts w:cs="Arial"/>
          <w:bCs/>
          <w:lang w:val="en-GB"/>
        </w:rPr>
      </w:pPr>
      <w:r>
        <w:rPr>
          <w:rFonts w:cs="Arial"/>
          <w:bCs/>
          <w:lang w:val="en-GB"/>
        </w:rPr>
        <w:t>A scoring approach, as presented in the following is used for the environment assessment of the Program Ro- Ua activities.</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2994"/>
        <w:gridCol w:w="5917"/>
      </w:tblGrid>
      <w:tr w:rsidR="00252B38">
        <w:tc>
          <w:tcPr>
            <w:tcW w:w="1083" w:type="dxa"/>
            <w:shd w:val="clear" w:color="auto" w:fill="auto"/>
            <w:vAlign w:val="center"/>
          </w:tcPr>
          <w:p w:rsidR="00252B38" w:rsidRDefault="008C6885">
            <w:pPr>
              <w:jc w:val="both"/>
              <w:rPr>
                <w:rFonts w:cs="Arial"/>
                <w:b/>
                <w:bCs/>
                <w:sz w:val="22"/>
                <w:szCs w:val="22"/>
                <w:lang w:val="en-GB"/>
              </w:rPr>
            </w:pPr>
            <w:r>
              <w:rPr>
                <w:rFonts w:cs="Arial"/>
                <w:b/>
                <w:bCs/>
                <w:sz w:val="22"/>
                <w:szCs w:val="22"/>
                <w:lang w:val="en-GB"/>
              </w:rPr>
              <w:t>Symbol</w:t>
            </w:r>
          </w:p>
        </w:tc>
        <w:tc>
          <w:tcPr>
            <w:tcW w:w="2994" w:type="dxa"/>
            <w:shd w:val="clear" w:color="auto" w:fill="auto"/>
            <w:vAlign w:val="center"/>
          </w:tcPr>
          <w:p w:rsidR="00252B38" w:rsidRDefault="008C6885">
            <w:pPr>
              <w:jc w:val="both"/>
              <w:rPr>
                <w:rFonts w:cs="Arial"/>
                <w:b/>
                <w:bCs/>
                <w:sz w:val="22"/>
                <w:szCs w:val="22"/>
                <w:lang w:val="en-GB"/>
              </w:rPr>
            </w:pPr>
            <w:r>
              <w:rPr>
                <w:rFonts w:cs="Arial"/>
                <w:b/>
                <w:bCs/>
                <w:sz w:val="22"/>
                <w:szCs w:val="22"/>
                <w:lang w:val="en-GB"/>
              </w:rPr>
              <w:t>Semnification</w:t>
            </w:r>
          </w:p>
        </w:tc>
        <w:tc>
          <w:tcPr>
            <w:tcW w:w="5917" w:type="dxa"/>
            <w:shd w:val="clear" w:color="auto" w:fill="auto"/>
            <w:vAlign w:val="center"/>
          </w:tcPr>
          <w:p w:rsidR="00252B38" w:rsidRDefault="008C6885">
            <w:pPr>
              <w:jc w:val="both"/>
              <w:rPr>
                <w:rFonts w:cs="Arial"/>
                <w:b/>
                <w:bCs/>
                <w:sz w:val="22"/>
                <w:szCs w:val="22"/>
                <w:lang w:val="en-GB"/>
              </w:rPr>
            </w:pPr>
            <w:r>
              <w:rPr>
                <w:rFonts w:cs="Arial"/>
                <w:b/>
                <w:bCs/>
                <w:sz w:val="22"/>
                <w:szCs w:val="22"/>
                <w:lang w:val="en-GB"/>
              </w:rPr>
              <w:t>Definition</w:t>
            </w:r>
          </w:p>
        </w:tc>
      </w:tr>
      <w:tr w:rsidR="00252B38">
        <w:tc>
          <w:tcPr>
            <w:tcW w:w="1083" w:type="dxa"/>
            <w:shd w:val="clear" w:color="auto" w:fill="auto"/>
          </w:tcPr>
          <w:p w:rsidR="00252B38" w:rsidRDefault="008C6885">
            <w:pPr>
              <w:jc w:val="center"/>
              <w:rPr>
                <w:rFonts w:cs="Arial"/>
                <w:b/>
                <w:bCs/>
                <w:sz w:val="22"/>
                <w:szCs w:val="22"/>
                <w:lang w:val="en-GB"/>
              </w:rPr>
            </w:pPr>
            <w:r>
              <w:rPr>
                <w:rFonts w:cs="Arial"/>
                <w:b/>
                <w:bCs/>
                <w:sz w:val="22"/>
                <w:szCs w:val="22"/>
                <w:lang w:val="en-GB"/>
              </w:rPr>
              <w:t>++</w:t>
            </w:r>
          </w:p>
        </w:tc>
        <w:tc>
          <w:tcPr>
            <w:tcW w:w="2994" w:type="dxa"/>
            <w:shd w:val="clear" w:color="auto" w:fill="auto"/>
          </w:tcPr>
          <w:p w:rsidR="00252B38" w:rsidRDefault="008C6885">
            <w:pPr>
              <w:jc w:val="both"/>
              <w:rPr>
                <w:rFonts w:cs="Arial"/>
                <w:bCs/>
                <w:sz w:val="22"/>
                <w:szCs w:val="22"/>
                <w:lang w:val="en-GB"/>
              </w:rPr>
            </w:pPr>
            <w:r>
              <w:rPr>
                <w:rFonts w:cs="Arial"/>
                <w:bCs/>
                <w:sz w:val="22"/>
                <w:szCs w:val="22"/>
                <w:lang w:val="en-GB"/>
              </w:rPr>
              <w:t>Significant Positive Impact</w:t>
            </w:r>
          </w:p>
        </w:tc>
        <w:tc>
          <w:tcPr>
            <w:tcW w:w="5917" w:type="dxa"/>
            <w:shd w:val="clear" w:color="auto" w:fill="auto"/>
          </w:tcPr>
          <w:p w:rsidR="00252B38" w:rsidRDefault="008C6885">
            <w:pPr>
              <w:jc w:val="both"/>
              <w:rPr>
                <w:rFonts w:cs="Arial"/>
                <w:bCs/>
                <w:sz w:val="22"/>
                <w:szCs w:val="22"/>
                <w:lang w:val="en-GB"/>
              </w:rPr>
            </w:pPr>
            <w:r>
              <w:rPr>
                <w:rFonts w:cs="Arial"/>
                <w:bCs/>
                <w:sz w:val="22"/>
                <w:szCs w:val="22"/>
                <w:lang w:val="en-GB"/>
              </w:rPr>
              <w:t>Highly positive benefit for the environment which is of considerable importance in terms of its overall policy implication</w:t>
            </w:r>
          </w:p>
        </w:tc>
      </w:tr>
      <w:tr w:rsidR="00252B38">
        <w:tc>
          <w:tcPr>
            <w:tcW w:w="1083" w:type="dxa"/>
            <w:shd w:val="clear" w:color="auto" w:fill="auto"/>
          </w:tcPr>
          <w:p w:rsidR="00252B38" w:rsidRDefault="008C6885">
            <w:pPr>
              <w:jc w:val="center"/>
              <w:rPr>
                <w:rFonts w:cs="Arial"/>
                <w:b/>
                <w:bCs/>
                <w:sz w:val="22"/>
                <w:szCs w:val="22"/>
                <w:lang w:val="en-GB"/>
              </w:rPr>
            </w:pPr>
            <w:r>
              <w:rPr>
                <w:rFonts w:cs="Arial"/>
                <w:b/>
                <w:bCs/>
                <w:sz w:val="22"/>
                <w:szCs w:val="22"/>
                <w:lang w:val="en-GB"/>
              </w:rPr>
              <w:lastRenderedPageBreak/>
              <w:t>+</w:t>
            </w:r>
          </w:p>
        </w:tc>
        <w:tc>
          <w:tcPr>
            <w:tcW w:w="2994" w:type="dxa"/>
            <w:shd w:val="clear" w:color="auto" w:fill="auto"/>
          </w:tcPr>
          <w:p w:rsidR="00252B38" w:rsidRDefault="008C6885">
            <w:pPr>
              <w:jc w:val="both"/>
              <w:rPr>
                <w:rFonts w:cs="Arial"/>
                <w:bCs/>
                <w:sz w:val="22"/>
                <w:szCs w:val="22"/>
                <w:lang w:val="en-GB"/>
              </w:rPr>
            </w:pPr>
            <w:r>
              <w:rPr>
                <w:rFonts w:cs="Arial"/>
                <w:bCs/>
                <w:sz w:val="22"/>
                <w:szCs w:val="22"/>
                <w:lang w:val="en-GB"/>
              </w:rPr>
              <w:t>Positive Impact</w:t>
            </w:r>
          </w:p>
        </w:tc>
        <w:tc>
          <w:tcPr>
            <w:tcW w:w="5917" w:type="dxa"/>
            <w:shd w:val="clear" w:color="auto" w:fill="auto"/>
          </w:tcPr>
          <w:p w:rsidR="00252B38" w:rsidRDefault="008C6885">
            <w:pPr>
              <w:jc w:val="both"/>
              <w:rPr>
                <w:rFonts w:cs="Arial"/>
                <w:bCs/>
                <w:sz w:val="22"/>
                <w:szCs w:val="22"/>
                <w:lang w:val="en-GB"/>
              </w:rPr>
            </w:pPr>
            <w:r>
              <w:rPr>
                <w:rFonts w:cs="Arial"/>
                <w:bCs/>
                <w:sz w:val="22"/>
                <w:szCs w:val="22"/>
                <w:lang w:val="en-GB"/>
              </w:rPr>
              <w:t>Positive effect on the environment which is not</w:t>
            </w:r>
          </w:p>
          <w:p w:rsidR="00252B38" w:rsidRDefault="008C6885">
            <w:pPr>
              <w:jc w:val="both"/>
              <w:rPr>
                <w:rFonts w:cs="Arial"/>
                <w:bCs/>
                <w:sz w:val="22"/>
                <w:szCs w:val="22"/>
                <w:lang w:val="en-GB"/>
              </w:rPr>
            </w:pPr>
            <w:r>
              <w:rPr>
                <w:rFonts w:cs="Arial"/>
                <w:bCs/>
                <w:sz w:val="22"/>
                <w:szCs w:val="22"/>
                <w:lang w:val="en-GB"/>
              </w:rPr>
              <w:t>considered to be significant</w:t>
            </w:r>
          </w:p>
        </w:tc>
      </w:tr>
      <w:tr w:rsidR="00252B38">
        <w:tc>
          <w:tcPr>
            <w:tcW w:w="1083" w:type="dxa"/>
            <w:shd w:val="clear" w:color="auto" w:fill="auto"/>
          </w:tcPr>
          <w:p w:rsidR="00252B38" w:rsidRDefault="008C6885">
            <w:pPr>
              <w:jc w:val="center"/>
              <w:rPr>
                <w:rFonts w:cs="Arial"/>
                <w:b/>
                <w:bCs/>
                <w:sz w:val="22"/>
                <w:szCs w:val="22"/>
                <w:lang w:val="en-GB"/>
              </w:rPr>
            </w:pPr>
            <w:r>
              <w:rPr>
                <w:rFonts w:cs="Arial"/>
                <w:b/>
                <w:bCs/>
                <w:sz w:val="22"/>
                <w:szCs w:val="22"/>
                <w:lang w:val="en-GB"/>
              </w:rPr>
              <w:t>0</w:t>
            </w:r>
          </w:p>
        </w:tc>
        <w:tc>
          <w:tcPr>
            <w:tcW w:w="2994" w:type="dxa"/>
            <w:shd w:val="clear" w:color="auto" w:fill="auto"/>
          </w:tcPr>
          <w:p w:rsidR="00252B38" w:rsidRDefault="008C6885">
            <w:pPr>
              <w:jc w:val="both"/>
              <w:rPr>
                <w:rFonts w:cs="Arial"/>
                <w:bCs/>
                <w:sz w:val="22"/>
                <w:szCs w:val="22"/>
                <w:lang w:val="en-GB"/>
              </w:rPr>
            </w:pPr>
            <w:r>
              <w:rPr>
                <w:rFonts w:cs="Arial"/>
                <w:bCs/>
                <w:sz w:val="22"/>
                <w:szCs w:val="22"/>
                <w:lang w:val="en-GB"/>
              </w:rPr>
              <w:t>Neutral</w:t>
            </w:r>
          </w:p>
        </w:tc>
        <w:tc>
          <w:tcPr>
            <w:tcW w:w="5917" w:type="dxa"/>
            <w:shd w:val="clear" w:color="auto" w:fill="auto"/>
          </w:tcPr>
          <w:p w:rsidR="00252B38" w:rsidRDefault="008C6885">
            <w:pPr>
              <w:jc w:val="both"/>
              <w:rPr>
                <w:rFonts w:cs="Arial"/>
                <w:bCs/>
                <w:sz w:val="22"/>
                <w:szCs w:val="22"/>
                <w:lang w:val="en-GB"/>
              </w:rPr>
            </w:pPr>
            <w:r>
              <w:rPr>
                <w:rFonts w:cs="Arial"/>
                <w:bCs/>
                <w:sz w:val="22"/>
                <w:szCs w:val="22"/>
                <w:lang w:val="en-GB"/>
              </w:rPr>
              <w:t>No effect envisaged</w:t>
            </w:r>
          </w:p>
        </w:tc>
      </w:tr>
      <w:tr w:rsidR="00252B38">
        <w:tc>
          <w:tcPr>
            <w:tcW w:w="1083" w:type="dxa"/>
            <w:shd w:val="clear" w:color="auto" w:fill="auto"/>
          </w:tcPr>
          <w:p w:rsidR="00252B38" w:rsidRDefault="008C6885">
            <w:pPr>
              <w:jc w:val="center"/>
              <w:rPr>
                <w:rFonts w:cs="Arial"/>
                <w:b/>
                <w:bCs/>
                <w:sz w:val="22"/>
                <w:szCs w:val="22"/>
                <w:lang w:val="en-GB"/>
              </w:rPr>
            </w:pPr>
            <w:r>
              <w:rPr>
                <w:rFonts w:cs="Arial"/>
                <w:b/>
                <w:bCs/>
                <w:sz w:val="22"/>
                <w:szCs w:val="22"/>
                <w:lang w:val="en-GB"/>
              </w:rPr>
              <w:t>-</w:t>
            </w:r>
          </w:p>
        </w:tc>
        <w:tc>
          <w:tcPr>
            <w:tcW w:w="2994" w:type="dxa"/>
            <w:shd w:val="clear" w:color="auto" w:fill="auto"/>
          </w:tcPr>
          <w:p w:rsidR="00252B38" w:rsidRDefault="008C6885">
            <w:pPr>
              <w:jc w:val="both"/>
              <w:rPr>
                <w:rFonts w:cs="Arial"/>
                <w:bCs/>
                <w:sz w:val="22"/>
                <w:szCs w:val="22"/>
                <w:lang w:val="en-GB"/>
              </w:rPr>
            </w:pPr>
            <w:r>
              <w:rPr>
                <w:rFonts w:cs="Arial"/>
                <w:bCs/>
                <w:sz w:val="22"/>
                <w:szCs w:val="22"/>
                <w:lang w:val="en-GB"/>
              </w:rPr>
              <w:t>Negative Impact</w:t>
            </w:r>
          </w:p>
        </w:tc>
        <w:tc>
          <w:tcPr>
            <w:tcW w:w="5917" w:type="dxa"/>
            <w:shd w:val="clear" w:color="auto" w:fill="auto"/>
          </w:tcPr>
          <w:p w:rsidR="00252B38" w:rsidRDefault="008C6885">
            <w:pPr>
              <w:jc w:val="both"/>
              <w:rPr>
                <w:rFonts w:cs="Arial"/>
                <w:bCs/>
                <w:sz w:val="22"/>
                <w:szCs w:val="22"/>
                <w:lang w:val="en-GB"/>
              </w:rPr>
            </w:pPr>
            <w:r>
              <w:rPr>
                <w:rFonts w:cs="Arial"/>
                <w:bCs/>
                <w:sz w:val="22"/>
                <w:szCs w:val="22"/>
                <w:lang w:val="en-GB"/>
              </w:rPr>
              <w:t>Negative impact on the environment which is not</w:t>
            </w:r>
          </w:p>
          <w:p w:rsidR="00252B38" w:rsidRDefault="008C6885">
            <w:pPr>
              <w:jc w:val="both"/>
              <w:rPr>
                <w:rFonts w:cs="Arial"/>
                <w:bCs/>
                <w:sz w:val="22"/>
                <w:szCs w:val="22"/>
                <w:lang w:val="en-GB"/>
              </w:rPr>
            </w:pPr>
            <w:r>
              <w:rPr>
                <w:rFonts w:cs="Arial"/>
                <w:bCs/>
                <w:sz w:val="22"/>
                <w:szCs w:val="22"/>
                <w:lang w:val="en-GB"/>
              </w:rPr>
              <w:t>considered to be significant</w:t>
            </w:r>
          </w:p>
        </w:tc>
      </w:tr>
      <w:tr w:rsidR="00252B38">
        <w:tc>
          <w:tcPr>
            <w:tcW w:w="1083" w:type="dxa"/>
            <w:shd w:val="clear" w:color="auto" w:fill="auto"/>
          </w:tcPr>
          <w:p w:rsidR="00252B38" w:rsidRDefault="008C6885">
            <w:pPr>
              <w:jc w:val="center"/>
              <w:rPr>
                <w:rFonts w:cs="Arial"/>
                <w:b/>
                <w:bCs/>
                <w:sz w:val="22"/>
                <w:szCs w:val="22"/>
                <w:lang w:val="en-GB"/>
              </w:rPr>
            </w:pPr>
            <w:r>
              <w:rPr>
                <w:rFonts w:cs="Arial"/>
                <w:b/>
                <w:bCs/>
                <w:sz w:val="22"/>
                <w:szCs w:val="22"/>
                <w:lang w:val="en-GB"/>
              </w:rPr>
              <w:t>--</w:t>
            </w:r>
          </w:p>
        </w:tc>
        <w:tc>
          <w:tcPr>
            <w:tcW w:w="2994" w:type="dxa"/>
            <w:shd w:val="clear" w:color="auto" w:fill="auto"/>
          </w:tcPr>
          <w:p w:rsidR="00252B38" w:rsidRDefault="008C6885">
            <w:pPr>
              <w:jc w:val="both"/>
              <w:rPr>
                <w:rFonts w:cs="Arial"/>
                <w:bCs/>
                <w:sz w:val="22"/>
                <w:szCs w:val="22"/>
                <w:lang w:val="en-GB"/>
              </w:rPr>
            </w:pPr>
            <w:r>
              <w:rPr>
                <w:rFonts w:cs="Arial"/>
                <w:bCs/>
                <w:sz w:val="22"/>
                <w:szCs w:val="22"/>
                <w:lang w:val="en-GB"/>
              </w:rPr>
              <w:t>Significant Negative Impact</w:t>
            </w:r>
          </w:p>
        </w:tc>
        <w:tc>
          <w:tcPr>
            <w:tcW w:w="5917" w:type="dxa"/>
            <w:shd w:val="clear" w:color="auto" w:fill="auto"/>
          </w:tcPr>
          <w:p w:rsidR="00252B38" w:rsidRDefault="008C6885">
            <w:pPr>
              <w:jc w:val="both"/>
              <w:rPr>
                <w:rFonts w:cs="Arial"/>
                <w:bCs/>
                <w:sz w:val="22"/>
                <w:szCs w:val="22"/>
                <w:lang w:val="en-GB"/>
              </w:rPr>
            </w:pPr>
            <w:r>
              <w:rPr>
                <w:rFonts w:cs="Arial"/>
                <w:bCs/>
                <w:sz w:val="22"/>
                <w:szCs w:val="22"/>
                <w:lang w:val="en-GB"/>
              </w:rPr>
              <w:t>Highly adverse impacts on aspects of the</w:t>
            </w:r>
          </w:p>
          <w:p w:rsidR="00252B38" w:rsidRDefault="008C6885">
            <w:pPr>
              <w:jc w:val="both"/>
              <w:rPr>
                <w:rFonts w:cs="Arial"/>
                <w:bCs/>
                <w:sz w:val="22"/>
                <w:szCs w:val="22"/>
                <w:lang w:val="en-GB"/>
              </w:rPr>
            </w:pPr>
            <w:r>
              <w:rPr>
                <w:rFonts w:cs="Arial"/>
                <w:bCs/>
                <w:sz w:val="22"/>
                <w:szCs w:val="22"/>
                <w:lang w:val="en-GB"/>
              </w:rPr>
              <w:t>environment which seriously demand to be</w:t>
            </w:r>
          </w:p>
          <w:p w:rsidR="00252B38" w:rsidRDefault="008C6885">
            <w:pPr>
              <w:jc w:val="both"/>
              <w:rPr>
                <w:rFonts w:cs="Arial"/>
                <w:bCs/>
                <w:sz w:val="22"/>
                <w:szCs w:val="22"/>
                <w:lang w:val="en-GB"/>
              </w:rPr>
            </w:pPr>
            <w:r>
              <w:rPr>
                <w:rFonts w:cs="Arial"/>
                <w:bCs/>
                <w:sz w:val="22"/>
                <w:szCs w:val="22"/>
                <w:lang w:val="en-GB"/>
              </w:rPr>
              <w:t>addressed through revision of current stated policy</w:t>
            </w:r>
          </w:p>
        </w:tc>
      </w:tr>
      <w:tr w:rsidR="00252B38">
        <w:tc>
          <w:tcPr>
            <w:tcW w:w="1083" w:type="dxa"/>
            <w:shd w:val="clear" w:color="auto" w:fill="auto"/>
          </w:tcPr>
          <w:p w:rsidR="00252B38" w:rsidRDefault="008C6885">
            <w:pPr>
              <w:jc w:val="center"/>
              <w:rPr>
                <w:rFonts w:cs="Arial"/>
                <w:b/>
                <w:bCs/>
                <w:sz w:val="22"/>
                <w:szCs w:val="22"/>
                <w:lang w:val="en-GB"/>
              </w:rPr>
            </w:pPr>
            <w:r>
              <w:rPr>
                <w:rFonts w:cs="Arial"/>
                <w:b/>
                <w:bCs/>
                <w:sz w:val="22"/>
                <w:szCs w:val="22"/>
                <w:lang w:val="en-GB"/>
              </w:rPr>
              <w:t>?</w:t>
            </w:r>
          </w:p>
        </w:tc>
        <w:tc>
          <w:tcPr>
            <w:tcW w:w="2994" w:type="dxa"/>
            <w:shd w:val="clear" w:color="auto" w:fill="auto"/>
          </w:tcPr>
          <w:p w:rsidR="00252B38" w:rsidRDefault="008C6885">
            <w:pPr>
              <w:jc w:val="both"/>
              <w:rPr>
                <w:rFonts w:cs="Arial"/>
                <w:bCs/>
                <w:sz w:val="22"/>
                <w:szCs w:val="22"/>
                <w:lang w:val="en-GB"/>
              </w:rPr>
            </w:pPr>
            <w:r>
              <w:rPr>
                <w:rFonts w:cs="Arial"/>
                <w:bCs/>
                <w:sz w:val="22"/>
                <w:szCs w:val="22"/>
                <w:lang w:val="en-GB"/>
              </w:rPr>
              <w:t>Uncertainty</w:t>
            </w:r>
          </w:p>
        </w:tc>
        <w:tc>
          <w:tcPr>
            <w:tcW w:w="5917" w:type="dxa"/>
            <w:shd w:val="clear" w:color="auto" w:fill="auto"/>
          </w:tcPr>
          <w:p w:rsidR="00252B38" w:rsidRDefault="008C6885">
            <w:pPr>
              <w:jc w:val="both"/>
              <w:rPr>
                <w:rFonts w:cs="Arial"/>
                <w:bCs/>
                <w:sz w:val="22"/>
                <w:szCs w:val="22"/>
                <w:lang w:val="en-GB"/>
              </w:rPr>
            </w:pPr>
            <w:r>
              <w:rPr>
                <w:rFonts w:cs="Arial"/>
                <w:bCs/>
                <w:sz w:val="22"/>
                <w:szCs w:val="22"/>
                <w:lang w:val="en-GB"/>
              </w:rPr>
              <w:t>Effect could not be determined due to lack of data</w:t>
            </w:r>
          </w:p>
          <w:p w:rsidR="00252B38" w:rsidRDefault="008C6885">
            <w:pPr>
              <w:jc w:val="both"/>
              <w:rPr>
                <w:rFonts w:cs="Arial"/>
                <w:bCs/>
                <w:sz w:val="22"/>
                <w:szCs w:val="22"/>
                <w:lang w:val="en-GB"/>
              </w:rPr>
            </w:pPr>
            <w:r>
              <w:rPr>
                <w:rFonts w:cs="Arial"/>
                <w:bCs/>
                <w:sz w:val="22"/>
                <w:szCs w:val="22"/>
                <w:lang w:val="en-GB"/>
              </w:rPr>
              <w:t>or information</w:t>
            </w:r>
          </w:p>
        </w:tc>
      </w:tr>
    </w:tbl>
    <w:p w:rsidR="00252B38" w:rsidRDefault="00252B38">
      <w:pPr>
        <w:spacing w:before="60" w:after="60" w:line="288" w:lineRule="auto"/>
        <w:jc w:val="both"/>
        <w:rPr>
          <w:rFonts w:cs="Arial"/>
          <w:bCs/>
          <w:lang w:val="en-GB"/>
        </w:rPr>
      </w:pPr>
    </w:p>
    <w:p w:rsidR="00F86820" w:rsidRPr="002E01ED" w:rsidRDefault="00F86820" w:rsidP="002E01ED">
      <w:pPr>
        <w:jc w:val="both"/>
      </w:pPr>
      <w:bookmarkStart w:id="183" w:name="_Toc419447366"/>
      <w:bookmarkStart w:id="184" w:name="_Toc419447846"/>
      <w:r w:rsidRPr="002E01ED">
        <w:t xml:space="preserve">At this level of detail of the programme a global methodology was used, trying to highlight the possible effects of the indicative activities on the environmental aspects. The accuracy of the implementation of the methodology depends to a high degree on the type of projects that will be financed. </w:t>
      </w:r>
    </w:p>
    <w:p w:rsidR="00252B38" w:rsidRPr="002E01ED" w:rsidRDefault="008C6885" w:rsidP="002E01ED">
      <w:pPr>
        <w:jc w:val="both"/>
      </w:pPr>
      <w:r w:rsidRPr="002E01ED">
        <w:t xml:space="preserve">The possible significant effects on the environment, including on issues such as biodiversity, population, human health, fauna, flora, soil, water, air, climatic factors, material assets, cultural heritage including architectural and archaeological heritage, landscape </w:t>
      </w:r>
      <w:r w:rsidR="00F86820" w:rsidRPr="002E01ED">
        <w:t xml:space="preserve">are </w:t>
      </w:r>
      <w:r w:rsidRPr="002E01ED">
        <w:t>presented below for each indicative activities of the four thematic objectives.</w:t>
      </w:r>
      <w:bookmarkEnd w:id="183"/>
      <w:bookmarkEnd w:id="184"/>
      <w:r w:rsidRPr="002E01ED">
        <w:t xml:space="preserve"> </w:t>
      </w:r>
    </w:p>
    <w:p w:rsidR="00252B38" w:rsidRDefault="00252B38">
      <w:pPr>
        <w:spacing w:before="60" w:after="60" w:line="288" w:lineRule="auto"/>
        <w:rPr>
          <w:b/>
        </w:rPr>
      </w:pPr>
    </w:p>
    <w:p w:rsidR="00252B38" w:rsidRDefault="008C6885">
      <w:pPr>
        <w:spacing w:before="60" w:after="60" w:line="288" w:lineRule="auto"/>
        <w:jc w:val="both"/>
        <w:rPr>
          <w:b/>
          <w:sz w:val="22"/>
          <w:szCs w:val="22"/>
          <w:u w:val="single"/>
          <w:lang w:val="en-GB"/>
        </w:rPr>
      </w:pPr>
      <w:r>
        <w:rPr>
          <w:b/>
          <w:sz w:val="22"/>
          <w:szCs w:val="22"/>
          <w:lang w:val="en-GB"/>
        </w:rPr>
        <w:t>TO2 - SUPPORT TO EDUCATION, RESEARCH, TECHNOLOGICAL DEVELOPMENT &amp; INNOVATION</w:t>
      </w:r>
    </w:p>
    <w:p w:rsidR="00252B38" w:rsidRDefault="008C6885">
      <w:pPr>
        <w:spacing w:before="60" w:after="60" w:line="288" w:lineRule="auto"/>
        <w:jc w:val="both"/>
        <w:rPr>
          <w:b/>
          <w:i/>
          <w:sz w:val="22"/>
          <w:szCs w:val="22"/>
          <w:lang w:val="en-GB"/>
        </w:rPr>
      </w:pPr>
      <w:r>
        <w:rPr>
          <w:b/>
          <w:bCs/>
          <w:i/>
          <w:iCs/>
          <w:sz w:val="22"/>
          <w:szCs w:val="22"/>
          <w:lang w:val="en-GB"/>
        </w:rPr>
        <w:t>Objective 1</w:t>
      </w:r>
      <w:r>
        <w:rPr>
          <w:b/>
          <w:bCs/>
          <w:iCs/>
          <w:sz w:val="22"/>
          <w:szCs w:val="22"/>
          <w:lang w:val="en-GB"/>
        </w:rPr>
        <w:t xml:space="preserve">:  </w:t>
      </w:r>
      <w:r>
        <w:rPr>
          <w:i/>
          <w:sz w:val="22"/>
          <w:szCs w:val="22"/>
          <w:lang w:val="en-GB"/>
        </w:rPr>
        <w:t xml:space="preserve">Develop </w:t>
      </w:r>
      <w:r w:rsidR="00F86820">
        <w:rPr>
          <w:i/>
          <w:sz w:val="22"/>
          <w:szCs w:val="22"/>
          <w:lang w:val="en-GB"/>
        </w:rPr>
        <w:t xml:space="preserve">education </w:t>
      </w:r>
      <w:r>
        <w:rPr>
          <w:i/>
          <w:sz w:val="22"/>
          <w:szCs w:val="22"/>
          <w:lang w:val="en-GB"/>
        </w:rPr>
        <w:t>and</w:t>
      </w:r>
      <w:r>
        <w:rPr>
          <w:bCs/>
          <w:i/>
          <w:iCs/>
          <w:sz w:val="22"/>
          <w:szCs w:val="22"/>
          <w:lang w:val="en-GB"/>
        </w:rPr>
        <w:t xml:space="preserve"> </w:t>
      </w:r>
      <w:r>
        <w:rPr>
          <w:i/>
          <w:sz w:val="22"/>
          <w:szCs w:val="22"/>
          <w:lang w:val="en-GB"/>
        </w:rPr>
        <w:t>support research and innovation by facilitating the cooperation at local, regional and central level</w:t>
      </w:r>
      <w:r>
        <w:rPr>
          <w:b/>
          <w:i/>
          <w:sz w:val="22"/>
          <w:szCs w:val="22"/>
          <w:lang w:val="en-GB"/>
        </w:rPr>
        <w:t xml:space="preserve"> </w:t>
      </w:r>
    </w:p>
    <w:p w:rsidR="00252B38" w:rsidRDefault="008C6885">
      <w:pPr>
        <w:spacing w:before="60" w:after="60" w:line="288" w:lineRule="auto"/>
        <w:jc w:val="both"/>
        <w:rPr>
          <w:b/>
          <w:sz w:val="22"/>
          <w:szCs w:val="22"/>
          <w:lang w:val="en-GB"/>
        </w:rPr>
      </w:pPr>
      <w:r>
        <w:rPr>
          <w:b/>
          <w:bCs/>
          <w:iCs/>
          <w:sz w:val="22"/>
          <w:szCs w:val="22"/>
          <w:lang w:val="en-GB"/>
        </w:rPr>
        <w:t xml:space="preserve">Priority 1.1 – Institutional cooperation in the educational field for increasing access to education and quality of education </w:t>
      </w:r>
    </w:p>
    <w:tbl>
      <w:tblPr>
        <w:tblW w:w="10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4097"/>
        <w:gridCol w:w="1745"/>
        <w:gridCol w:w="2165"/>
        <w:gridCol w:w="1745"/>
      </w:tblGrid>
      <w:tr w:rsidR="00252B38">
        <w:trPr>
          <w:jc w:val="center"/>
        </w:trPr>
        <w:tc>
          <w:tcPr>
            <w:tcW w:w="571"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 xml:space="preserve">No. </w:t>
            </w:r>
          </w:p>
        </w:tc>
        <w:tc>
          <w:tcPr>
            <w:tcW w:w="4097"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 xml:space="preserve">Indicative activities </w:t>
            </w:r>
          </w:p>
        </w:tc>
        <w:tc>
          <w:tcPr>
            <w:tcW w:w="1745"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Environmental aspects and</w:t>
            </w:r>
          </w:p>
          <w:p w:rsidR="00252B38" w:rsidRDefault="008C6885">
            <w:pPr>
              <w:rPr>
                <w:rFonts w:eastAsia="Calibri" w:cs="Arial"/>
                <w:b/>
                <w:sz w:val="22"/>
                <w:szCs w:val="22"/>
                <w:lang w:val="en-GB" w:eastAsia="en-US"/>
              </w:rPr>
            </w:pPr>
            <w:r>
              <w:rPr>
                <w:rFonts w:eastAsia="Calibri" w:cs="Arial"/>
                <w:b/>
                <w:sz w:val="22"/>
                <w:szCs w:val="22"/>
                <w:lang w:val="en-GB" w:eastAsia="en-US"/>
              </w:rPr>
              <w:t>objective</w:t>
            </w:r>
            <w:r w:rsidR="00F86820">
              <w:rPr>
                <w:rFonts w:eastAsia="Calibri" w:cs="Arial"/>
                <w:b/>
                <w:sz w:val="22"/>
                <w:szCs w:val="22"/>
                <w:lang w:val="en-GB" w:eastAsia="en-US"/>
              </w:rPr>
              <w:t>s</w:t>
            </w:r>
            <w:r>
              <w:rPr>
                <w:rFonts w:eastAsia="Calibri" w:cs="Arial"/>
                <w:b/>
                <w:sz w:val="22"/>
                <w:szCs w:val="22"/>
                <w:lang w:val="en-GB" w:eastAsia="en-US"/>
              </w:rPr>
              <w:t xml:space="preserve"> considered</w:t>
            </w:r>
          </w:p>
        </w:tc>
        <w:tc>
          <w:tcPr>
            <w:tcW w:w="2165"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Potential impact</w:t>
            </w:r>
          </w:p>
          <w:p w:rsidR="00252B38" w:rsidRDefault="00252B38">
            <w:pPr>
              <w:rPr>
                <w:rFonts w:eastAsia="Calibri" w:cs="Arial"/>
                <w:b/>
                <w:sz w:val="22"/>
                <w:szCs w:val="22"/>
                <w:lang w:val="en-GB" w:eastAsia="en-US"/>
              </w:rPr>
            </w:pPr>
          </w:p>
        </w:tc>
        <w:tc>
          <w:tcPr>
            <w:tcW w:w="1745" w:type="dxa"/>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Environmental assessment</w:t>
            </w:r>
          </w:p>
        </w:tc>
      </w:tr>
      <w:tr w:rsidR="00252B38">
        <w:trPr>
          <w:jc w:val="center"/>
        </w:trPr>
        <w:tc>
          <w:tcPr>
            <w:tcW w:w="571"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1.</w:t>
            </w:r>
          </w:p>
        </w:tc>
        <w:tc>
          <w:tcPr>
            <w:tcW w:w="4097" w:type="dxa"/>
            <w:shd w:val="clear" w:color="auto" w:fill="auto"/>
          </w:tcPr>
          <w:p w:rsidR="00252B38" w:rsidRDefault="008C6885">
            <w:pPr>
              <w:jc w:val="both"/>
              <w:rPr>
                <w:rFonts w:eastAsia="Calibri" w:cs="Arial"/>
                <w:sz w:val="22"/>
                <w:szCs w:val="22"/>
                <w:lang w:val="en-GB" w:eastAsia="en-US"/>
              </w:rPr>
            </w:pPr>
            <w:r>
              <w:rPr>
                <w:rFonts w:eastAsia="Calibri" w:cs="Arial"/>
                <w:sz w:val="22"/>
                <w:szCs w:val="22"/>
                <w:lang w:val="en-GB" w:eastAsia="en-US"/>
              </w:rPr>
              <w:t xml:space="preserve">Joint planning and joint development of educational strategies; </w:t>
            </w:r>
          </w:p>
        </w:tc>
        <w:tc>
          <w:tcPr>
            <w:tcW w:w="1745"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Is not the case</w:t>
            </w:r>
          </w:p>
        </w:tc>
        <w:tc>
          <w:tcPr>
            <w:tcW w:w="2165"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Indirect</w:t>
            </w:r>
          </w:p>
        </w:tc>
        <w:tc>
          <w:tcPr>
            <w:tcW w:w="1745" w:type="dxa"/>
            <w:vAlign w:val="center"/>
          </w:tcPr>
          <w:p w:rsidR="00252B38" w:rsidRDefault="008C6885">
            <w:pPr>
              <w:jc w:val="center"/>
              <w:rPr>
                <w:rFonts w:eastAsia="Calibri" w:cs="Arial"/>
                <w:sz w:val="22"/>
                <w:szCs w:val="22"/>
                <w:lang w:val="en-GB" w:eastAsia="en-US"/>
              </w:rPr>
            </w:pPr>
            <w:r>
              <w:rPr>
                <w:rFonts w:eastAsia="Calibri" w:cs="Arial"/>
                <w:sz w:val="22"/>
                <w:szCs w:val="22"/>
                <w:lang w:val="en-GB" w:eastAsia="en-US"/>
              </w:rPr>
              <w:t>Neutral</w:t>
            </w:r>
          </w:p>
        </w:tc>
      </w:tr>
      <w:tr w:rsidR="00252B38">
        <w:trPr>
          <w:jc w:val="center"/>
        </w:trPr>
        <w:tc>
          <w:tcPr>
            <w:tcW w:w="571" w:type="dxa"/>
            <w:vMerge w:val="restart"/>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2.</w:t>
            </w:r>
          </w:p>
        </w:tc>
        <w:tc>
          <w:tcPr>
            <w:tcW w:w="4097" w:type="dxa"/>
            <w:shd w:val="clear" w:color="auto" w:fill="auto"/>
          </w:tcPr>
          <w:p w:rsidR="00252B38" w:rsidRDefault="008C6885">
            <w:pPr>
              <w:jc w:val="both"/>
              <w:rPr>
                <w:rFonts w:eastAsia="Calibri" w:cs="Arial"/>
                <w:sz w:val="22"/>
                <w:szCs w:val="22"/>
                <w:lang w:val="en-GB" w:eastAsia="en-US"/>
              </w:rPr>
            </w:pPr>
            <w:r>
              <w:rPr>
                <w:rFonts w:eastAsia="Calibri" w:cs="Arial"/>
                <w:sz w:val="22"/>
                <w:szCs w:val="22"/>
                <w:lang w:val="en-GB" w:eastAsia="en-US"/>
              </w:rPr>
              <w:t>Exchanges of experience, teacher exchanges, transfer of good practices between institutions from both sides of the border for increasing the effectiveness of education through the diversification of professional training programs for employees in the education system in areas such as:</w:t>
            </w:r>
          </w:p>
        </w:tc>
        <w:tc>
          <w:tcPr>
            <w:tcW w:w="1745" w:type="dxa"/>
            <w:shd w:val="clear" w:color="auto" w:fill="auto"/>
          </w:tcPr>
          <w:p w:rsidR="00252B38" w:rsidRDefault="00252B38">
            <w:pPr>
              <w:rPr>
                <w:rFonts w:eastAsia="Calibri" w:cs="Arial"/>
                <w:sz w:val="22"/>
                <w:szCs w:val="22"/>
                <w:lang w:val="en-GB" w:eastAsia="en-US"/>
              </w:rPr>
            </w:pPr>
          </w:p>
        </w:tc>
        <w:tc>
          <w:tcPr>
            <w:tcW w:w="2165" w:type="dxa"/>
            <w:shd w:val="clear" w:color="auto" w:fill="auto"/>
          </w:tcPr>
          <w:p w:rsidR="00252B38" w:rsidRDefault="00252B38">
            <w:pPr>
              <w:rPr>
                <w:rFonts w:eastAsia="Calibri" w:cs="Arial"/>
                <w:sz w:val="22"/>
                <w:szCs w:val="22"/>
                <w:lang w:val="en-GB" w:eastAsia="en-US"/>
              </w:rPr>
            </w:pPr>
          </w:p>
        </w:tc>
        <w:tc>
          <w:tcPr>
            <w:tcW w:w="1745"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252B38">
        <w:trPr>
          <w:jc w:val="center"/>
        </w:trPr>
        <w:tc>
          <w:tcPr>
            <w:tcW w:w="571" w:type="dxa"/>
            <w:vMerge/>
            <w:shd w:val="clear" w:color="auto" w:fill="auto"/>
          </w:tcPr>
          <w:p w:rsidR="00252B38" w:rsidRDefault="00252B38">
            <w:pPr>
              <w:rPr>
                <w:rFonts w:cs="Arial"/>
                <w:sz w:val="22"/>
                <w:szCs w:val="22"/>
              </w:rPr>
            </w:pPr>
          </w:p>
        </w:tc>
        <w:tc>
          <w:tcPr>
            <w:tcW w:w="4097" w:type="dxa"/>
            <w:shd w:val="clear" w:color="auto" w:fill="auto"/>
          </w:tcPr>
          <w:p w:rsidR="00252B38" w:rsidRDefault="008C6885">
            <w:pPr>
              <w:jc w:val="both"/>
              <w:rPr>
                <w:rFonts w:cs="Arial"/>
                <w:sz w:val="22"/>
                <w:szCs w:val="22"/>
              </w:rPr>
            </w:pPr>
            <w:r>
              <w:rPr>
                <w:rFonts w:eastAsia="Calibri" w:cs="Arial"/>
                <w:sz w:val="22"/>
                <w:szCs w:val="22"/>
                <w:lang w:val="en-GB" w:eastAsia="en-US"/>
              </w:rPr>
              <w:t>- School development, school management, developing the relation between schools and communities;</w:t>
            </w:r>
          </w:p>
        </w:tc>
        <w:tc>
          <w:tcPr>
            <w:tcW w:w="1745" w:type="dxa"/>
            <w:shd w:val="clear" w:color="auto" w:fill="auto"/>
            <w:vAlign w:val="center"/>
          </w:tcPr>
          <w:p w:rsidR="00252B38" w:rsidRDefault="008C6885">
            <w:pPr>
              <w:rPr>
                <w:rFonts w:cs="Arial"/>
                <w:sz w:val="22"/>
                <w:szCs w:val="22"/>
              </w:rPr>
            </w:pPr>
            <w:r>
              <w:rPr>
                <w:rFonts w:eastAsia="Calibri" w:cs="Arial"/>
                <w:sz w:val="22"/>
                <w:szCs w:val="22"/>
                <w:lang w:val="en-GB" w:eastAsia="en-US"/>
              </w:rPr>
              <w:t>Is not the case</w:t>
            </w:r>
          </w:p>
        </w:tc>
        <w:tc>
          <w:tcPr>
            <w:tcW w:w="2165" w:type="dxa"/>
            <w:shd w:val="clear" w:color="auto" w:fill="auto"/>
            <w:vAlign w:val="center"/>
          </w:tcPr>
          <w:p w:rsidR="00252B38" w:rsidRDefault="008C6885">
            <w:pPr>
              <w:rPr>
                <w:rFonts w:cs="Arial"/>
                <w:sz w:val="22"/>
                <w:szCs w:val="22"/>
              </w:rPr>
            </w:pPr>
            <w:r>
              <w:rPr>
                <w:rFonts w:eastAsia="Calibri" w:cs="Arial"/>
                <w:sz w:val="22"/>
                <w:szCs w:val="22"/>
                <w:lang w:val="en-GB" w:eastAsia="en-US"/>
              </w:rPr>
              <w:t>Indirect</w:t>
            </w:r>
          </w:p>
        </w:tc>
        <w:tc>
          <w:tcPr>
            <w:tcW w:w="1745"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252B38">
        <w:trPr>
          <w:jc w:val="center"/>
        </w:trPr>
        <w:tc>
          <w:tcPr>
            <w:tcW w:w="571" w:type="dxa"/>
            <w:vMerge/>
            <w:shd w:val="clear" w:color="auto" w:fill="auto"/>
          </w:tcPr>
          <w:p w:rsidR="00252B38" w:rsidRDefault="00252B38">
            <w:pPr>
              <w:rPr>
                <w:rFonts w:cs="Arial"/>
                <w:sz w:val="22"/>
                <w:szCs w:val="22"/>
              </w:rPr>
            </w:pPr>
          </w:p>
        </w:tc>
        <w:tc>
          <w:tcPr>
            <w:tcW w:w="4097" w:type="dxa"/>
            <w:shd w:val="clear" w:color="auto" w:fill="auto"/>
          </w:tcPr>
          <w:p w:rsidR="00252B38" w:rsidRDefault="008C6885">
            <w:pPr>
              <w:jc w:val="both"/>
              <w:rPr>
                <w:rFonts w:cs="Arial"/>
                <w:sz w:val="22"/>
                <w:szCs w:val="22"/>
              </w:rPr>
            </w:pPr>
            <w:r>
              <w:rPr>
                <w:rFonts w:eastAsia="Calibri" w:cs="Arial"/>
                <w:sz w:val="22"/>
                <w:szCs w:val="22"/>
                <w:lang w:val="en-GB" w:eastAsia="en-US"/>
              </w:rPr>
              <w:t xml:space="preserve">- Developing and applying innovative educational methods, for increasing teaching skills  to facilitate and motivate students to perform; </w:t>
            </w:r>
          </w:p>
        </w:tc>
        <w:tc>
          <w:tcPr>
            <w:tcW w:w="1745" w:type="dxa"/>
            <w:shd w:val="clear" w:color="auto" w:fill="auto"/>
            <w:vAlign w:val="center"/>
          </w:tcPr>
          <w:p w:rsidR="00252B38" w:rsidRDefault="008C6885">
            <w:pPr>
              <w:rPr>
                <w:rFonts w:cs="Arial"/>
                <w:sz w:val="22"/>
                <w:szCs w:val="22"/>
              </w:rPr>
            </w:pPr>
            <w:r>
              <w:rPr>
                <w:rFonts w:eastAsia="Calibri" w:cs="Arial"/>
                <w:sz w:val="22"/>
                <w:szCs w:val="22"/>
                <w:lang w:val="en-GB" w:eastAsia="en-US"/>
              </w:rPr>
              <w:t>Is not the case</w:t>
            </w:r>
          </w:p>
        </w:tc>
        <w:tc>
          <w:tcPr>
            <w:tcW w:w="2165" w:type="dxa"/>
            <w:shd w:val="clear" w:color="auto" w:fill="auto"/>
            <w:vAlign w:val="center"/>
          </w:tcPr>
          <w:p w:rsidR="00252B38" w:rsidRDefault="008C6885">
            <w:pPr>
              <w:rPr>
                <w:rFonts w:cs="Arial"/>
                <w:sz w:val="22"/>
                <w:szCs w:val="22"/>
              </w:rPr>
            </w:pPr>
            <w:r>
              <w:rPr>
                <w:rFonts w:eastAsia="Calibri" w:cs="Arial"/>
                <w:sz w:val="22"/>
                <w:szCs w:val="22"/>
                <w:lang w:val="en-GB" w:eastAsia="en-US"/>
              </w:rPr>
              <w:t>Indirect</w:t>
            </w:r>
          </w:p>
        </w:tc>
        <w:tc>
          <w:tcPr>
            <w:tcW w:w="1745"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252B38">
        <w:trPr>
          <w:jc w:val="center"/>
        </w:trPr>
        <w:tc>
          <w:tcPr>
            <w:tcW w:w="571"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3.</w:t>
            </w:r>
          </w:p>
        </w:tc>
        <w:tc>
          <w:tcPr>
            <w:tcW w:w="4097" w:type="dxa"/>
            <w:shd w:val="clear" w:color="auto" w:fill="auto"/>
          </w:tcPr>
          <w:p w:rsidR="00252B38" w:rsidRDefault="008C6885">
            <w:pPr>
              <w:jc w:val="both"/>
              <w:rPr>
                <w:rFonts w:eastAsia="Calibri" w:cs="Arial"/>
                <w:sz w:val="22"/>
                <w:szCs w:val="22"/>
                <w:lang w:val="en-GB" w:eastAsia="en-US"/>
              </w:rPr>
            </w:pPr>
            <w:r>
              <w:rPr>
                <w:rFonts w:eastAsia="Calibri" w:cs="Arial"/>
                <w:sz w:val="22"/>
                <w:szCs w:val="22"/>
                <w:lang w:val="en-GB" w:eastAsia="en-US"/>
              </w:rPr>
              <w:t>Developing specific joint programs of entrepreneurship education, programmes that stimulate creativity, innovation and active citizenship;</w:t>
            </w:r>
          </w:p>
        </w:tc>
        <w:tc>
          <w:tcPr>
            <w:tcW w:w="1745"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Is not the case</w:t>
            </w:r>
          </w:p>
        </w:tc>
        <w:tc>
          <w:tcPr>
            <w:tcW w:w="2165" w:type="dxa"/>
            <w:shd w:val="clear" w:color="auto" w:fill="auto"/>
            <w:vAlign w:val="center"/>
          </w:tcPr>
          <w:p w:rsidR="00252B38" w:rsidRDefault="008C6885">
            <w:pPr>
              <w:jc w:val="center"/>
              <w:rPr>
                <w:rFonts w:eastAsia="Calibri" w:cs="Arial"/>
                <w:sz w:val="22"/>
                <w:szCs w:val="22"/>
                <w:lang w:eastAsia="en-US"/>
              </w:rPr>
            </w:pPr>
            <w:r>
              <w:rPr>
                <w:rFonts w:eastAsia="Calibri" w:cs="Arial"/>
                <w:sz w:val="22"/>
                <w:szCs w:val="22"/>
                <w:lang w:val="en-GB" w:eastAsia="en-US"/>
              </w:rPr>
              <w:t>Indirec</w:t>
            </w:r>
          </w:p>
        </w:tc>
        <w:tc>
          <w:tcPr>
            <w:tcW w:w="1745"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252B38">
        <w:trPr>
          <w:jc w:val="center"/>
        </w:trPr>
        <w:tc>
          <w:tcPr>
            <w:tcW w:w="571"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4.</w:t>
            </w:r>
          </w:p>
        </w:tc>
        <w:tc>
          <w:tcPr>
            <w:tcW w:w="4097" w:type="dxa"/>
            <w:shd w:val="clear" w:color="auto" w:fill="auto"/>
          </w:tcPr>
          <w:p w:rsidR="00252B38" w:rsidRDefault="008C6885">
            <w:pPr>
              <w:jc w:val="both"/>
              <w:rPr>
                <w:rFonts w:eastAsia="Calibri" w:cs="Arial"/>
                <w:sz w:val="22"/>
                <w:szCs w:val="22"/>
                <w:lang w:val="en-GB" w:eastAsia="en-US"/>
              </w:rPr>
            </w:pPr>
            <w:r>
              <w:rPr>
                <w:rFonts w:eastAsia="Calibri" w:cs="Arial"/>
                <w:sz w:val="22"/>
                <w:szCs w:val="22"/>
                <w:lang w:val="en-GB" w:eastAsia="en-US"/>
              </w:rPr>
              <w:t xml:space="preserve">Rehabilitation/modernization/ extension/ equipment procurement for </w:t>
            </w:r>
            <w:r>
              <w:rPr>
                <w:rFonts w:eastAsia="Calibri" w:cs="Arial"/>
                <w:sz w:val="22"/>
                <w:szCs w:val="22"/>
                <w:lang w:val="en-GB" w:eastAsia="en-US"/>
              </w:rPr>
              <w:lastRenderedPageBreak/>
              <w:t>the educational infrastructure to provide the necessary material preconditions of a quality educational process and increase the participation in the educational processes;</w:t>
            </w:r>
          </w:p>
        </w:tc>
        <w:tc>
          <w:tcPr>
            <w:tcW w:w="1745"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lastRenderedPageBreak/>
              <w:t xml:space="preserve">Efficiency Waste </w:t>
            </w:r>
            <w:r>
              <w:rPr>
                <w:rFonts w:eastAsia="Calibri" w:cs="Arial"/>
                <w:sz w:val="22"/>
                <w:szCs w:val="22"/>
                <w:lang w:val="en-GB" w:eastAsia="en-US"/>
              </w:rPr>
              <w:lastRenderedPageBreak/>
              <w:t>management</w:t>
            </w:r>
          </w:p>
          <w:p w:rsidR="00252B38" w:rsidRDefault="00252B38">
            <w:pPr>
              <w:rPr>
                <w:rFonts w:eastAsia="Calibri" w:cs="Arial"/>
                <w:sz w:val="22"/>
                <w:szCs w:val="22"/>
                <w:lang w:val="en-GB" w:eastAsia="en-US"/>
              </w:rPr>
            </w:pPr>
          </w:p>
        </w:tc>
        <w:tc>
          <w:tcPr>
            <w:tcW w:w="2165"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lastRenderedPageBreak/>
              <w:t>Positive</w:t>
            </w:r>
          </w:p>
          <w:p w:rsidR="00252B38" w:rsidRDefault="008C6885">
            <w:pPr>
              <w:rPr>
                <w:rFonts w:eastAsia="Calibri" w:cs="Arial"/>
                <w:sz w:val="22"/>
                <w:szCs w:val="22"/>
                <w:lang w:val="en-GB" w:eastAsia="en-US"/>
              </w:rPr>
            </w:pPr>
            <w:r>
              <w:rPr>
                <w:rFonts w:eastAsia="Calibri" w:cs="Arial"/>
                <w:sz w:val="22"/>
                <w:szCs w:val="22"/>
                <w:lang w:val="en-GB" w:eastAsia="en-US"/>
              </w:rPr>
              <w:t xml:space="preserve">Reduced </w:t>
            </w:r>
            <w:r>
              <w:rPr>
                <w:rFonts w:eastAsia="Calibri" w:cs="Arial"/>
                <w:sz w:val="22"/>
                <w:szCs w:val="22"/>
                <w:lang w:val="en-GB" w:eastAsia="en-US"/>
              </w:rPr>
              <w:lastRenderedPageBreak/>
              <w:t>consumption of power raw material, hazardous substances</w:t>
            </w:r>
          </w:p>
          <w:p w:rsidR="00252B38" w:rsidRDefault="008C6885">
            <w:pPr>
              <w:rPr>
                <w:rFonts w:eastAsia="Calibri" w:cs="Arial"/>
                <w:sz w:val="22"/>
                <w:szCs w:val="22"/>
                <w:lang w:val="en-GB" w:eastAsia="en-US"/>
              </w:rPr>
            </w:pPr>
            <w:r>
              <w:rPr>
                <w:rFonts w:eastAsia="Calibri" w:cs="Arial"/>
                <w:sz w:val="22"/>
                <w:szCs w:val="22"/>
                <w:lang w:val="en-GB" w:eastAsia="en-US"/>
              </w:rPr>
              <w:t xml:space="preserve">Resulted waste reused/ recycling </w:t>
            </w:r>
          </w:p>
        </w:tc>
        <w:tc>
          <w:tcPr>
            <w:tcW w:w="1745"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lastRenderedPageBreak/>
              <w:t>Neutral</w:t>
            </w:r>
          </w:p>
        </w:tc>
      </w:tr>
      <w:tr w:rsidR="00252B38">
        <w:trPr>
          <w:jc w:val="center"/>
        </w:trPr>
        <w:tc>
          <w:tcPr>
            <w:tcW w:w="571" w:type="dxa"/>
            <w:vMerge w:val="restart"/>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lastRenderedPageBreak/>
              <w:t>5.</w:t>
            </w:r>
          </w:p>
        </w:tc>
        <w:tc>
          <w:tcPr>
            <w:tcW w:w="4097" w:type="dxa"/>
            <w:shd w:val="clear" w:color="auto" w:fill="auto"/>
          </w:tcPr>
          <w:p w:rsidR="00252B38" w:rsidRDefault="008C6885">
            <w:pPr>
              <w:jc w:val="both"/>
              <w:rPr>
                <w:rFonts w:eastAsia="Calibri" w:cs="Arial"/>
                <w:sz w:val="22"/>
                <w:szCs w:val="22"/>
                <w:lang w:val="en-GB" w:eastAsia="en-US"/>
              </w:rPr>
            </w:pPr>
            <w:r>
              <w:rPr>
                <w:rFonts w:eastAsia="Calibri" w:cs="Arial"/>
                <w:sz w:val="22"/>
                <w:szCs w:val="22"/>
                <w:lang w:val="en-GB" w:eastAsia="en-US"/>
              </w:rPr>
              <w:t>Development and implementation of partnerships between education institutions from both sides of the border to:</w:t>
            </w:r>
          </w:p>
        </w:tc>
        <w:tc>
          <w:tcPr>
            <w:tcW w:w="1745" w:type="dxa"/>
            <w:shd w:val="clear" w:color="auto" w:fill="auto"/>
          </w:tcPr>
          <w:p w:rsidR="00252B38" w:rsidRDefault="00252B38">
            <w:pPr>
              <w:rPr>
                <w:rFonts w:eastAsia="Calibri" w:cs="Arial"/>
                <w:sz w:val="22"/>
                <w:szCs w:val="22"/>
                <w:lang w:val="en-GB" w:eastAsia="en-US"/>
              </w:rPr>
            </w:pPr>
          </w:p>
        </w:tc>
        <w:tc>
          <w:tcPr>
            <w:tcW w:w="2165" w:type="dxa"/>
            <w:shd w:val="clear" w:color="auto" w:fill="auto"/>
          </w:tcPr>
          <w:p w:rsidR="00252B38" w:rsidRDefault="00252B38">
            <w:pPr>
              <w:rPr>
                <w:rFonts w:eastAsia="Calibri" w:cs="Arial"/>
                <w:sz w:val="22"/>
                <w:szCs w:val="22"/>
                <w:lang w:val="en-GB" w:eastAsia="en-US"/>
              </w:rPr>
            </w:pPr>
          </w:p>
        </w:tc>
        <w:tc>
          <w:tcPr>
            <w:tcW w:w="1745"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252B38">
        <w:trPr>
          <w:jc w:val="center"/>
        </w:trPr>
        <w:tc>
          <w:tcPr>
            <w:tcW w:w="571" w:type="dxa"/>
            <w:vMerge/>
            <w:shd w:val="clear" w:color="auto" w:fill="auto"/>
          </w:tcPr>
          <w:p w:rsidR="00252B38" w:rsidRDefault="00252B38">
            <w:pPr>
              <w:rPr>
                <w:rFonts w:cs="Arial"/>
                <w:sz w:val="22"/>
                <w:szCs w:val="22"/>
              </w:rPr>
            </w:pPr>
          </w:p>
        </w:tc>
        <w:tc>
          <w:tcPr>
            <w:tcW w:w="4097" w:type="dxa"/>
            <w:shd w:val="clear" w:color="auto" w:fill="auto"/>
          </w:tcPr>
          <w:p w:rsidR="00252B38" w:rsidRDefault="008C6885">
            <w:pPr>
              <w:jc w:val="both"/>
              <w:rPr>
                <w:rFonts w:cs="Arial"/>
                <w:sz w:val="22"/>
                <w:szCs w:val="22"/>
              </w:rPr>
            </w:pPr>
            <w:r>
              <w:rPr>
                <w:rFonts w:eastAsia="Calibri" w:cs="Arial"/>
                <w:sz w:val="22"/>
                <w:szCs w:val="22"/>
                <w:lang w:val="en-GB" w:eastAsia="en-US"/>
              </w:rPr>
              <w:t>- Prevent and correct early school leaving phenomenon through integrated programs (including awareness campaigns) for prevention of school dropout, encourage school attendance and reintegration of those who have left school early;</w:t>
            </w:r>
          </w:p>
        </w:tc>
        <w:tc>
          <w:tcPr>
            <w:tcW w:w="1745" w:type="dxa"/>
            <w:shd w:val="clear" w:color="auto" w:fill="auto"/>
            <w:vAlign w:val="center"/>
          </w:tcPr>
          <w:p w:rsidR="00252B38" w:rsidRDefault="008C6885">
            <w:pPr>
              <w:rPr>
                <w:rFonts w:cs="Arial"/>
                <w:sz w:val="22"/>
                <w:szCs w:val="22"/>
              </w:rPr>
            </w:pPr>
            <w:r>
              <w:rPr>
                <w:rFonts w:eastAsia="Calibri" w:cs="Arial"/>
                <w:sz w:val="22"/>
                <w:szCs w:val="22"/>
                <w:lang w:val="en-GB" w:eastAsia="en-US"/>
              </w:rPr>
              <w:t>Is not the case</w:t>
            </w:r>
          </w:p>
        </w:tc>
        <w:tc>
          <w:tcPr>
            <w:tcW w:w="2165" w:type="dxa"/>
            <w:shd w:val="clear" w:color="auto" w:fill="auto"/>
            <w:vAlign w:val="center"/>
          </w:tcPr>
          <w:p w:rsidR="00252B38" w:rsidRDefault="008C6885">
            <w:pPr>
              <w:rPr>
                <w:rFonts w:cs="Arial"/>
                <w:sz w:val="22"/>
                <w:szCs w:val="22"/>
              </w:rPr>
            </w:pPr>
            <w:r>
              <w:rPr>
                <w:rFonts w:eastAsia="Calibri" w:cs="Arial"/>
                <w:sz w:val="22"/>
                <w:szCs w:val="22"/>
                <w:lang w:val="en-GB" w:eastAsia="en-US"/>
              </w:rPr>
              <w:t>Indirect</w:t>
            </w:r>
          </w:p>
        </w:tc>
        <w:tc>
          <w:tcPr>
            <w:tcW w:w="1745"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252B38">
        <w:trPr>
          <w:jc w:val="center"/>
        </w:trPr>
        <w:tc>
          <w:tcPr>
            <w:tcW w:w="571" w:type="dxa"/>
            <w:vMerge/>
            <w:shd w:val="clear" w:color="auto" w:fill="auto"/>
          </w:tcPr>
          <w:p w:rsidR="00252B38" w:rsidRDefault="00252B38">
            <w:pPr>
              <w:rPr>
                <w:rFonts w:cs="Arial"/>
                <w:sz w:val="22"/>
                <w:szCs w:val="22"/>
              </w:rPr>
            </w:pPr>
          </w:p>
        </w:tc>
        <w:tc>
          <w:tcPr>
            <w:tcW w:w="4097" w:type="dxa"/>
            <w:shd w:val="clear" w:color="auto" w:fill="auto"/>
          </w:tcPr>
          <w:p w:rsidR="00252B38" w:rsidRDefault="008C6885">
            <w:pPr>
              <w:rPr>
                <w:rFonts w:cs="Arial"/>
                <w:sz w:val="22"/>
                <w:szCs w:val="22"/>
              </w:rPr>
            </w:pPr>
            <w:r>
              <w:rPr>
                <w:rFonts w:eastAsia="Calibri" w:cs="Arial"/>
                <w:sz w:val="22"/>
                <w:szCs w:val="22"/>
                <w:lang w:val="en-GB" w:eastAsia="en-US"/>
              </w:rPr>
              <w:t xml:space="preserve">Develop after school programs and extra-curricular activities; </w:t>
            </w:r>
          </w:p>
        </w:tc>
        <w:tc>
          <w:tcPr>
            <w:tcW w:w="1745" w:type="dxa"/>
            <w:shd w:val="clear" w:color="auto" w:fill="auto"/>
          </w:tcPr>
          <w:p w:rsidR="00252B38" w:rsidRDefault="008C6885">
            <w:pPr>
              <w:rPr>
                <w:rFonts w:cs="Arial"/>
                <w:sz w:val="22"/>
                <w:szCs w:val="22"/>
              </w:rPr>
            </w:pPr>
            <w:r>
              <w:rPr>
                <w:rFonts w:eastAsia="Calibri" w:cs="Arial"/>
                <w:sz w:val="22"/>
                <w:szCs w:val="22"/>
                <w:lang w:val="en-GB" w:eastAsia="en-US"/>
              </w:rPr>
              <w:t>Is not the case</w:t>
            </w:r>
          </w:p>
        </w:tc>
        <w:tc>
          <w:tcPr>
            <w:tcW w:w="2165" w:type="dxa"/>
            <w:shd w:val="clear" w:color="auto" w:fill="auto"/>
            <w:vAlign w:val="center"/>
          </w:tcPr>
          <w:p w:rsidR="00252B38" w:rsidRDefault="008C6885">
            <w:pPr>
              <w:rPr>
                <w:rFonts w:cs="Arial"/>
                <w:sz w:val="22"/>
                <w:szCs w:val="22"/>
              </w:rPr>
            </w:pPr>
            <w:r>
              <w:rPr>
                <w:rFonts w:eastAsia="Calibri" w:cs="Arial"/>
                <w:sz w:val="22"/>
                <w:szCs w:val="22"/>
                <w:lang w:val="en-GB" w:eastAsia="en-US"/>
              </w:rPr>
              <w:t>Indirect</w:t>
            </w:r>
          </w:p>
        </w:tc>
        <w:tc>
          <w:tcPr>
            <w:tcW w:w="1745"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252B38">
        <w:trPr>
          <w:jc w:val="center"/>
        </w:trPr>
        <w:tc>
          <w:tcPr>
            <w:tcW w:w="571" w:type="dxa"/>
            <w:vMerge w:val="restart"/>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6.</w:t>
            </w:r>
          </w:p>
        </w:tc>
        <w:tc>
          <w:tcPr>
            <w:tcW w:w="4097" w:type="dxa"/>
            <w:shd w:val="clear" w:color="auto" w:fill="auto"/>
          </w:tcPr>
          <w:p w:rsidR="00252B38" w:rsidRDefault="008C6885">
            <w:pPr>
              <w:jc w:val="both"/>
              <w:rPr>
                <w:rFonts w:eastAsia="Calibri" w:cs="Arial"/>
                <w:sz w:val="22"/>
                <w:szCs w:val="22"/>
                <w:lang w:val="en-GB" w:eastAsia="en-US"/>
              </w:rPr>
            </w:pPr>
            <w:r>
              <w:rPr>
                <w:rFonts w:eastAsia="Calibri" w:cs="Arial"/>
                <w:sz w:val="22"/>
                <w:szCs w:val="22"/>
                <w:lang w:val="en-GB" w:eastAsia="en-US"/>
              </w:rPr>
              <w:t>Development and implementation of joint actions in support of disadvantaged groups, e.g.:</w:t>
            </w:r>
          </w:p>
        </w:tc>
        <w:tc>
          <w:tcPr>
            <w:tcW w:w="1745" w:type="dxa"/>
            <w:shd w:val="clear" w:color="auto" w:fill="auto"/>
          </w:tcPr>
          <w:p w:rsidR="00252B38" w:rsidRDefault="008C6885">
            <w:pPr>
              <w:rPr>
                <w:rFonts w:eastAsia="Calibri" w:cs="Arial"/>
                <w:sz w:val="22"/>
                <w:szCs w:val="22"/>
                <w:lang w:eastAsia="en-US"/>
              </w:rPr>
            </w:pPr>
            <w:r>
              <w:rPr>
                <w:rFonts w:eastAsia="Calibri" w:cs="Arial"/>
                <w:sz w:val="22"/>
                <w:szCs w:val="22"/>
                <w:lang w:val="en-GB" w:eastAsia="en-US"/>
              </w:rPr>
              <w:t>Is not the case</w:t>
            </w:r>
          </w:p>
        </w:tc>
        <w:tc>
          <w:tcPr>
            <w:tcW w:w="2165" w:type="dxa"/>
            <w:shd w:val="clear" w:color="auto" w:fill="auto"/>
          </w:tcPr>
          <w:p w:rsidR="00252B38" w:rsidRDefault="00252B38">
            <w:pPr>
              <w:rPr>
                <w:rFonts w:eastAsia="Calibri" w:cs="Arial"/>
                <w:sz w:val="22"/>
                <w:szCs w:val="22"/>
                <w:lang w:val="en-GB" w:eastAsia="en-US"/>
              </w:rPr>
            </w:pPr>
          </w:p>
        </w:tc>
        <w:tc>
          <w:tcPr>
            <w:tcW w:w="1745"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rPr>
          <w:jc w:val="center"/>
        </w:trPr>
        <w:tc>
          <w:tcPr>
            <w:tcW w:w="571" w:type="dxa"/>
            <w:vMerge/>
            <w:shd w:val="clear" w:color="auto" w:fill="auto"/>
          </w:tcPr>
          <w:p w:rsidR="00F86820" w:rsidRDefault="00F86820">
            <w:pPr>
              <w:rPr>
                <w:rFonts w:cs="Arial"/>
                <w:sz w:val="22"/>
                <w:szCs w:val="22"/>
              </w:rPr>
            </w:pPr>
          </w:p>
        </w:tc>
        <w:tc>
          <w:tcPr>
            <w:tcW w:w="4097" w:type="dxa"/>
            <w:shd w:val="clear" w:color="auto" w:fill="auto"/>
          </w:tcPr>
          <w:p w:rsidR="00F86820" w:rsidRDefault="00F86820">
            <w:pPr>
              <w:jc w:val="both"/>
              <w:rPr>
                <w:rFonts w:cs="Arial"/>
                <w:sz w:val="22"/>
                <w:szCs w:val="22"/>
              </w:rPr>
            </w:pPr>
            <w:r>
              <w:rPr>
                <w:rFonts w:eastAsia="Calibri" w:cs="Arial"/>
                <w:sz w:val="22"/>
                <w:szCs w:val="22"/>
                <w:lang w:val="en-GB" w:eastAsia="en-US"/>
              </w:rPr>
              <w:t>Integrated support actions addressing children and youth with parents living abroad (which may include inter alia guidance, counselling, after school programmes, educational and cultural activities);</w:t>
            </w:r>
          </w:p>
        </w:tc>
        <w:tc>
          <w:tcPr>
            <w:tcW w:w="1745" w:type="dxa"/>
            <w:shd w:val="clear" w:color="auto" w:fill="auto"/>
          </w:tcPr>
          <w:p w:rsidR="00F86820" w:rsidRDefault="00F86820">
            <w:pPr>
              <w:rPr>
                <w:rFonts w:cs="Arial"/>
                <w:sz w:val="22"/>
                <w:szCs w:val="22"/>
              </w:rPr>
            </w:pPr>
            <w:r>
              <w:rPr>
                <w:rFonts w:eastAsia="Calibri" w:cs="Arial"/>
                <w:sz w:val="22"/>
                <w:szCs w:val="22"/>
                <w:lang w:val="en-GB" w:eastAsia="en-US"/>
              </w:rPr>
              <w:t>Is not the case</w:t>
            </w:r>
          </w:p>
        </w:tc>
        <w:tc>
          <w:tcPr>
            <w:tcW w:w="2165" w:type="dxa"/>
            <w:shd w:val="clear" w:color="auto" w:fill="auto"/>
          </w:tcPr>
          <w:p w:rsidR="00F86820" w:rsidRDefault="00F86820">
            <w:pPr>
              <w:rPr>
                <w:rFonts w:cs="Arial"/>
                <w:sz w:val="22"/>
                <w:szCs w:val="22"/>
              </w:rPr>
            </w:pPr>
            <w:r w:rsidRPr="00D44A0F">
              <w:rPr>
                <w:rFonts w:eastAsia="Calibri" w:cs="Arial"/>
                <w:sz w:val="22"/>
                <w:szCs w:val="22"/>
                <w:lang w:val="en-GB" w:eastAsia="en-US"/>
              </w:rPr>
              <w:t>Indirect</w:t>
            </w:r>
          </w:p>
        </w:tc>
        <w:tc>
          <w:tcPr>
            <w:tcW w:w="1745"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rPr>
          <w:jc w:val="center"/>
        </w:trPr>
        <w:tc>
          <w:tcPr>
            <w:tcW w:w="571" w:type="dxa"/>
            <w:vMerge/>
            <w:shd w:val="clear" w:color="auto" w:fill="auto"/>
          </w:tcPr>
          <w:p w:rsidR="00F86820" w:rsidRDefault="00F86820">
            <w:pPr>
              <w:rPr>
                <w:rFonts w:cs="Arial"/>
                <w:sz w:val="22"/>
                <w:szCs w:val="22"/>
              </w:rPr>
            </w:pPr>
          </w:p>
        </w:tc>
        <w:tc>
          <w:tcPr>
            <w:tcW w:w="4097" w:type="dxa"/>
            <w:shd w:val="clear" w:color="auto" w:fill="auto"/>
          </w:tcPr>
          <w:p w:rsidR="00F86820" w:rsidRDefault="00F86820">
            <w:pPr>
              <w:jc w:val="both"/>
              <w:rPr>
                <w:rFonts w:cs="Arial"/>
                <w:sz w:val="22"/>
                <w:szCs w:val="22"/>
              </w:rPr>
            </w:pPr>
            <w:r>
              <w:rPr>
                <w:rFonts w:eastAsia="Calibri" w:cs="Arial"/>
                <w:sz w:val="22"/>
                <w:szCs w:val="22"/>
                <w:lang w:val="en-GB" w:eastAsia="en-US"/>
              </w:rPr>
              <w:t>Support actions meant to facilitate the social and work integration of people (children, youth and adults) with disabilities*</w:t>
            </w:r>
          </w:p>
        </w:tc>
        <w:tc>
          <w:tcPr>
            <w:tcW w:w="1745" w:type="dxa"/>
            <w:shd w:val="clear" w:color="auto" w:fill="auto"/>
          </w:tcPr>
          <w:p w:rsidR="00F86820" w:rsidRDefault="00F86820">
            <w:pPr>
              <w:rPr>
                <w:rFonts w:cs="Arial"/>
                <w:sz w:val="22"/>
                <w:szCs w:val="22"/>
              </w:rPr>
            </w:pPr>
            <w:r>
              <w:rPr>
                <w:rFonts w:eastAsia="Calibri" w:cs="Arial"/>
                <w:sz w:val="22"/>
                <w:szCs w:val="22"/>
                <w:lang w:val="en-GB" w:eastAsia="en-US"/>
              </w:rPr>
              <w:t>Is not the case</w:t>
            </w:r>
          </w:p>
        </w:tc>
        <w:tc>
          <w:tcPr>
            <w:tcW w:w="2165" w:type="dxa"/>
            <w:shd w:val="clear" w:color="auto" w:fill="auto"/>
          </w:tcPr>
          <w:p w:rsidR="00F86820" w:rsidRDefault="00F86820">
            <w:pPr>
              <w:rPr>
                <w:rFonts w:cs="Arial"/>
                <w:sz w:val="22"/>
                <w:szCs w:val="22"/>
              </w:rPr>
            </w:pPr>
            <w:r w:rsidRPr="00D44A0F">
              <w:rPr>
                <w:rFonts w:eastAsia="Calibri" w:cs="Arial"/>
                <w:sz w:val="22"/>
                <w:szCs w:val="22"/>
                <w:lang w:val="en-GB" w:eastAsia="en-US"/>
              </w:rPr>
              <w:t>Indirect</w:t>
            </w:r>
          </w:p>
        </w:tc>
        <w:tc>
          <w:tcPr>
            <w:tcW w:w="1745"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rPr>
          <w:jc w:val="center"/>
        </w:trPr>
        <w:tc>
          <w:tcPr>
            <w:tcW w:w="571"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7.</w:t>
            </w:r>
          </w:p>
        </w:tc>
        <w:tc>
          <w:tcPr>
            <w:tcW w:w="4097" w:type="dxa"/>
            <w:shd w:val="clear" w:color="auto" w:fill="auto"/>
          </w:tcPr>
          <w:p w:rsidR="00F86820" w:rsidRDefault="00F86820">
            <w:pPr>
              <w:jc w:val="both"/>
              <w:rPr>
                <w:rFonts w:eastAsia="Calibri" w:cs="Arial"/>
                <w:sz w:val="22"/>
                <w:szCs w:val="22"/>
                <w:lang w:val="en-GB" w:eastAsia="en-US"/>
              </w:rPr>
            </w:pPr>
            <w:r>
              <w:rPr>
                <w:rFonts w:eastAsia="Calibri" w:cs="Arial"/>
                <w:sz w:val="22"/>
                <w:szCs w:val="22"/>
                <w:lang w:val="en-GB" w:eastAsia="en-US"/>
              </w:rPr>
              <w:t>Joint support actions for youth for the prevention of drug use, human trafficking, alcohol abuse, etc.</w:t>
            </w:r>
          </w:p>
        </w:tc>
        <w:tc>
          <w:tcPr>
            <w:tcW w:w="1745" w:type="dxa"/>
            <w:shd w:val="clear" w:color="auto" w:fill="auto"/>
          </w:tcPr>
          <w:p w:rsidR="00F86820" w:rsidRDefault="00F86820">
            <w:pPr>
              <w:rPr>
                <w:rFonts w:eastAsia="Calibri" w:cs="Arial"/>
                <w:sz w:val="22"/>
                <w:szCs w:val="22"/>
                <w:lang w:eastAsia="en-US"/>
              </w:rPr>
            </w:pPr>
            <w:r>
              <w:rPr>
                <w:rFonts w:eastAsia="Calibri" w:cs="Arial"/>
                <w:sz w:val="22"/>
                <w:szCs w:val="22"/>
                <w:lang w:val="en-GB" w:eastAsia="en-US"/>
              </w:rPr>
              <w:t>Is not the case</w:t>
            </w:r>
          </w:p>
        </w:tc>
        <w:tc>
          <w:tcPr>
            <w:tcW w:w="2165" w:type="dxa"/>
            <w:shd w:val="clear" w:color="auto" w:fill="auto"/>
          </w:tcPr>
          <w:p w:rsidR="00F86820" w:rsidRDefault="00F86820" w:rsidP="002E01ED">
            <w:pPr>
              <w:rPr>
                <w:rFonts w:eastAsia="Calibri" w:cs="Arial"/>
                <w:sz w:val="22"/>
                <w:szCs w:val="22"/>
                <w:lang w:eastAsia="en-US"/>
              </w:rPr>
            </w:pPr>
            <w:r w:rsidRPr="00D44A0F">
              <w:rPr>
                <w:rFonts w:eastAsia="Calibri" w:cs="Arial"/>
                <w:sz w:val="22"/>
                <w:szCs w:val="22"/>
                <w:lang w:val="en-GB" w:eastAsia="en-US"/>
              </w:rPr>
              <w:t>Indirect</w:t>
            </w:r>
          </w:p>
        </w:tc>
        <w:tc>
          <w:tcPr>
            <w:tcW w:w="1745"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rPr>
          <w:jc w:val="center"/>
        </w:trPr>
        <w:tc>
          <w:tcPr>
            <w:tcW w:w="571"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8.</w:t>
            </w:r>
          </w:p>
        </w:tc>
        <w:tc>
          <w:tcPr>
            <w:tcW w:w="4097"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Development and implementation of cross border actions for enhancing/improving/facilitating job qualifications and competences</w:t>
            </w:r>
          </w:p>
        </w:tc>
        <w:tc>
          <w:tcPr>
            <w:tcW w:w="1745" w:type="dxa"/>
            <w:shd w:val="clear" w:color="auto" w:fill="auto"/>
          </w:tcPr>
          <w:p w:rsidR="00F86820" w:rsidRDefault="00F86820">
            <w:pPr>
              <w:rPr>
                <w:rFonts w:eastAsia="Calibri" w:cs="Arial"/>
                <w:sz w:val="22"/>
                <w:szCs w:val="22"/>
                <w:lang w:eastAsia="en-US"/>
              </w:rPr>
            </w:pPr>
            <w:r>
              <w:rPr>
                <w:rFonts w:eastAsia="Calibri" w:cs="Arial"/>
                <w:sz w:val="22"/>
                <w:szCs w:val="22"/>
                <w:lang w:val="en-GB" w:eastAsia="en-US"/>
              </w:rPr>
              <w:t>Is not the case</w:t>
            </w:r>
          </w:p>
        </w:tc>
        <w:tc>
          <w:tcPr>
            <w:tcW w:w="2165" w:type="dxa"/>
            <w:shd w:val="clear" w:color="auto" w:fill="auto"/>
          </w:tcPr>
          <w:p w:rsidR="00F86820" w:rsidRDefault="00F86820" w:rsidP="002E01ED">
            <w:pPr>
              <w:rPr>
                <w:rFonts w:eastAsia="Calibri" w:cs="Arial"/>
                <w:sz w:val="22"/>
                <w:szCs w:val="22"/>
                <w:lang w:eastAsia="en-US"/>
              </w:rPr>
            </w:pPr>
            <w:r w:rsidRPr="00D44A0F">
              <w:rPr>
                <w:rFonts w:eastAsia="Calibri" w:cs="Arial"/>
                <w:sz w:val="22"/>
                <w:szCs w:val="22"/>
                <w:lang w:val="en-GB" w:eastAsia="en-US"/>
              </w:rPr>
              <w:t>Indirect</w:t>
            </w:r>
          </w:p>
        </w:tc>
        <w:tc>
          <w:tcPr>
            <w:tcW w:w="1745"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bl>
    <w:p w:rsidR="00252B38" w:rsidRDefault="00252B38">
      <w:pPr>
        <w:spacing w:before="60" w:after="60" w:line="288" w:lineRule="auto"/>
      </w:pPr>
    </w:p>
    <w:p w:rsidR="00252B38" w:rsidRDefault="008C6885">
      <w:pPr>
        <w:spacing w:before="60" w:after="60" w:line="288" w:lineRule="auto"/>
        <w:rPr>
          <w:b/>
          <w:bCs/>
          <w:iCs/>
          <w:sz w:val="22"/>
          <w:szCs w:val="22"/>
          <w:lang w:val="en-GB"/>
        </w:rPr>
      </w:pPr>
      <w:r>
        <w:rPr>
          <w:b/>
          <w:sz w:val="22"/>
          <w:szCs w:val="22"/>
          <w:lang w:val="en-GB"/>
        </w:rPr>
        <w:t>Priority 1.2 – Promotion and support to research and innovation</w:t>
      </w:r>
    </w:p>
    <w:tbl>
      <w:tblPr>
        <w:tblW w:w="10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3985"/>
        <w:gridCol w:w="1745"/>
        <w:gridCol w:w="2271"/>
        <w:gridCol w:w="1745"/>
      </w:tblGrid>
      <w:tr w:rsidR="00252B38">
        <w:trPr>
          <w:jc w:val="center"/>
        </w:trPr>
        <w:tc>
          <w:tcPr>
            <w:tcW w:w="571"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 xml:space="preserve">No. </w:t>
            </w:r>
          </w:p>
        </w:tc>
        <w:tc>
          <w:tcPr>
            <w:tcW w:w="3985"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 xml:space="preserve">Indicative activities </w:t>
            </w:r>
          </w:p>
        </w:tc>
        <w:tc>
          <w:tcPr>
            <w:tcW w:w="1745"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Environmental aspects and</w:t>
            </w:r>
          </w:p>
          <w:p w:rsidR="00252B38" w:rsidRDefault="008C6885">
            <w:pPr>
              <w:rPr>
                <w:rFonts w:eastAsia="Calibri" w:cs="Arial"/>
                <w:b/>
                <w:sz w:val="22"/>
                <w:szCs w:val="22"/>
                <w:lang w:val="en-GB" w:eastAsia="en-US"/>
              </w:rPr>
            </w:pPr>
            <w:r>
              <w:rPr>
                <w:rFonts w:eastAsia="Calibri" w:cs="Arial"/>
                <w:b/>
                <w:sz w:val="22"/>
                <w:szCs w:val="22"/>
                <w:lang w:val="en-GB" w:eastAsia="en-US"/>
              </w:rPr>
              <w:t>objective considered</w:t>
            </w:r>
          </w:p>
        </w:tc>
        <w:tc>
          <w:tcPr>
            <w:tcW w:w="2271"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Potential impact</w:t>
            </w:r>
          </w:p>
          <w:p w:rsidR="00252B38" w:rsidRDefault="00252B38">
            <w:pPr>
              <w:rPr>
                <w:rFonts w:eastAsia="Calibri" w:cs="Arial"/>
                <w:b/>
                <w:sz w:val="22"/>
                <w:szCs w:val="22"/>
                <w:lang w:val="en-GB" w:eastAsia="en-US"/>
              </w:rPr>
            </w:pPr>
          </w:p>
        </w:tc>
        <w:tc>
          <w:tcPr>
            <w:tcW w:w="1745" w:type="dxa"/>
            <w:vAlign w:val="center"/>
          </w:tcPr>
          <w:p w:rsidR="00252B38" w:rsidRDefault="008C6885">
            <w:pPr>
              <w:rPr>
                <w:b/>
                <w:sz w:val="22"/>
                <w:szCs w:val="22"/>
              </w:rPr>
            </w:pPr>
            <w:r>
              <w:rPr>
                <w:b/>
                <w:sz w:val="22"/>
                <w:szCs w:val="22"/>
                <w:lang w:val="en-GB"/>
              </w:rPr>
              <w:t>Environmental assessment</w:t>
            </w:r>
          </w:p>
        </w:tc>
      </w:tr>
      <w:tr w:rsidR="00F86820" w:rsidTr="002E01ED">
        <w:trPr>
          <w:jc w:val="center"/>
        </w:trPr>
        <w:tc>
          <w:tcPr>
            <w:tcW w:w="571"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1.</w:t>
            </w:r>
          </w:p>
        </w:tc>
        <w:tc>
          <w:tcPr>
            <w:tcW w:w="3985" w:type="dxa"/>
            <w:shd w:val="clear" w:color="auto" w:fill="auto"/>
          </w:tcPr>
          <w:p w:rsidR="00F86820" w:rsidRDefault="00F86820">
            <w:pPr>
              <w:jc w:val="both"/>
              <w:rPr>
                <w:rFonts w:eastAsia="Calibri" w:cs="Arial"/>
                <w:sz w:val="22"/>
                <w:szCs w:val="22"/>
                <w:lang w:val="en-GB" w:eastAsia="en-US"/>
              </w:rPr>
            </w:pPr>
            <w:r>
              <w:rPr>
                <w:rFonts w:eastAsia="Calibri" w:cs="Arial"/>
                <w:sz w:val="22"/>
                <w:szCs w:val="22"/>
                <w:lang w:val="en-GB" w:eastAsia="en-US"/>
              </w:rPr>
              <w:t xml:space="preserve">Development of partnerships/networking between universities for joint development of theoretical research  </w:t>
            </w:r>
          </w:p>
        </w:tc>
        <w:tc>
          <w:tcPr>
            <w:tcW w:w="1745"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2271" w:type="dxa"/>
            <w:shd w:val="clear" w:color="auto" w:fill="auto"/>
          </w:tcPr>
          <w:p w:rsidR="00F86820" w:rsidRDefault="00F86820">
            <w:pPr>
              <w:jc w:val="center"/>
              <w:rPr>
                <w:rFonts w:eastAsia="Calibri" w:cs="Arial"/>
                <w:sz w:val="22"/>
                <w:szCs w:val="22"/>
                <w:lang w:eastAsia="en-US"/>
              </w:rPr>
            </w:pPr>
            <w:r w:rsidRPr="006477E4">
              <w:rPr>
                <w:rFonts w:eastAsia="Calibri" w:cs="Arial"/>
                <w:sz w:val="22"/>
                <w:szCs w:val="22"/>
                <w:lang w:val="en-GB" w:eastAsia="en-US"/>
              </w:rPr>
              <w:t>Indirect</w:t>
            </w:r>
          </w:p>
        </w:tc>
        <w:tc>
          <w:tcPr>
            <w:tcW w:w="1745" w:type="dxa"/>
            <w:vAlign w:val="center"/>
          </w:tcPr>
          <w:p w:rsidR="00F86820" w:rsidRDefault="00F86820">
            <w:pPr>
              <w:rPr>
                <w:sz w:val="22"/>
                <w:szCs w:val="22"/>
              </w:rPr>
            </w:pPr>
            <w:r>
              <w:rPr>
                <w:sz w:val="22"/>
                <w:szCs w:val="22"/>
                <w:lang w:val="en-GB"/>
              </w:rPr>
              <w:t>Neutral</w:t>
            </w:r>
          </w:p>
        </w:tc>
      </w:tr>
      <w:tr w:rsidR="00F86820" w:rsidTr="002E01ED">
        <w:trPr>
          <w:jc w:val="center"/>
        </w:trPr>
        <w:tc>
          <w:tcPr>
            <w:tcW w:w="571"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2.</w:t>
            </w:r>
          </w:p>
        </w:tc>
        <w:tc>
          <w:tcPr>
            <w:tcW w:w="3985" w:type="dxa"/>
            <w:shd w:val="clear" w:color="auto" w:fill="auto"/>
          </w:tcPr>
          <w:p w:rsidR="00F86820" w:rsidRDefault="00F86820">
            <w:pPr>
              <w:jc w:val="both"/>
              <w:rPr>
                <w:rFonts w:eastAsia="Calibri" w:cs="Arial"/>
                <w:sz w:val="22"/>
                <w:szCs w:val="22"/>
                <w:lang w:val="en-GB" w:eastAsia="en-US"/>
              </w:rPr>
            </w:pPr>
            <w:r>
              <w:rPr>
                <w:rFonts w:eastAsia="Calibri" w:cs="Arial"/>
                <w:sz w:val="22"/>
                <w:szCs w:val="22"/>
                <w:lang w:val="en-GB" w:eastAsia="en-US"/>
              </w:rPr>
              <w:t>Joint research actions and studies (including related equipment procurement) in the field of environment (climate change challenges, preservation of biodiversity, renewable energy and resource efficiency, etc.).</w:t>
            </w:r>
          </w:p>
        </w:tc>
        <w:tc>
          <w:tcPr>
            <w:tcW w:w="1745"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2271" w:type="dxa"/>
            <w:shd w:val="clear" w:color="auto" w:fill="auto"/>
          </w:tcPr>
          <w:p w:rsidR="00F86820" w:rsidRDefault="00F86820">
            <w:pPr>
              <w:jc w:val="center"/>
              <w:rPr>
                <w:rFonts w:eastAsia="Calibri" w:cs="Arial"/>
                <w:sz w:val="22"/>
                <w:szCs w:val="22"/>
                <w:lang w:eastAsia="en-US"/>
              </w:rPr>
            </w:pPr>
            <w:r w:rsidRPr="006477E4">
              <w:rPr>
                <w:rFonts w:eastAsia="Calibri" w:cs="Arial"/>
                <w:sz w:val="22"/>
                <w:szCs w:val="22"/>
                <w:lang w:val="en-GB" w:eastAsia="en-US"/>
              </w:rPr>
              <w:t>Indirect</w:t>
            </w:r>
          </w:p>
        </w:tc>
        <w:tc>
          <w:tcPr>
            <w:tcW w:w="1745" w:type="dxa"/>
            <w:vAlign w:val="center"/>
          </w:tcPr>
          <w:p w:rsidR="00F86820" w:rsidRDefault="00F86820">
            <w:pPr>
              <w:rPr>
                <w:sz w:val="22"/>
                <w:szCs w:val="22"/>
                <w:lang w:val="en-GB"/>
              </w:rPr>
            </w:pPr>
            <w:r>
              <w:rPr>
                <w:sz w:val="22"/>
                <w:szCs w:val="22"/>
                <w:lang w:val="en-GB"/>
              </w:rPr>
              <w:t>Positive</w:t>
            </w:r>
          </w:p>
          <w:p w:rsidR="00F86820" w:rsidRDefault="00F86820">
            <w:pPr>
              <w:rPr>
                <w:sz w:val="22"/>
                <w:szCs w:val="22"/>
              </w:rPr>
            </w:pPr>
            <w:r>
              <w:rPr>
                <w:sz w:val="22"/>
                <w:szCs w:val="22"/>
                <w:lang w:val="en-GB"/>
              </w:rPr>
              <w:t>impact</w:t>
            </w:r>
          </w:p>
        </w:tc>
      </w:tr>
      <w:tr w:rsidR="00252B38">
        <w:trPr>
          <w:jc w:val="center"/>
        </w:trPr>
        <w:tc>
          <w:tcPr>
            <w:tcW w:w="571"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lastRenderedPageBreak/>
              <w:t>3.</w:t>
            </w:r>
          </w:p>
        </w:tc>
        <w:tc>
          <w:tcPr>
            <w:tcW w:w="3985" w:type="dxa"/>
            <w:shd w:val="clear" w:color="auto" w:fill="auto"/>
          </w:tcPr>
          <w:p w:rsidR="00252B38" w:rsidRDefault="008C6885">
            <w:pPr>
              <w:jc w:val="both"/>
              <w:rPr>
                <w:rFonts w:eastAsia="Calibri" w:cs="Arial"/>
                <w:sz w:val="22"/>
                <w:szCs w:val="22"/>
                <w:lang w:val="en-GB" w:eastAsia="en-US"/>
              </w:rPr>
            </w:pPr>
            <w:r>
              <w:rPr>
                <w:rFonts w:eastAsia="Calibri" w:cs="Arial"/>
                <w:sz w:val="22"/>
                <w:szCs w:val="22"/>
                <w:lang w:val="en-GB" w:eastAsia="en-US"/>
              </w:rPr>
              <w:t>Promotion and support for research and innovation through rehabilitation/</w:t>
            </w:r>
          </w:p>
          <w:p w:rsidR="00252B38" w:rsidRDefault="008C6885">
            <w:pPr>
              <w:jc w:val="both"/>
              <w:rPr>
                <w:rFonts w:eastAsia="Calibri" w:cs="Arial"/>
                <w:sz w:val="22"/>
                <w:szCs w:val="22"/>
                <w:lang w:val="en-GB" w:eastAsia="en-US"/>
              </w:rPr>
            </w:pPr>
            <w:r>
              <w:rPr>
                <w:rFonts w:eastAsia="Calibri" w:cs="Arial"/>
                <w:sz w:val="22"/>
                <w:szCs w:val="22"/>
                <w:lang w:val="en-GB" w:eastAsia="en-US"/>
              </w:rPr>
              <w:t xml:space="preserve">modernization/extension of the specific infrastructure including the procurement of related equipment. </w:t>
            </w:r>
          </w:p>
        </w:tc>
        <w:tc>
          <w:tcPr>
            <w:tcW w:w="1745"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Efficiency Waste management</w:t>
            </w:r>
          </w:p>
          <w:p w:rsidR="00252B38" w:rsidRDefault="00252B38">
            <w:pPr>
              <w:rPr>
                <w:rFonts w:eastAsia="Calibri" w:cs="Arial"/>
                <w:sz w:val="22"/>
                <w:szCs w:val="22"/>
                <w:lang w:val="en-GB" w:eastAsia="en-US"/>
              </w:rPr>
            </w:pPr>
          </w:p>
        </w:tc>
        <w:tc>
          <w:tcPr>
            <w:tcW w:w="2271"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Positive</w:t>
            </w:r>
          </w:p>
          <w:p w:rsidR="00252B38" w:rsidRDefault="008C6885">
            <w:pPr>
              <w:rPr>
                <w:rFonts w:eastAsia="Calibri" w:cs="Arial"/>
                <w:sz w:val="22"/>
                <w:szCs w:val="22"/>
                <w:lang w:val="en-GB" w:eastAsia="en-US"/>
              </w:rPr>
            </w:pPr>
            <w:r>
              <w:rPr>
                <w:rFonts w:eastAsia="Calibri" w:cs="Arial"/>
                <w:sz w:val="22"/>
                <w:szCs w:val="22"/>
                <w:lang w:val="en-GB" w:eastAsia="en-US"/>
              </w:rPr>
              <w:t>Reduced consumption of power raw material, hazardous substances</w:t>
            </w:r>
          </w:p>
          <w:p w:rsidR="00252B38" w:rsidRDefault="008C6885">
            <w:pPr>
              <w:rPr>
                <w:rFonts w:eastAsia="Calibri" w:cs="Arial"/>
                <w:sz w:val="22"/>
                <w:szCs w:val="22"/>
                <w:lang w:val="en-GB" w:eastAsia="en-US"/>
              </w:rPr>
            </w:pPr>
            <w:r>
              <w:rPr>
                <w:rFonts w:eastAsia="Calibri" w:cs="Arial"/>
                <w:sz w:val="22"/>
                <w:szCs w:val="22"/>
                <w:lang w:val="en-GB" w:eastAsia="en-US"/>
              </w:rPr>
              <w:t xml:space="preserve">Resulted waste reused/ recycling </w:t>
            </w:r>
          </w:p>
        </w:tc>
        <w:tc>
          <w:tcPr>
            <w:tcW w:w="1745" w:type="dxa"/>
            <w:vAlign w:val="center"/>
          </w:tcPr>
          <w:p w:rsidR="00252B38" w:rsidRDefault="008C6885">
            <w:pPr>
              <w:rPr>
                <w:sz w:val="22"/>
                <w:szCs w:val="22"/>
              </w:rPr>
            </w:pPr>
            <w:r>
              <w:rPr>
                <w:sz w:val="22"/>
                <w:szCs w:val="22"/>
                <w:lang w:val="en-GB"/>
              </w:rPr>
              <w:t>Neutral</w:t>
            </w:r>
          </w:p>
        </w:tc>
      </w:tr>
    </w:tbl>
    <w:p w:rsidR="00252B38" w:rsidRDefault="00252B38">
      <w:pPr>
        <w:spacing w:before="60" w:after="60" w:line="288" w:lineRule="auto"/>
        <w:rPr>
          <w:b/>
        </w:rPr>
      </w:pPr>
    </w:p>
    <w:p w:rsidR="00252B38" w:rsidRDefault="008C6885">
      <w:pPr>
        <w:spacing w:before="60" w:after="60" w:line="288" w:lineRule="auto"/>
        <w:jc w:val="both"/>
        <w:rPr>
          <w:b/>
          <w:sz w:val="22"/>
          <w:szCs w:val="22"/>
          <w:lang w:val="en-GB"/>
        </w:rPr>
      </w:pPr>
      <w:r>
        <w:rPr>
          <w:b/>
          <w:sz w:val="22"/>
          <w:szCs w:val="22"/>
          <w:lang w:val="en-GB"/>
        </w:rPr>
        <w:t>TO3 - PROMOTION OF THE LOCAL CULTURE AND PRESERVATION OF HISTORICAL HERITAGE</w:t>
      </w:r>
    </w:p>
    <w:p w:rsidR="00F86820" w:rsidRPr="002E01ED" w:rsidRDefault="008C6885" w:rsidP="00F86820">
      <w:pPr>
        <w:spacing w:before="60" w:after="60" w:line="288" w:lineRule="auto"/>
        <w:jc w:val="both"/>
        <w:rPr>
          <w:rFonts w:cs="Arial"/>
          <w:bCs/>
          <w:sz w:val="22"/>
          <w:szCs w:val="22"/>
        </w:rPr>
      </w:pPr>
      <w:r>
        <w:rPr>
          <w:b/>
          <w:bCs/>
          <w:i/>
          <w:iCs/>
          <w:sz w:val="22"/>
          <w:szCs w:val="22"/>
          <w:lang w:val="en-GB"/>
        </w:rPr>
        <w:t xml:space="preserve">Objective 2:  </w:t>
      </w:r>
      <w:r w:rsidR="00F86820" w:rsidRPr="002E01ED">
        <w:rPr>
          <w:rFonts w:cs="Arial"/>
          <w:bCs/>
          <w:sz w:val="22"/>
          <w:szCs w:val="22"/>
        </w:rPr>
        <w:t>Preservation of the cultural and historical heritage in the eligible area, support the development of local culture, specific cultural identities and the cultural dialog contributing to an enhanced attractiveness of the eligible area.</w:t>
      </w:r>
    </w:p>
    <w:p w:rsidR="00252B38" w:rsidRDefault="00252B38">
      <w:pPr>
        <w:spacing w:before="60" w:after="60" w:line="288" w:lineRule="auto"/>
        <w:jc w:val="both"/>
        <w:rPr>
          <w:bCs/>
          <w:i/>
          <w:sz w:val="22"/>
          <w:szCs w:val="22"/>
          <w:lang w:val="en-GB"/>
        </w:rPr>
      </w:pPr>
    </w:p>
    <w:p w:rsidR="00252B38" w:rsidRDefault="008C6885">
      <w:pPr>
        <w:spacing w:before="60" w:after="60" w:line="288" w:lineRule="auto"/>
        <w:jc w:val="both"/>
        <w:rPr>
          <w:b/>
          <w:bCs/>
          <w:sz w:val="22"/>
          <w:szCs w:val="22"/>
          <w:lang w:val="en-GB"/>
        </w:rPr>
      </w:pPr>
      <w:r>
        <w:rPr>
          <w:b/>
          <w:bCs/>
          <w:sz w:val="22"/>
          <w:szCs w:val="22"/>
          <w:lang w:val="en-GB"/>
        </w:rPr>
        <w:t xml:space="preserve">Priority 2.1 – Preservation and promotion of the cultural and historical heritage  </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4481"/>
        <w:gridCol w:w="1713"/>
        <w:gridCol w:w="1894"/>
        <w:gridCol w:w="1418"/>
      </w:tblGrid>
      <w:tr w:rsidR="00252B38">
        <w:tc>
          <w:tcPr>
            <w:tcW w:w="559"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No</w:t>
            </w:r>
          </w:p>
        </w:tc>
        <w:tc>
          <w:tcPr>
            <w:tcW w:w="4481"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 xml:space="preserve">Indicative activities </w:t>
            </w:r>
          </w:p>
        </w:tc>
        <w:tc>
          <w:tcPr>
            <w:tcW w:w="1713"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Environmental aspects and</w:t>
            </w:r>
          </w:p>
          <w:p w:rsidR="00252B38" w:rsidRDefault="008C6885">
            <w:pPr>
              <w:rPr>
                <w:rFonts w:eastAsia="Calibri" w:cs="Arial"/>
                <w:b/>
                <w:sz w:val="22"/>
                <w:szCs w:val="22"/>
                <w:lang w:val="en-GB" w:eastAsia="en-US"/>
              </w:rPr>
            </w:pPr>
            <w:r>
              <w:rPr>
                <w:rFonts w:eastAsia="Calibri" w:cs="Arial"/>
                <w:b/>
                <w:sz w:val="22"/>
                <w:szCs w:val="22"/>
                <w:lang w:val="en-GB" w:eastAsia="en-US"/>
              </w:rPr>
              <w:t>objective considered</w:t>
            </w:r>
          </w:p>
        </w:tc>
        <w:tc>
          <w:tcPr>
            <w:tcW w:w="1894"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Potential impact</w:t>
            </w:r>
          </w:p>
          <w:p w:rsidR="00252B38" w:rsidRDefault="00252B38">
            <w:pPr>
              <w:rPr>
                <w:rFonts w:eastAsia="Calibri" w:cs="Arial"/>
                <w:b/>
                <w:sz w:val="22"/>
                <w:szCs w:val="22"/>
                <w:lang w:val="en-GB" w:eastAsia="en-US"/>
              </w:rPr>
            </w:pPr>
          </w:p>
        </w:tc>
        <w:tc>
          <w:tcPr>
            <w:tcW w:w="1418" w:type="dxa"/>
            <w:vAlign w:val="center"/>
          </w:tcPr>
          <w:p w:rsidR="00252B38" w:rsidRDefault="008C6885">
            <w:pPr>
              <w:spacing w:before="60" w:after="60" w:line="288" w:lineRule="auto"/>
              <w:rPr>
                <w:b/>
                <w:sz w:val="22"/>
                <w:szCs w:val="22"/>
              </w:rPr>
            </w:pPr>
            <w:r>
              <w:rPr>
                <w:b/>
                <w:sz w:val="22"/>
                <w:szCs w:val="22"/>
                <w:lang w:val="en-GB"/>
              </w:rPr>
              <w:t>Environmental assessment</w:t>
            </w:r>
          </w:p>
        </w:tc>
      </w:tr>
      <w:tr w:rsidR="00252B38">
        <w:tc>
          <w:tcPr>
            <w:tcW w:w="559"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1.</w:t>
            </w:r>
          </w:p>
        </w:tc>
        <w:tc>
          <w:tcPr>
            <w:tcW w:w="4481" w:type="dxa"/>
            <w:shd w:val="clear" w:color="auto" w:fill="auto"/>
          </w:tcPr>
          <w:p w:rsidR="00252B38" w:rsidRDefault="008C6885">
            <w:pPr>
              <w:jc w:val="both"/>
              <w:rPr>
                <w:rFonts w:eastAsia="Calibri" w:cs="Arial"/>
                <w:bCs/>
                <w:sz w:val="22"/>
                <w:szCs w:val="22"/>
                <w:lang w:val="en-GB" w:eastAsia="en-US"/>
              </w:rPr>
            </w:pPr>
            <w:r>
              <w:rPr>
                <w:rFonts w:eastAsia="EUAlbertina-Regular-Identity-H" w:cs="Arial"/>
                <w:bCs/>
                <w:sz w:val="22"/>
                <w:szCs w:val="22"/>
                <w:lang w:val="en-GB" w:eastAsia="en-US"/>
              </w:rPr>
              <w:t xml:space="preserve">Restoration, conservation, consolidation, protection, security of cultural and historical monuments (including the corresponding access roads), museums, objects and art collections and their joint promotion based on relevant cross-border strategies/concepts; </w:t>
            </w:r>
          </w:p>
        </w:tc>
        <w:tc>
          <w:tcPr>
            <w:tcW w:w="1713"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pPr>
              <w:rPr>
                <w:rFonts w:eastAsia="Calibri" w:cs="Arial"/>
                <w:sz w:val="22"/>
                <w:szCs w:val="22"/>
                <w:lang w:val="en-GB" w:eastAsia="en-US"/>
              </w:rPr>
            </w:pPr>
            <w:r>
              <w:rPr>
                <w:rFonts w:eastAsia="Calibri" w:cs="Arial"/>
                <w:sz w:val="22"/>
                <w:szCs w:val="22"/>
                <w:lang w:val="en-GB" w:eastAsia="en-US"/>
              </w:rPr>
              <w:t>Waste</w:t>
            </w:r>
          </w:p>
          <w:p w:rsidR="00252B38" w:rsidRDefault="008C6885">
            <w:pPr>
              <w:rPr>
                <w:rFonts w:eastAsia="Calibri" w:cs="Arial"/>
                <w:sz w:val="22"/>
                <w:szCs w:val="22"/>
                <w:lang w:val="en-GB" w:eastAsia="en-US"/>
              </w:rPr>
            </w:pPr>
            <w:r>
              <w:rPr>
                <w:rFonts w:eastAsia="Calibri" w:cs="Arial"/>
                <w:sz w:val="22"/>
                <w:szCs w:val="22"/>
                <w:lang w:val="en-GB" w:eastAsia="en-US"/>
              </w:rPr>
              <w:t>Management Biodiversity Landscape</w:t>
            </w:r>
          </w:p>
          <w:p w:rsidR="00252B38" w:rsidRDefault="008C6885">
            <w:pPr>
              <w:rPr>
                <w:rFonts w:eastAsia="Calibri" w:cs="Arial"/>
                <w:sz w:val="22"/>
                <w:szCs w:val="22"/>
                <w:lang w:val="en-GB" w:eastAsia="en-US"/>
              </w:rPr>
            </w:pPr>
            <w:r>
              <w:rPr>
                <w:rFonts w:eastAsia="Calibri" w:cs="Arial"/>
                <w:sz w:val="22"/>
                <w:szCs w:val="22"/>
                <w:lang w:val="en-GB" w:eastAsia="en-US"/>
              </w:rPr>
              <w:t>Cultural heritage</w:t>
            </w:r>
          </w:p>
        </w:tc>
        <w:tc>
          <w:tcPr>
            <w:tcW w:w="1894" w:type="dxa"/>
            <w:shd w:val="clear" w:color="auto" w:fill="auto"/>
          </w:tcPr>
          <w:p w:rsidR="00252B38" w:rsidRDefault="008C6885">
            <w:pPr>
              <w:rPr>
                <w:rFonts w:eastAsia="Calibri" w:cs="Arial"/>
                <w:sz w:val="22"/>
                <w:szCs w:val="22"/>
                <w:lang w:val="en-US" w:eastAsia="en-US"/>
              </w:rPr>
            </w:pPr>
            <w:r>
              <w:rPr>
                <w:rFonts w:eastAsia="Calibri" w:cs="Arial"/>
                <w:sz w:val="22"/>
                <w:szCs w:val="22"/>
                <w:lang w:val="en-US" w:eastAsia="en-US"/>
              </w:rPr>
              <w:t xml:space="preserve">Positive </w:t>
            </w:r>
          </w:p>
          <w:p w:rsidR="00252B38" w:rsidRDefault="008C6885">
            <w:pPr>
              <w:rPr>
                <w:rFonts w:eastAsia="Calibri" w:cs="Arial"/>
                <w:sz w:val="22"/>
                <w:szCs w:val="22"/>
                <w:lang w:val="en-US" w:eastAsia="en-US"/>
              </w:rPr>
            </w:pPr>
            <w:r>
              <w:rPr>
                <w:rFonts w:eastAsia="Calibri" w:cs="Arial"/>
                <w:sz w:val="22"/>
                <w:szCs w:val="22"/>
                <w:lang w:val="en-US" w:eastAsia="en-US"/>
              </w:rPr>
              <w:t>The technolgies should have a minimum impact</w:t>
            </w:r>
          </w:p>
        </w:tc>
        <w:tc>
          <w:tcPr>
            <w:tcW w:w="1418" w:type="dxa"/>
            <w:vAlign w:val="center"/>
          </w:tcPr>
          <w:p w:rsidR="00252B38" w:rsidRDefault="008C6885">
            <w:pPr>
              <w:spacing w:before="60" w:after="60" w:line="288" w:lineRule="auto"/>
              <w:rPr>
                <w:sz w:val="22"/>
                <w:szCs w:val="22"/>
                <w:lang w:val="en-GB"/>
              </w:rPr>
            </w:pPr>
            <w:r>
              <w:rPr>
                <w:sz w:val="22"/>
                <w:szCs w:val="22"/>
                <w:lang w:val="en-GB"/>
              </w:rPr>
              <w:t>Positive</w:t>
            </w:r>
          </w:p>
          <w:p w:rsidR="00252B38" w:rsidRDefault="008C6885">
            <w:pPr>
              <w:spacing w:before="60" w:after="60" w:line="288" w:lineRule="auto"/>
              <w:rPr>
                <w:sz w:val="22"/>
                <w:szCs w:val="22"/>
              </w:rPr>
            </w:pPr>
            <w:r>
              <w:rPr>
                <w:sz w:val="22"/>
                <w:szCs w:val="22"/>
                <w:lang w:val="en-GB"/>
              </w:rPr>
              <w:t>impact</w:t>
            </w:r>
          </w:p>
        </w:tc>
      </w:tr>
      <w:tr w:rsidR="00252B38">
        <w:tc>
          <w:tcPr>
            <w:tcW w:w="559"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2.</w:t>
            </w:r>
          </w:p>
        </w:tc>
        <w:tc>
          <w:tcPr>
            <w:tcW w:w="4481" w:type="dxa"/>
            <w:shd w:val="clear" w:color="auto" w:fill="auto"/>
          </w:tcPr>
          <w:p w:rsidR="00252B38" w:rsidRDefault="008C6885">
            <w:pPr>
              <w:jc w:val="both"/>
              <w:rPr>
                <w:rFonts w:eastAsia="Calibri" w:cs="Arial"/>
                <w:bCs/>
                <w:sz w:val="22"/>
                <w:szCs w:val="22"/>
                <w:lang w:val="en-GB" w:eastAsia="en-US"/>
              </w:rPr>
            </w:pPr>
            <w:r>
              <w:rPr>
                <w:rFonts w:eastAsia="EUAlbertina-Regular-Identity-H" w:cs="Arial"/>
                <w:bCs/>
                <w:sz w:val="22"/>
                <w:szCs w:val="22"/>
                <w:lang w:val="en-GB" w:eastAsia="en-US"/>
              </w:rPr>
              <w:t xml:space="preserve">Preservation, security, and joint valorisation of cultural and historical monuments and objects;   </w:t>
            </w:r>
          </w:p>
        </w:tc>
        <w:tc>
          <w:tcPr>
            <w:tcW w:w="1713"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Eficiency Waste mangement</w:t>
            </w:r>
          </w:p>
          <w:p w:rsidR="00252B38" w:rsidRDefault="00252B38">
            <w:pPr>
              <w:rPr>
                <w:rFonts w:eastAsia="Calibri" w:cs="Arial"/>
                <w:sz w:val="22"/>
                <w:szCs w:val="22"/>
                <w:lang w:val="en-GB" w:eastAsia="en-US"/>
              </w:rPr>
            </w:pPr>
          </w:p>
        </w:tc>
        <w:tc>
          <w:tcPr>
            <w:tcW w:w="1894"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Positive</w:t>
            </w:r>
          </w:p>
          <w:p w:rsidR="00252B38" w:rsidRDefault="008C6885">
            <w:pPr>
              <w:rPr>
                <w:rFonts w:eastAsia="Calibri" w:cs="Arial"/>
                <w:sz w:val="22"/>
                <w:szCs w:val="22"/>
                <w:lang w:val="en-GB" w:eastAsia="en-US"/>
              </w:rPr>
            </w:pPr>
            <w:r>
              <w:rPr>
                <w:rFonts w:eastAsia="Calibri" w:cs="Arial"/>
                <w:sz w:val="22"/>
                <w:szCs w:val="22"/>
                <w:lang w:val="en-GB" w:eastAsia="en-US"/>
              </w:rPr>
              <w:t>Reduced consumption of power raw material, hazardous subtances</w:t>
            </w:r>
          </w:p>
          <w:p w:rsidR="00252B38" w:rsidRDefault="008C6885">
            <w:pPr>
              <w:rPr>
                <w:rFonts w:eastAsia="Calibri" w:cs="Arial"/>
                <w:sz w:val="22"/>
                <w:szCs w:val="22"/>
                <w:lang w:val="en-GB" w:eastAsia="en-US"/>
              </w:rPr>
            </w:pPr>
            <w:r>
              <w:rPr>
                <w:rFonts w:eastAsia="Calibri" w:cs="Arial"/>
                <w:sz w:val="22"/>
                <w:szCs w:val="22"/>
                <w:lang w:val="en-GB" w:eastAsia="en-US"/>
              </w:rPr>
              <w:t xml:space="preserve">Resulted waste reused/ recycling </w:t>
            </w:r>
          </w:p>
        </w:tc>
        <w:tc>
          <w:tcPr>
            <w:tcW w:w="1418" w:type="dxa"/>
            <w:vAlign w:val="center"/>
          </w:tcPr>
          <w:p w:rsidR="00252B38" w:rsidRDefault="008C6885">
            <w:pPr>
              <w:spacing w:before="60" w:after="60" w:line="288" w:lineRule="auto"/>
              <w:rPr>
                <w:sz w:val="22"/>
                <w:szCs w:val="22"/>
              </w:rPr>
            </w:pPr>
            <w:r>
              <w:rPr>
                <w:sz w:val="22"/>
                <w:szCs w:val="22"/>
                <w:lang w:val="en-GB"/>
              </w:rPr>
              <w:t>Neutral</w:t>
            </w:r>
          </w:p>
        </w:tc>
      </w:tr>
      <w:tr w:rsidR="00252B38">
        <w:tc>
          <w:tcPr>
            <w:tcW w:w="559"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3.</w:t>
            </w:r>
          </w:p>
        </w:tc>
        <w:tc>
          <w:tcPr>
            <w:tcW w:w="4481" w:type="dxa"/>
            <w:shd w:val="clear" w:color="auto" w:fill="auto"/>
          </w:tcPr>
          <w:p w:rsidR="00252B38" w:rsidRDefault="008C6885">
            <w:pPr>
              <w:jc w:val="both"/>
              <w:rPr>
                <w:rFonts w:eastAsia="Calibri" w:cs="Arial"/>
                <w:bCs/>
                <w:sz w:val="22"/>
                <w:szCs w:val="22"/>
                <w:lang w:val="en-GB" w:eastAsia="en-US"/>
              </w:rPr>
            </w:pPr>
            <w:r>
              <w:rPr>
                <w:rFonts w:eastAsia="EUAlbertina-Regular-Identity-H" w:cs="Arial"/>
                <w:bCs/>
                <w:sz w:val="22"/>
                <w:szCs w:val="22"/>
                <w:lang w:val="en-GB" w:eastAsia="en-US"/>
              </w:rPr>
              <w:t xml:space="preserve">Cultural institutions networks aiming at the promotion of the cultural and historical heritage </w:t>
            </w:r>
          </w:p>
        </w:tc>
        <w:tc>
          <w:tcPr>
            <w:tcW w:w="1713" w:type="dxa"/>
            <w:shd w:val="clear" w:color="auto" w:fill="auto"/>
            <w:vAlign w:val="center"/>
          </w:tcPr>
          <w:p w:rsidR="00252B38" w:rsidRDefault="008C6885">
            <w:pPr>
              <w:jc w:val="center"/>
              <w:rPr>
                <w:rFonts w:eastAsia="Calibri" w:cs="Arial"/>
                <w:sz w:val="22"/>
                <w:szCs w:val="22"/>
                <w:lang w:eastAsia="en-US"/>
              </w:rPr>
            </w:pPr>
            <w:r>
              <w:rPr>
                <w:rFonts w:eastAsia="Calibri" w:cs="Arial"/>
                <w:sz w:val="22"/>
                <w:szCs w:val="22"/>
                <w:lang w:val="en-GB" w:eastAsia="en-US"/>
              </w:rPr>
              <w:t>Is not the case</w:t>
            </w:r>
          </w:p>
        </w:tc>
        <w:tc>
          <w:tcPr>
            <w:tcW w:w="1894" w:type="dxa"/>
            <w:shd w:val="clear" w:color="auto" w:fill="auto"/>
            <w:vAlign w:val="center"/>
          </w:tcPr>
          <w:p w:rsidR="00252B38" w:rsidRDefault="008C6885" w:rsidP="00F86820">
            <w:pPr>
              <w:jc w:val="center"/>
              <w:rPr>
                <w:rFonts w:eastAsia="Calibri" w:cs="Arial"/>
                <w:sz w:val="22"/>
                <w:szCs w:val="22"/>
                <w:lang w:eastAsia="en-US"/>
              </w:rPr>
            </w:pPr>
            <w:r>
              <w:rPr>
                <w:rFonts w:eastAsia="Calibri" w:cs="Arial"/>
                <w:sz w:val="22"/>
                <w:szCs w:val="22"/>
                <w:lang w:val="en-GB" w:eastAsia="en-US"/>
              </w:rPr>
              <w:t>Indirect</w:t>
            </w:r>
          </w:p>
        </w:tc>
        <w:tc>
          <w:tcPr>
            <w:tcW w:w="1418"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c>
          <w:tcPr>
            <w:tcW w:w="559"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4.</w:t>
            </w:r>
          </w:p>
        </w:tc>
        <w:tc>
          <w:tcPr>
            <w:tcW w:w="4481" w:type="dxa"/>
            <w:shd w:val="clear" w:color="auto" w:fill="auto"/>
          </w:tcPr>
          <w:p w:rsidR="00F86820" w:rsidRDefault="00F86820">
            <w:pPr>
              <w:jc w:val="both"/>
              <w:rPr>
                <w:rFonts w:eastAsia="Calibri" w:cs="Arial"/>
                <w:bCs/>
                <w:sz w:val="22"/>
                <w:szCs w:val="22"/>
                <w:lang w:val="en-GB" w:eastAsia="en-US"/>
              </w:rPr>
            </w:pPr>
            <w:r>
              <w:rPr>
                <w:rFonts w:eastAsia="EUAlbertina-Regular-Identity-H" w:cs="Arial"/>
                <w:bCs/>
                <w:sz w:val="22"/>
                <w:szCs w:val="22"/>
                <w:lang w:val="en-GB" w:eastAsia="en-US"/>
              </w:rPr>
              <w:t>Support for specific and traditional craftsman activities</w:t>
            </w:r>
            <w:r>
              <w:rPr>
                <w:rFonts w:eastAsia="EUAlbertina-Regular-Identity-H" w:cs="Arial"/>
                <w:b/>
                <w:bCs/>
                <w:sz w:val="22"/>
                <w:szCs w:val="22"/>
                <w:lang w:val="en-GB" w:eastAsia="en-US"/>
              </w:rPr>
              <w:t xml:space="preserve">, </w:t>
            </w:r>
            <w:r>
              <w:rPr>
                <w:rFonts w:eastAsia="EUAlbertina-Regular-Identity-H" w:cs="Arial"/>
                <w:bCs/>
                <w:sz w:val="22"/>
                <w:szCs w:val="22"/>
                <w:lang w:val="en-GB" w:eastAsia="en-US"/>
              </w:rPr>
              <w:t xml:space="preserve">important for preserving local culture and identity. </w:t>
            </w:r>
          </w:p>
        </w:tc>
        <w:tc>
          <w:tcPr>
            <w:tcW w:w="1713"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1894" w:type="dxa"/>
            <w:shd w:val="clear" w:color="auto" w:fill="auto"/>
          </w:tcPr>
          <w:p w:rsidR="00F86820" w:rsidRDefault="00F86820">
            <w:pPr>
              <w:jc w:val="center"/>
              <w:rPr>
                <w:rFonts w:eastAsia="Calibri" w:cs="Arial"/>
                <w:sz w:val="22"/>
                <w:szCs w:val="22"/>
                <w:lang w:eastAsia="en-US"/>
              </w:rPr>
            </w:pPr>
            <w:r w:rsidRPr="00106598">
              <w:rPr>
                <w:rFonts w:eastAsia="Calibri" w:cs="Arial"/>
                <w:sz w:val="22"/>
                <w:szCs w:val="22"/>
                <w:lang w:val="en-GB" w:eastAsia="en-US"/>
              </w:rPr>
              <w:t>Indirect</w:t>
            </w:r>
          </w:p>
        </w:tc>
        <w:tc>
          <w:tcPr>
            <w:tcW w:w="1418"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c>
          <w:tcPr>
            <w:tcW w:w="559"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5.</w:t>
            </w:r>
          </w:p>
        </w:tc>
        <w:tc>
          <w:tcPr>
            <w:tcW w:w="4481" w:type="dxa"/>
            <w:shd w:val="clear" w:color="auto" w:fill="auto"/>
          </w:tcPr>
          <w:p w:rsidR="00F86820" w:rsidRDefault="00F86820">
            <w:pPr>
              <w:jc w:val="both"/>
              <w:rPr>
                <w:rFonts w:eastAsia="Calibri" w:cs="Arial"/>
                <w:bCs/>
                <w:sz w:val="22"/>
                <w:szCs w:val="22"/>
                <w:lang w:val="en-GB" w:eastAsia="en-US"/>
              </w:rPr>
            </w:pPr>
            <w:r>
              <w:rPr>
                <w:rFonts w:eastAsia="EUAlbertina-Regular-Identity-H" w:cs="Arial"/>
                <w:bCs/>
                <w:sz w:val="22"/>
                <w:szCs w:val="22"/>
                <w:lang w:val="en-GB" w:eastAsia="en-US"/>
              </w:rPr>
              <w:t>Promotion of specific and traditional activities in the eligible area (including cross border cultural events);</w:t>
            </w:r>
          </w:p>
        </w:tc>
        <w:tc>
          <w:tcPr>
            <w:tcW w:w="1713"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1894" w:type="dxa"/>
            <w:shd w:val="clear" w:color="auto" w:fill="auto"/>
          </w:tcPr>
          <w:p w:rsidR="00F86820" w:rsidRDefault="00F86820">
            <w:pPr>
              <w:jc w:val="center"/>
              <w:rPr>
                <w:rFonts w:eastAsia="Calibri" w:cs="Arial"/>
                <w:sz w:val="22"/>
                <w:szCs w:val="22"/>
                <w:lang w:eastAsia="en-US"/>
              </w:rPr>
            </w:pPr>
            <w:r w:rsidRPr="00106598">
              <w:rPr>
                <w:rFonts w:eastAsia="Calibri" w:cs="Arial"/>
                <w:sz w:val="22"/>
                <w:szCs w:val="22"/>
                <w:lang w:val="en-GB" w:eastAsia="en-US"/>
              </w:rPr>
              <w:t>Indirect</w:t>
            </w:r>
          </w:p>
        </w:tc>
        <w:tc>
          <w:tcPr>
            <w:tcW w:w="1418"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c>
          <w:tcPr>
            <w:tcW w:w="559"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6.</w:t>
            </w:r>
          </w:p>
        </w:tc>
        <w:tc>
          <w:tcPr>
            <w:tcW w:w="4481" w:type="dxa"/>
            <w:shd w:val="clear" w:color="auto" w:fill="auto"/>
          </w:tcPr>
          <w:p w:rsidR="00F86820" w:rsidRDefault="00F86820">
            <w:pPr>
              <w:jc w:val="both"/>
              <w:rPr>
                <w:rFonts w:eastAsia="Calibri" w:cs="Arial"/>
                <w:bCs/>
                <w:sz w:val="22"/>
                <w:szCs w:val="22"/>
                <w:lang w:val="en-GB" w:eastAsia="en-US"/>
              </w:rPr>
            </w:pPr>
            <w:r>
              <w:rPr>
                <w:rFonts w:eastAsia="EUAlbertina-Regular-Identity-H" w:cs="Arial"/>
                <w:bCs/>
                <w:sz w:val="22"/>
                <w:szCs w:val="22"/>
                <w:lang w:val="en-GB" w:eastAsia="en-US"/>
              </w:rPr>
              <w:t xml:space="preserve">Preserving, promoting and developing the cultural and historical heritage, mainly through cultural events with a cross-border dimension; </w:t>
            </w:r>
          </w:p>
        </w:tc>
        <w:tc>
          <w:tcPr>
            <w:tcW w:w="1713"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1894" w:type="dxa"/>
            <w:shd w:val="clear" w:color="auto" w:fill="auto"/>
          </w:tcPr>
          <w:p w:rsidR="00F86820" w:rsidRDefault="00F86820">
            <w:pPr>
              <w:jc w:val="center"/>
              <w:rPr>
                <w:rFonts w:eastAsia="Calibri" w:cs="Arial"/>
                <w:sz w:val="22"/>
                <w:szCs w:val="22"/>
                <w:lang w:eastAsia="en-US"/>
              </w:rPr>
            </w:pPr>
            <w:r w:rsidRPr="00106598">
              <w:rPr>
                <w:rFonts w:eastAsia="Calibri" w:cs="Arial"/>
                <w:sz w:val="22"/>
                <w:szCs w:val="22"/>
                <w:lang w:val="en-GB" w:eastAsia="en-US"/>
              </w:rPr>
              <w:t>Indirect</w:t>
            </w:r>
          </w:p>
        </w:tc>
        <w:tc>
          <w:tcPr>
            <w:tcW w:w="1418"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c>
          <w:tcPr>
            <w:tcW w:w="559"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7.</w:t>
            </w:r>
          </w:p>
        </w:tc>
        <w:tc>
          <w:tcPr>
            <w:tcW w:w="4481" w:type="dxa"/>
            <w:shd w:val="clear" w:color="auto" w:fill="auto"/>
          </w:tcPr>
          <w:p w:rsidR="00F86820" w:rsidRDefault="00F86820">
            <w:pPr>
              <w:jc w:val="both"/>
              <w:rPr>
                <w:rFonts w:eastAsia="Calibri" w:cs="Arial"/>
                <w:bCs/>
                <w:sz w:val="22"/>
                <w:szCs w:val="22"/>
                <w:lang w:val="en-GB" w:eastAsia="en-US"/>
              </w:rPr>
            </w:pPr>
            <w:r>
              <w:rPr>
                <w:rFonts w:eastAsia="EUAlbertina-Regular-Identity-H" w:cs="Arial"/>
                <w:bCs/>
                <w:sz w:val="22"/>
                <w:szCs w:val="22"/>
                <w:lang w:val="en-GB" w:eastAsia="en-US"/>
              </w:rPr>
              <w:t xml:space="preserve">Valorisation of the historical and cultural heritage through developing joint promotion </w:t>
            </w:r>
            <w:r>
              <w:rPr>
                <w:rFonts w:eastAsia="EUAlbertina-Regular-Identity-H" w:cs="Arial"/>
                <w:bCs/>
                <w:sz w:val="22"/>
                <w:szCs w:val="22"/>
                <w:lang w:val="en-GB" w:eastAsia="en-US"/>
              </w:rPr>
              <w:lastRenderedPageBreak/>
              <w:t>strategies, common tourism products and services.</w:t>
            </w:r>
          </w:p>
        </w:tc>
        <w:tc>
          <w:tcPr>
            <w:tcW w:w="1713"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lastRenderedPageBreak/>
              <w:t>Is not the case</w:t>
            </w:r>
          </w:p>
        </w:tc>
        <w:tc>
          <w:tcPr>
            <w:tcW w:w="1894" w:type="dxa"/>
            <w:shd w:val="clear" w:color="auto" w:fill="auto"/>
          </w:tcPr>
          <w:p w:rsidR="00F86820" w:rsidRDefault="00F86820">
            <w:pPr>
              <w:jc w:val="center"/>
              <w:rPr>
                <w:rFonts w:eastAsia="Calibri" w:cs="Arial"/>
                <w:sz w:val="22"/>
                <w:szCs w:val="22"/>
                <w:lang w:eastAsia="en-US"/>
              </w:rPr>
            </w:pPr>
            <w:r w:rsidRPr="00106598">
              <w:rPr>
                <w:rFonts w:eastAsia="Calibri" w:cs="Arial"/>
                <w:sz w:val="22"/>
                <w:szCs w:val="22"/>
                <w:lang w:val="en-GB" w:eastAsia="en-US"/>
              </w:rPr>
              <w:t>Indirect</w:t>
            </w:r>
          </w:p>
        </w:tc>
        <w:tc>
          <w:tcPr>
            <w:tcW w:w="1418"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bl>
    <w:p w:rsidR="00252B38" w:rsidRDefault="00252B38">
      <w:pPr>
        <w:spacing w:before="60" w:after="60" w:line="288" w:lineRule="auto"/>
        <w:rPr>
          <w:bCs/>
        </w:rPr>
      </w:pPr>
    </w:p>
    <w:p w:rsidR="00252B38" w:rsidRDefault="008C6885">
      <w:pPr>
        <w:spacing w:before="60" w:after="60" w:line="288" w:lineRule="auto"/>
        <w:jc w:val="both"/>
        <w:rPr>
          <w:b/>
          <w:sz w:val="22"/>
          <w:szCs w:val="22"/>
          <w:lang w:val="en-GB"/>
        </w:rPr>
      </w:pPr>
      <w:r>
        <w:rPr>
          <w:b/>
          <w:sz w:val="22"/>
          <w:szCs w:val="22"/>
          <w:lang w:val="en-GB"/>
        </w:rPr>
        <w:t>TO7 - IMPROVEMENT OF ACCESSIBILITY TO THE REGIONS, DEVELOPMENT OF TRANSPORT AND COMMON NETWORKS AND SYSTEMS</w:t>
      </w:r>
    </w:p>
    <w:p w:rsidR="00252B38" w:rsidRDefault="008C6885">
      <w:pPr>
        <w:spacing w:before="60" w:after="60" w:line="288" w:lineRule="auto"/>
        <w:jc w:val="both"/>
        <w:rPr>
          <w:i/>
          <w:sz w:val="22"/>
          <w:szCs w:val="22"/>
          <w:lang w:val="en-GB"/>
        </w:rPr>
      </w:pPr>
      <w:r>
        <w:rPr>
          <w:b/>
          <w:bCs/>
          <w:i/>
          <w:iCs/>
          <w:sz w:val="22"/>
          <w:szCs w:val="22"/>
          <w:lang w:val="en-GB"/>
        </w:rPr>
        <w:t>Objective 3:</w:t>
      </w:r>
      <w:r>
        <w:rPr>
          <w:b/>
          <w:bCs/>
          <w:iCs/>
          <w:sz w:val="22"/>
          <w:szCs w:val="22"/>
          <w:lang w:val="en-GB"/>
        </w:rPr>
        <w:t xml:space="preserve">  </w:t>
      </w:r>
      <w:r>
        <w:rPr>
          <w:i/>
          <w:sz w:val="22"/>
          <w:szCs w:val="22"/>
          <w:lang w:val="en-GB"/>
        </w:rPr>
        <w:t>Improve public transport services, infrastructure and ITC cooperation and networking</w:t>
      </w:r>
    </w:p>
    <w:p w:rsidR="00252B38" w:rsidRDefault="008C6885">
      <w:pPr>
        <w:spacing w:before="60" w:after="60" w:line="288" w:lineRule="auto"/>
        <w:jc w:val="both"/>
        <w:rPr>
          <w:b/>
          <w:lang w:val="en-GB"/>
        </w:rPr>
      </w:pPr>
      <w:r>
        <w:rPr>
          <w:b/>
          <w:bCs/>
          <w:sz w:val="22"/>
          <w:szCs w:val="22"/>
          <w:lang w:val="en-GB"/>
        </w:rPr>
        <w:t>Priority 3.1 – Development of cross border transport infrastructure and ICT tools</w:t>
      </w:r>
    </w:p>
    <w:tbl>
      <w:tblPr>
        <w:tblW w:w="10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4224"/>
        <w:gridCol w:w="1777"/>
        <w:gridCol w:w="1990"/>
        <w:gridCol w:w="1745"/>
      </w:tblGrid>
      <w:tr w:rsidR="00252B38">
        <w:trPr>
          <w:jc w:val="center"/>
        </w:trPr>
        <w:tc>
          <w:tcPr>
            <w:tcW w:w="603"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No. crt.</w:t>
            </w:r>
          </w:p>
        </w:tc>
        <w:tc>
          <w:tcPr>
            <w:tcW w:w="4224"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 xml:space="preserve">Indicative activities </w:t>
            </w:r>
          </w:p>
        </w:tc>
        <w:tc>
          <w:tcPr>
            <w:tcW w:w="1777"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Environmental aspects and</w:t>
            </w:r>
          </w:p>
          <w:p w:rsidR="00252B38" w:rsidRDefault="008C6885">
            <w:pPr>
              <w:rPr>
                <w:rFonts w:eastAsia="Calibri" w:cs="Arial"/>
                <w:b/>
                <w:sz w:val="22"/>
                <w:szCs w:val="22"/>
                <w:lang w:val="en-GB" w:eastAsia="en-US"/>
              </w:rPr>
            </w:pPr>
            <w:r>
              <w:rPr>
                <w:rFonts w:eastAsia="Calibri" w:cs="Arial"/>
                <w:b/>
                <w:sz w:val="22"/>
                <w:szCs w:val="22"/>
                <w:lang w:val="en-GB" w:eastAsia="en-US"/>
              </w:rPr>
              <w:t>objective considered</w:t>
            </w:r>
          </w:p>
        </w:tc>
        <w:tc>
          <w:tcPr>
            <w:tcW w:w="199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Potential impact</w:t>
            </w:r>
          </w:p>
          <w:p w:rsidR="00252B38" w:rsidRDefault="00252B38">
            <w:pPr>
              <w:rPr>
                <w:rFonts w:eastAsia="Calibri" w:cs="Arial"/>
                <w:b/>
                <w:sz w:val="22"/>
                <w:szCs w:val="22"/>
                <w:lang w:val="en-GB" w:eastAsia="en-US"/>
              </w:rPr>
            </w:pPr>
          </w:p>
        </w:tc>
        <w:tc>
          <w:tcPr>
            <w:tcW w:w="1745" w:type="dxa"/>
            <w:vAlign w:val="center"/>
          </w:tcPr>
          <w:p w:rsidR="00252B38" w:rsidRDefault="008C6885">
            <w:pPr>
              <w:spacing w:before="60" w:after="60" w:line="288" w:lineRule="auto"/>
              <w:rPr>
                <w:b/>
                <w:sz w:val="22"/>
                <w:szCs w:val="22"/>
              </w:rPr>
            </w:pPr>
            <w:r>
              <w:rPr>
                <w:b/>
                <w:sz w:val="22"/>
                <w:szCs w:val="22"/>
                <w:lang w:val="en-GB"/>
              </w:rPr>
              <w:t>Environmental assessment</w:t>
            </w:r>
          </w:p>
        </w:tc>
      </w:tr>
      <w:tr w:rsidR="00252B38">
        <w:trPr>
          <w:jc w:val="center"/>
        </w:trPr>
        <w:tc>
          <w:tcPr>
            <w:tcW w:w="603"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1.</w:t>
            </w:r>
          </w:p>
        </w:tc>
        <w:tc>
          <w:tcPr>
            <w:tcW w:w="4224" w:type="dxa"/>
            <w:shd w:val="clear" w:color="auto" w:fill="auto"/>
          </w:tcPr>
          <w:p w:rsidR="00252B38" w:rsidRDefault="008C6885">
            <w:pPr>
              <w:jc w:val="both"/>
              <w:rPr>
                <w:rFonts w:eastAsia="Calibri" w:cs="Arial"/>
                <w:sz w:val="22"/>
                <w:szCs w:val="22"/>
                <w:lang w:val="en-GB" w:eastAsia="en-US"/>
              </w:rPr>
            </w:pPr>
            <w:r>
              <w:rPr>
                <w:rFonts w:eastAsia="EUAlbertina-Regular-Identity-H" w:cs="Arial"/>
                <w:sz w:val="22"/>
                <w:szCs w:val="22"/>
                <w:lang w:val="en-GB" w:eastAsia="en-US"/>
              </w:rPr>
              <w:t xml:space="preserve">Reconstruction, rehabilitation, modernization  of cross-border transport systems </w:t>
            </w:r>
          </w:p>
        </w:tc>
        <w:tc>
          <w:tcPr>
            <w:tcW w:w="1777"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pPr>
              <w:rPr>
                <w:rFonts w:eastAsia="Calibri" w:cs="Arial"/>
                <w:sz w:val="22"/>
                <w:szCs w:val="22"/>
                <w:lang w:val="en-GB" w:eastAsia="en-US"/>
              </w:rPr>
            </w:pPr>
            <w:r>
              <w:rPr>
                <w:rFonts w:eastAsia="Calibri" w:cs="Arial"/>
                <w:sz w:val="22"/>
                <w:szCs w:val="22"/>
                <w:lang w:val="en-GB" w:eastAsia="en-US"/>
              </w:rPr>
              <w:t>Waste</w:t>
            </w:r>
          </w:p>
          <w:p w:rsidR="00252B38" w:rsidRDefault="008C6885">
            <w:pPr>
              <w:rPr>
                <w:rFonts w:eastAsia="Calibri" w:cs="Arial"/>
                <w:sz w:val="22"/>
                <w:szCs w:val="22"/>
                <w:lang w:val="en-GB" w:eastAsia="en-US"/>
              </w:rPr>
            </w:pPr>
            <w:r>
              <w:rPr>
                <w:rFonts w:eastAsia="Calibri" w:cs="Arial"/>
                <w:sz w:val="22"/>
                <w:szCs w:val="22"/>
                <w:lang w:val="en-GB" w:eastAsia="en-US"/>
              </w:rPr>
              <w:t>Management Biodiversity</w:t>
            </w:r>
          </w:p>
        </w:tc>
        <w:tc>
          <w:tcPr>
            <w:tcW w:w="199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Positive</w:t>
            </w:r>
          </w:p>
        </w:tc>
        <w:tc>
          <w:tcPr>
            <w:tcW w:w="1745" w:type="dxa"/>
            <w:vAlign w:val="center"/>
          </w:tcPr>
          <w:p w:rsidR="00252B38" w:rsidRDefault="008C6885">
            <w:pPr>
              <w:spacing w:before="60" w:after="60" w:line="288" w:lineRule="auto"/>
              <w:rPr>
                <w:sz w:val="22"/>
                <w:szCs w:val="22"/>
                <w:lang w:val="en-GB"/>
              </w:rPr>
            </w:pPr>
            <w:r>
              <w:rPr>
                <w:sz w:val="22"/>
                <w:szCs w:val="22"/>
                <w:lang w:val="en-GB"/>
              </w:rPr>
              <w:t>Positive</w:t>
            </w:r>
          </w:p>
          <w:p w:rsidR="00252B38" w:rsidRDefault="008C6885">
            <w:pPr>
              <w:spacing w:before="60" w:after="60" w:line="288" w:lineRule="auto"/>
              <w:rPr>
                <w:sz w:val="22"/>
                <w:szCs w:val="22"/>
              </w:rPr>
            </w:pPr>
            <w:r>
              <w:rPr>
                <w:sz w:val="22"/>
                <w:szCs w:val="22"/>
                <w:lang w:val="en-GB"/>
              </w:rPr>
              <w:t>impact</w:t>
            </w:r>
          </w:p>
        </w:tc>
      </w:tr>
      <w:tr w:rsidR="00252B38">
        <w:trPr>
          <w:jc w:val="center"/>
        </w:trPr>
        <w:tc>
          <w:tcPr>
            <w:tcW w:w="603"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2.</w:t>
            </w:r>
          </w:p>
        </w:tc>
        <w:tc>
          <w:tcPr>
            <w:tcW w:w="4224" w:type="dxa"/>
            <w:shd w:val="clear" w:color="auto" w:fill="auto"/>
          </w:tcPr>
          <w:p w:rsidR="00252B38" w:rsidRDefault="008C6885">
            <w:pPr>
              <w:jc w:val="both"/>
              <w:rPr>
                <w:rFonts w:eastAsia="Calibri" w:cs="Arial"/>
                <w:sz w:val="22"/>
                <w:szCs w:val="22"/>
                <w:lang w:val="en-GB" w:eastAsia="en-US"/>
              </w:rPr>
            </w:pPr>
            <w:r>
              <w:rPr>
                <w:rFonts w:eastAsia="EUAlbertina-Regular-Identity-H" w:cs="Arial"/>
                <w:sz w:val="22"/>
                <w:szCs w:val="22"/>
                <w:lang w:val="en-GB" w:eastAsia="en-US"/>
              </w:rPr>
              <w:t>Development of  environmentally friendly (carbon-proofed) cross-border transport initiatives and innovative solutions ;</w:t>
            </w:r>
          </w:p>
        </w:tc>
        <w:tc>
          <w:tcPr>
            <w:tcW w:w="1777"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pPr>
              <w:rPr>
                <w:rFonts w:eastAsia="Calibri" w:cs="Arial"/>
                <w:sz w:val="22"/>
                <w:szCs w:val="22"/>
                <w:lang w:val="en-GB" w:eastAsia="en-US"/>
              </w:rPr>
            </w:pPr>
            <w:r>
              <w:rPr>
                <w:rFonts w:eastAsia="Calibri" w:cs="Arial"/>
                <w:sz w:val="22"/>
                <w:szCs w:val="22"/>
                <w:lang w:val="en-GB" w:eastAsia="en-US"/>
              </w:rPr>
              <w:t>Waste</w:t>
            </w:r>
          </w:p>
          <w:p w:rsidR="00252B38" w:rsidRDefault="008C6885">
            <w:pPr>
              <w:rPr>
                <w:rFonts w:eastAsia="Calibri" w:cs="Arial"/>
                <w:sz w:val="22"/>
                <w:szCs w:val="22"/>
                <w:lang w:val="en-GB" w:eastAsia="en-US"/>
              </w:rPr>
            </w:pPr>
            <w:r>
              <w:rPr>
                <w:rFonts w:eastAsia="Calibri" w:cs="Arial"/>
                <w:sz w:val="22"/>
                <w:szCs w:val="22"/>
                <w:lang w:val="en-GB" w:eastAsia="en-US"/>
              </w:rPr>
              <w:t>Management Biodiversity</w:t>
            </w:r>
          </w:p>
        </w:tc>
        <w:tc>
          <w:tcPr>
            <w:tcW w:w="1990" w:type="dxa"/>
            <w:shd w:val="clear" w:color="auto" w:fill="auto"/>
          </w:tcPr>
          <w:p w:rsidR="00252B38" w:rsidRDefault="008C6885">
            <w:pPr>
              <w:rPr>
                <w:rFonts w:eastAsia="Calibri" w:cs="Arial"/>
                <w:sz w:val="22"/>
                <w:szCs w:val="22"/>
                <w:lang w:eastAsia="en-US"/>
              </w:rPr>
            </w:pPr>
            <w:r>
              <w:rPr>
                <w:rFonts w:eastAsia="Calibri" w:cs="Arial"/>
                <w:sz w:val="22"/>
                <w:szCs w:val="22"/>
                <w:lang w:val="en-GB" w:eastAsia="en-US"/>
              </w:rPr>
              <w:t>Positive</w:t>
            </w:r>
          </w:p>
        </w:tc>
        <w:tc>
          <w:tcPr>
            <w:tcW w:w="1745" w:type="dxa"/>
            <w:vAlign w:val="center"/>
          </w:tcPr>
          <w:p w:rsidR="00252B38" w:rsidRDefault="008C6885">
            <w:pPr>
              <w:spacing w:before="60" w:after="60" w:line="288" w:lineRule="auto"/>
              <w:rPr>
                <w:sz w:val="22"/>
                <w:szCs w:val="22"/>
                <w:lang w:val="en-GB"/>
              </w:rPr>
            </w:pPr>
            <w:r>
              <w:rPr>
                <w:sz w:val="22"/>
                <w:szCs w:val="22"/>
                <w:lang w:val="en-GB"/>
              </w:rPr>
              <w:t>Positive</w:t>
            </w:r>
          </w:p>
          <w:p w:rsidR="00252B38" w:rsidRDefault="008C6885">
            <w:pPr>
              <w:spacing w:before="60" w:after="60" w:line="288" w:lineRule="auto"/>
              <w:rPr>
                <w:sz w:val="22"/>
                <w:szCs w:val="22"/>
              </w:rPr>
            </w:pPr>
            <w:r>
              <w:rPr>
                <w:sz w:val="22"/>
                <w:szCs w:val="22"/>
                <w:lang w:val="en-GB"/>
              </w:rPr>
              <w:t>impact</w:t>
            </w:r>
          </w:p>
        </w:tc>
      </w:tr>
      <w:tr w:rsidR="00252B38">
        <w:trPr>
          <w:jc w:val="center"/>
        </w:trPr>
        <w:tc>
          <w:tcPr>
            <w:tcW w:w="603"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3.</w:t>
            </w:r>
          </w:p>
        </w:tc>
        <w:tc>
          <w:tcPr>
            <w:tcW w:w="4224" w:type="dxa"/>
            <w:shd w:val="clear" w:color="auto" w:fill="auto"/>
          </w:tcPr>
          <w:p w:rsidR="00252B38" w:rsidRDefault="008C6885">
            <w:pPr>
              <w:jc w:val="both"/>
              <w:rPr>
                <w:rFonts w:eastAsia="Calibri" w:cs="Arial"/>
                <w:sz w:val="22"/>
                <w:szCs w:val="22"/>
                <w:lang w:val="en-GB" w:eastAsia="en-US"/>
              </w:rPr>
            </w:pPr>
            <w:r>
              <w:rPr>
                <w:rFonts w:eastAsia="EUAlbertina-Regular-Identity-H" w:cs="Arial"/>
                <w:sz w:val="22"/>
                <w:szCs w:val="22"/>
                <w:lang w:val="en-GB" w:eastAsia="en-US"/>
              </w:rPr>
              <w:t>Improvements of multimode transport (road/water) facilities of cross-border interest;</w:t>
            </w:r>
          </w:p>
        </w:tc>
        <w:tc>
          <w:tcPr>
            <w:tcW w:w="1777"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pPr>
              <w:rPr>
                <w:rFonts w:eastAsia="Calibri" w:cs="Arial"/>
                <w:sz w:val="22"/>
                <w:szCs w:val="22"/>
                <w:lang w:val="en-GB" w:eastAsia="en-US"/>
              </w:rPr>
            </w:pPr>
            <w:r>
              <w:rPr>
                <w:rFonts w:eastAsia="Calibri" w:cs="Arial"/>
                <w:sz w:val="22"/>
                <w:szCs w:val="22"/>
                <w:lang w:val="en-GB" w:eastAsia="en-US"/>
              </w:rPr>
              <w:t>Waste</w:t>
            </w:r>
          </w:p>
          <w:p w:rsidR="00252B38" w:rsidRDefault="008C6885">
            <w:pPr>
              <w:rPr>
                <w:rFonts w:eastAsia="Calibri" w:cs="Arial"/>
                <w:sz w:val="22"/>
                <w:szCs w:val="22"/>
                <w:lang w:val="en-GB" w:eastAsia="en-US"/>
              </w:rPr>
            </w:pPr>
            <w:r>
              <w:rPr>
                <w:rFonts w:eastAsia="Calibri" w:cs="Arial"/>
                <w:sz w:val="22"/>
                <w:szCs w:val="22"/>
                <w:lang w:val="en-GB" w:eastAsia="en-US"/>
              </w:rPr>
              <w:t>Management Biodiversity</w:t>
            </w:r>
          </w:p>
        </w:tc>
        <w:tc>
          <w:tcPr>
            <w:tcW w:w="1990" w:type="dxa"/>
            <w:shd w:val="clear" w:color="auto" w:fill="auto"/>
          </w:tcPr>
          <w:p w:rsidR="00252B38" w:rsidRDefault="008C6885">
            <w:pPr>
              <w:rPr>
                <w:rFonts w:eastAsia="Calibri" w:cs="Arial"/>
                <w:sz w:val="22"/>
                <w:szCs w:val="22"/>
                <w:lang w:eastAsia="en-US"/>
              </w:rPr>
            </w:pPr>
            <w:r>
              <w:rPr>
                <w:rFonts w:eastAsia="Calibri" w:cs="Arial"/>
                <w:sz w:val="22"/>
                <w:szCs w:val="22"/>
                <w:lang w:val="en-GB" w:eastAsia="en-US"/>
              </w:rPr>
              <w:t>Positive</w:t>
            </w:r>
          </w:p>
        </w:tc>
        <w:tc>
          <w:tcPr>
            <w:tcW w:w="1745" w:type="dxa"/>
            <w:vAlign w:val="center"/>
          </w:tcPr>
          <w:p w:rsidR="00252B38" w:rsidRDefault="008C6885">
            <w:pPr>
              <w:spacing w:before="60" w:after="60" w:line="288" w:lineRule="auto"/>
              <w:rPr>
                <w:sz w:val="22"/>
                <w:szCs w:val="22"/>
                <w:lang w:val="en-GB"/>
              </w:rPr>
            </w:pPr>
            <w:r>
              <w:rPr>
                <w:sz w:val="22"/>
                <w:szCs w:val="22"/>
                <w:lang w:val="en-GB"/>
              </w:rPr>
              <w:t>Positive</w:t>
            </w:r>
          </w:p>
          <w:p w:rsidR="00252B38" w:rsidRDefault="008C6885">
            <w:pPr>
              <w:spacing w:before="60" w:after="60" w:line="288" w:lineRule="auto"/>
              <w:rPr>
                <w:sz w:val="22"/>
                <w:szCs w:val="22"/>
              </w:rPr>
            </w:pPr>
            <w:r>
              <w:rPr>
                <w:sz w:val="22"/>
                <w:szCs w:val="22"/>
                <w:lang w:val="en-GB"/>
              </w:rPr>
              <w:t>impact</w:t>
            </w:r>
          </w:p>
        </w:tc>
      </w:tr>
      <w:tr w:rsidR="00252B38">
        <w:trPr>
          <w:jc w:val="center"/>
        </w:trPr>
        <w:tc>
          <w:tcPr>
            <w:tcW w:w="603"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4.</w:t>
            </w:r>
          </w:p>
        </w:tc>
        <w:tc>
          <w:tcPr>
            <w:tcW w:w="4224" w:type="dxa"/>
            <w:shd w:val="clear" w:color="auto" w:fill="auto"/>
          </w:tcPr>
          <w:p w:rsidR="00252B38" w:rsidRDefault="008C6885">
            <w:pPr>
              <w:jc w:val="both"/>
              <w:rPr>
                <w:rFonts w:eastAsia="Calibri" w:cs="Arial"/>
                <w:sz w:val="22"/>
                <w:szCs w:val="22"/>
                <w:lang w:val="en-GB" w:eastAsia="en-US"/>
              </w:rPr>
            </w:pPr>
            <w:r>
              <w:rPr>
                <w:rFonts w:eastAsia="EUAlbertina-Regular-Identity-H" w:cs="Arial"/>
                <w:sz w:val="22"/>
                <w:szCs w:val="22"/>
                <w:lang w:val="en-GB" w:eastAsia="en-US"/>
              </w:rPr>
              <w:t>Reconstruction, rehabilitation, widening of cross-border (segments of) roads connecting settlements alongside the border with main road, which leads to the border;</w:t>
            </w:r>
          </w:p>
        </w:tc>
        <w:tc>
          <w:tcPr>
            <w:tcW w:w="1777"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pPr>
              <w:rPr>
                <w:rFonts w:eastAsia="Calibri" w:cs="Arial"/>
                <w:sz w:val="22"/>
                <w:szCs w:val="22"/>
                <w:lang w:val="en-GB" w:eastAsia="en-US"/>
              </w:rPr>
            </w:pPr>
            <w:r>
              <w:rPr>
                <w:rFonts w:eastAsia="Calibri" w:cs="Arial"/>
                <w:sz w:val="22"/>
                <w:szCs w:val="22"/>
                <w:lang w:val="en-GB" w:eastAsia="en-US"/>
              </w:rPr>
              <w:t>Waste</w:t>
            </w:r>
          </w:p>
          <w:p w:rsidR="00252B38" w:rsidRDefault="008C6885">
            <w:pPr>
              <w:rPr>
                <w:rFonts w:eastAsia="Calibri" w:cs="Arial"/>
                <w:sz w:val="22"/>
                <w:szCs w:val="22"/>
                <w:lang w:val="en-GB" w:eastAsia="en-US"/>
              </w:rPr>
            </w:pPr>
            <w:r>
              <w:rPr>
                <w:rFonts w:eastAsia="Calibri" w:cs="Arial"/>
                <w:sz w:val="22"/>
                <w:szCs w:val="22"/>
                <w:lang w:val="en-GB" w:eastAsia="en-US"/>
              </w:rPr>
              <w:t xml:space="preserve">Management Biodiversity </w:t>
            </w:r>
          </w:p>
        </w:tc>
        <w:tc>
          <w:tcPr>
            <w:tcW w:w="1990" w:type="dxa"/>
            <w:shd w:val="clear" w:color="auto" w:fill="auto"/>
          </w:tcPr>
          <w:p w:rsidR="00252B38" w:rsidRDefault="008C6885">
            <w:pPr>
              <w:rPr>
                <w:rFonts w:eastAsia="Calibri" w:cs="Arial"/>
                <w:sz w:val="22"/>
                <w:szCs w:val="22"/>
                <w:lang w:eastAsia="en-US"/>
              </w:rPr>
            </w:pPr>
            <w:r>
              <w:rPr>
                <w:rFonts w:eastAsia="Calibri" w:cs="Arial"/>
                <w:sz w:val="22"/>
                <w:szCs w:val="22"/>
                <w:lang w:val="en-GB" w:eastAsia="en-US"/>
              </w:rPr>
              <w:t>Positive</w:t>
            </w:r>
          </w:p>
        </w:tc>
        <w:tc>
          <w:tcPr>
            <w:tcW w:w="1745" w:type="dxa"/>
            <w:vAlign w:val="center"/>
          </w:tcPr>
          <w:p w:rsidR="00252B38" w:rsidRDefault="008C6885">
            <w:pPr>
              <w:spacing w:before="60" w:after="60" w:line="288" w:lineRule="auto"/>
              <w:rPr>
                <w:sz w:val="22"/>
                <w:szCs w:val="22"/>
                <w:lang w:val="en-GB"/>
              </w:rPr>
            </w:pPr>
            <w:r>
              <w:rPr>
                <w:sz w:val="22"/>
                <w:szCs w:val="22"/>
                <w:lang w:val="en-GB"/>
              </w:rPr>
              <w:t>Positive</w:t>
            </w:r>
          </w:p>
          <w:p w:rsidR="00252B38" w:rsidRDefault="008C6885">
            <w:pPr>
              <w:spacing w:before="60" w:after="60" w:line="288" w:lineRule="auto"/>
              <w:rPr>
                <w:sz w:val="22"/>
                <w:szCs w:val="22"/>
              </w:rPr>
            </w:pPr>
            <w:r>
              <w:rPr>
                <w:sz w:val="22"/>
                <w:szCs w:val="22"/>
                <w:lang w:val="en-GB"/>
              </w:rPr>
              <w:t>impact</w:t>
            </w:r>
          </w:p>
        </w:tc>
      </w:tr>
      <w:tr w:rsidR="00252B38">
        <w:trPr>
          <w:jc w:val="center"/>
        </w:trPr>
        <w:tc>
          <w:tcPr>
            <w:tcW w:w="603"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5.</w:t>
            </w:r>
          </w:p>
        </w:tc>
        <w:tc>
          <w:tcPr>
            <w:tcW w:w="4224" w:type="dxa"/>
            <w:shd w:val="clear" w:color="auto" w:fill="auto"/>
          </w:tcPr>
          <w:p w:rsidR="00252B38" w:rsidRDefault="008C6885">
            <w:pPr>
              <w:jc w:val="both"/>
              <w:rPr>
                <w:rFonts w:eastAsia="Calibri" w:cs="Arial"/>
                <w:sz w:val="22"/>
                <w:szCs w:val="22"/>
                <w:lang w:val="en-GB" w:eastAsia="en-US"/>
              </w:rPr>
            </w:pPr>
            <w:r>
              <w:rPr>
                <w:rFonts w:eastAsia="EUAlbertina-Regular-Identity-H" w:cs="Arial"/>
                <w:sz w:val="22"/>
                <w:szCs w:val="22"/>
                <w:lang w:val="en-GB" w:eastAsia="en-US"/>
              </w:rPr>
              <w:t xml:space="preserve">Improvement/restoration/construction of (segments of) access roads  to centres of cross-border interest; </w:t>
            </w:r>
          </w:p>
        </w:tc>
        <w:tc>
          <w:tcPr>
            <w:tcW w:w="1777"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pPr>
              <w:rPr>
                <w:rFonts w:eastAsia="Calibri" w:cs="Arial"/>
                <w:sz w:val="22"/>
                <w:szCs w:val="22"/>
                <w:lang w:val="en-GB" w:eastAsia="en-US"/>
              </w:rPr>
            </w:pPr>
            <w:r>
              <w:rPr>
                <w:rFonts w:eastAsia="Calibri" w:cs="Arial"/>
                <w:sz w:val="22"/>
                <w:szCs w:val="22"/>
                <w:lang w:val="en-GB" w:eastAsia="en-US"/>
              </w:rPr>
              <w:t>Waste</w:t>
            </w:r>
          </w:p>
          <w:p w:rsidR="00252B38" w:rsidRDefault="008C6885">
            <w:pPr>
              <w:rPr>
                <w:rFonts w:eastAsia="Calibri" w:cs="Arial"/>
                <w:sz w:val="22"/>
                <w:szCs w:val="22"/>
                <w:lang w:val="en-GB" w:eastAsia="en-US"/>
              </w:rPr>
            </w:pPr>
            <w:r>
              <w:rPr>
                <w:rFonts w:eastAsia="Calibri" w:cs="Arial"/>
                <w:sz w:val="22"/>
                <w:szCs w:val="22"/>
                <w:lang w:val="en-GB" w:eastAsia="en-US"/>
              </w:rPr>
              <w:t>Management Biodiversity</w:t>
            </w:r>
          </w:p>
        </w:tc>
        <w:tc>
          <w:tcPr>
            <w:tcW w:w="199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Positive</w:t>
            </w:r>
          </w:p>
        </w:tc>
        <w:tc>
          <w:tcPr>
            <w:tcW w:w="1745" w:type="dxa"/>
            <w:vAlign w:val="center"/>
          </w:tcPr>
          <w:p w:rsidR="00252B38" w:rsidRDefault="008C6885">
            <w:pPr>
              <w:spacing w:before="60" w:after="60" w:line="288" w:lineRule="auto"/>
              <w:rPr>
                <w:sz w:val="22"/>
                <w:szCs w:val="22"/>
                <w:lang w:val="en-GB"/>
              </w:rPr>
            </w:pPr>
            <w:r>
              <w:rPr>
                <w:sz w:val="22"/>
                <w:szCs w:val="22"/>
                <w:lang w:val="en-GB"/>
              </w:rPr>
              <w:t>Positive</w:t>
            </w:r>
          </w:p>
          <w:p w:rsidR="00252B38" w:rsidRDefault="008C6885">
            <w:pPr>
              <w:spacing w:before="60" w:after="60" w:line="288" w:lineRule="auto"/>
              <w:rPr>
                <w:sz w:val="22"/>
                <w:szCs w:val="22"/>
              </w:rPr>
            </w:pPr>
            <w:r>
              <w:rPr>
                <w:sz w:val="22"/>
                <w:szCs w:val="22"/>
                <w:lang w:val="en-GB"/>
              </w:rPr>
              <w:t>impact</w:t>
            </w:r>
          </w:p>
        </w:tc>
      </w:tr>
      <w:tr w:rsidR="00F86820" w:rsidTr="002E01ED">
        <w:trPr>
          <w:jc w:val="center"/>
        </w:trPr>
        <w:tc>
          <w:tcPr>
            <w:tcW w:w="603"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6.</w:t>
            </w:r>
          </w:p>
        </w:tc>
        <w:tc>
          <w:tcPr>
            <w:tcW w:w="4224" w:type="dxa"/>
            <w:shd w:val="clear" w:color="auto" w:fill="auto"/>
          </w:tcPr>
          <w:p w:rsidR="00F86820" w:rsidRDefault="00F86820">
            <w:pPr>
              <w:jc w:val="both"/>
              <w:rPr>
                <w:rFonts w:eastAsia="Calibri" w:cs="Arial"/>
                <w:sz w:val="22"/>
                <w:szCs w:val="22"/>
                <w:lang w:val="en-GB" w:eastAsia="en-US"/>
              </w:rPr>
            </w:pPr>
            <w:r>
              <w:rPr>
                <w:rFonts w:eastAsia="EUAlbertina-Regular-Identity-H" w:cs="Arial"/>
                <w:sz w:val="22"/>
                <w:szCs w:val="22"/>
                <w:lang w:val="en-GB" w:eastAsia="en-US"/>
              </w:rPr>
              <w:t>Elaboration of joint strategies/policies/plans for improving the cross-border transport infrastructure;</w:t>
            </w:r>
          </w:p>
        </w:tc>
        <w:tc>
          <w:tcPr>
            <w:tcW w:w="1777"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1990" w:type="dxa"/>
            <w:shd w:val="clear" w:color="auto" w:fill="auto"/>
          </w:tcPr>
          <w:p w:rsidR="00F86820" w:rsidRDefault="00F86820">
            <w:pPr>
              <w:jc w:val="center"/>
              <w:rPr>
                <w:rFonts w:eastAsia="Calibri" w:cs="Arial"/>
                <w:sz w:val="22"/>
                <w:szCs w:val="22"/>
                <w:lang w:eastAsia="en-US"/>
              </w:rPr>
            </w:pPr>
            <w:r w:rsidRPr="00C937D3">
              <w:rPr>
                <w:rFonts w:eastAsia="Calibri" w:cs="Arial"/>
                <w:sz w:val="22"/>
                <w:szCs w:val="22"/>
                <w:lang w:val="en-GB" w:eastAsia="en-US"/>
              </w:rPr>
              <w:t>Indirect</w:t>
            </w:r>
          </w:p>
        </w:tc>
        <w:tc>
          <w:tcPr>
            <w:tcW w:w="1745"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rPr>
          <w:jc w:val="center"/>
        </w:trPr>
        <w:tc>
          <w:tcPr>
            <w:tcW w:w="603"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7.</w:t>
            </w:r>
          </w:p>
        </w:tc>
        <w:tc>
          <w:tcPr>
            <w:tcW w:w="4224" w:type="dxa"/>
            <w:shd w:val="clear" w:color="auto" w:fill="auto"/>
          </w:tcPr>
          <w:p w:rsidR="00F86820" w:rsidRDefault="00F86820">
            <w:pPr>
              <w:jc w:val="both"/>
              <w:rPr>
                <w:rFonts w:eastAsia="Calibri" w:cs="Arial"/>
                <w:sz w:val="22"/>
                <w:szCs w:val="22"/>
                <w:lang w:val="en-GB" w:eastAsia="en-US"/>
              </w:rPr>
            </w:pPr>
            <w:r>
              <w:rPr>
                <w:rFonts w:eastAsia="EUAlbertina-Regular-Identity-H" w:cs="Arial"/>
                <w:sz w:val="22"/>
                <w:szCs w:val="22"/>
                <w:lang w:val="en-GB" w:eastAsia="en-US"/>
              </w:rPr>
              <w:t xml:space="preserve">Development of cross-border connections, information and integrated communications network and services; </w:t>
            </w:r>
          </w:p>
        </w:tc>
        <w:tc>
          <w:tcPr>
            <w:tcW w:w="1777"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1990" w:type="dxa"/>
            <w:shd w:val="clear" w:color="auto" w:fill="auto"/>
          </w:tcPr>
          <w:p w:rsidR="00F86820" w:rsidRDefault="00F86820">
            <w:pPr>
              <w:jc w:val="center"/>
              <w:rPr>
                <w:rFonts w:eastAsia="Calibri" w:cs="Arial"/>
                <w:sz w:val="22"/>
                <w:szCs w:val="22"/>
                <w:lang w:eastAsia="en-US"/>
              </w:rPr>
            </w:pPr>
            <w:r w:rsidRPr="00C937D3">
              <w:rPr>
                <w:rFonts w:eastAsia="Calibri" w:cs="Arial"/>
                <w:sz w:val="22"/>
                <w:szCs w:val="22"/>
                <w:lang w:val="en-GB" w:eastAsia="en-US"/>
              </w:rPr>
              <w:t>Indirect</w:t>
            </w:r>
          </w:p>
        </w:tc>
        <w:tc>
          <w:tcPr>
            <w:tcW w:w="1745"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rPr>
          <w:jc w:val="center"/>
        </w:trPr>
        <w:tc>
          <w:tcPr>
            <w:tcW w:w="603"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8.</w:t>
            </w:r>
          </w:p>
        </w:tc>
        <w:tc>
          <w:tcPr>
            <w:tcW w:w="4224" w:type="dxa"/>
            <w:shd w:val="clear" w:color="auto" w:fill="auto"/>
          </w:tcPr>
          <w:p w:rsidR="00F86820" w:rsidRDefault="00F86820">
            <w:pPr>
              <w:jc w:val="both"/>
              <w:rPr>
                <w:rFonts w:eastAsia="Calibri" w:cs="Arial"/>
                <w:sz w:val="22"/>
                <w:szCs w:val="22"/>
                <w:lang w:val="en-GB" w:eastAsia="en-US"/>
              </w:rPr>
            </w:pPr>
            <w:r>
              <w:rPr>
                <w:rFonts w:eastAsia="EUAlbertina-Regular-Identity-H" w:cs="Arial"/>
                <w:sz w:val="22"/>
                <w:szCs w:val="22"/>
                <w:lang w:val="en-GB" w:eastAsia="en-US"/>
              </w:rPr>
              <w:t>Upgrading existing facilities to enable linkages between communities and public services which promote co-operation on a cross-border and wider international basis;</w:t>
            </w:r>
          </w:p>
        </w:tc>
        <w:tc>
          <w:tcPr>
            <w:tcW w:w="1777"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1990" w:type="dxa"/>
            <w:shd w:val="clear" w:color="auto" w:fill="auto"/>
          </w:tcPr>
          <w:p w:rsidR="00F86820" w:rsidRDefault="00F86820">
            <w:pPr>
              <w:jc w:val="center"/>
              <w:rPr>
                <w:rFonts w:eastAsia="Calibri" w:cs="Arial"/>
                <w:sz w:val="22"/>
                <w:szCs w:val="22"/>
                <w:lang w:eastAsia="en-US"/>
              </w:rPr>
            </w:pPr>
            <w:r w:rsidRPr="00C937D3">
              <w:rPr>
                <w:rFonts w:eastAsia="Calibri" w:cs="Arial"/>
                <w:sz w:val="22"/>
                <w:szCs w:val="22"/>
                <w:lang w:val="en-GB" w:eastAsia="en-US"/>
              </w:rPr>
              <w:t>Indirect</w:t>
            </w:r>
          </w:p>
        </w:tc>
        <w:tc>
          <w:tcPr>
            <w:tcW w:w="1745"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bl>
    <w:p w:rsidR="00252B38" w:rsidRDefault="00252B38">
      <w:pPr>
        <w:spacing w:before="60" w:after="60" w:line="288" w:lineRule="auto"/>
        <w:jc w:val="both"/>
        <w:rPr>
          <w:bCs/>
        </w:rPr>
      </w:pPr>
    </w:p>
    <w:p w:rsidR="00252B38" w:rsidRDefault="008C6885">
      <w:pPr>
        <w:spacing w:before="60" w:after="60" w:line="288" w:lineRule="auto"/>
        <w:jc w:val="both"/>
        <w:rPr>
          <w:b/>
          <w:sz w:val="22"/>
          <w:szCs w:val="22"/>
          <w:lang w:val="en-GB"/>
        </w:rPr>
      </w:pPr>
      <w:r>
        <w:rPr>
          <w:b/>
          <w:sz w:val="22"/>
          <w:szCs w:val="22"/>
          <w:lang w:val="en-GB"/>
        </w:rPr>
        <w:t>TO8 - COMMON CHALLENGES IN THE FIELD OF SAFETY AND SECURITY</w:t>
      </w:r>
    </w:p>
    <w:p w:rsidR="00252B38" w:rsidRDefault="008C6885">
      <w:pPr>
        <w:spacing w:before="60" w:after="60" w:line="288" w:lineRule="auto"/>
        <w:jc w:val="both"/>
        <w:rPr>
          <w:i/>
          <w:sz w:val="22"/>
          <w:szCs w:val="22"/>
          <w:lang w:val="en-GB"/>
        </w:rPr>
      </w:pPr>
      <w:r>
        <w:rPr>
          <w:b/>
          <w:bCs/>
          <w:i/>
          <w:iCs/>
          <w:sz w:val="22"/>
          <w:szCs w:val="22"/>
          <w:lang w:val="en-GB"/>
        </w:rPr>
        <w:lastRenderedPageBreak/>
        <w:t xml:space="preserve">Objective 4:  </w:t>
      </w:r>
      <w:r>
        <w:rPr>
          <w:i/>
          <w:sz w:val="22"/>
          <w:szCs w:val="22"/>
          <w:lang w:val="en-GB"/>
        </w:rPr>
        <w:t>Addressing common challenges in cross-border security, access to health, management of natural and anthropic risks and emergency situations through joint projects</w:t>
      </w:r>
    </w:p>
    <w:p w:rsidR="00252B38" w:rsidRDefault="008C6885">
      <w:pPr>
        <w:spacing w:before="60" w:after="60" w:line="288" w:lineRule="auto"/>
        <w:jc w:val="both"/>
        <w:rPr>
          <w:b/>
          <w:bCs/>
          <w:iCs/>
          <w:sz w:val="22"/>
          <w:szCs w:val="22"/>
          <w:lang w:val="en-GB"/>
        </w:rPr>
      </w:pPr>
      <w:r>
        <w:rPr>
          <w:b/>
          <w:bCs/>
          <w:iCs/>
          <w:sz w:val="22"/>
          <w:szCs w:val="22"/>
          <w:lang w:val="en-GB"/>
        </w:rPr>
        <w:t>Priority 4.1 - Support to the development of health services and access to health</w:t>
      </w:r>
    </w:p>
    <w:tbl>
      <w:tblPr>
        <w:tblpPr w:leftFromText="180" w:rightFromText="180" w:vertAnchor="text" w:horzAnchor="margin" w:tblpXSpec="center" w:tblpY="244"/>
        <w:tblW w:w="10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4066"/>
        <w:gridCol w:w="1795"/>
        <w:gridCol w:w="2147"/>
        <w:gridCol w:w="1745"/>
      </w:tblGrid>
      <w:tr w:rsidR="00252B38">
        <w:tc>
          <w:tcPr>
            <w:tcW w:w="64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No. crt.</w:t>
            </w:r>
          </w:p>
        </w:tc>
        <w:tc>
          <w:tcPr>
            <w:tcW w:w="4066"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 xml:space="preserve">Indicative activities </w:t>
            </w:r>
          </w:p>
        </w:tc>
        <w:tc>
          <w:tcPr>
            <w:tcW w:w="1795"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Environmental aspects and</w:t>
            </w:r>
          </w:p>
          <w:p w:rsidR="00252B38" w:rsidRDefault="008C6885">
            <w:pPr>
              <w:rPr>
                <w:rFonts w:eastAsia="Calibri" w:cs="Arial"/>
                <w:b/>
                <w:sz w:val="22"/>
                <w:szCs w:val="22"/>
                <w:lang w:val="en-GB" w:eastAsia="en-US"/>
              </w:rPr>
            </w:pPr>
            <w:r>
              <w:rPr>
                <w:rFonts w:eastAsia="Calibri" w:cs="Arial"/>
                <w:b/>
                <w:sz w:val="22"/>
                <w:szCs w:val="22"/>
                <w:lang w:val="en-GB" w:eastAsia="en-US"/>
              </w:rPr>
              <w:t>objective considered</w:t>
            </w:r>
          </w:p>
        </w:tc>
        <w:tc>
          <w:tcPr>
            <w:tcW w:w="2147"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Potential impact</w:t>
            </w:r>
          </w:p>
          <w:p w:rsidR="00252B38" w:rsidRDefault="00252B38">
            <w:pPr>
              <w:rPr>
                <w:rFonts w:eastAsia="Calibri" w:cs="Arial"/>
                <w:b/>
                <w:sz w:val="22"/>
                <w:szCs w:val="22"/>
                <w:lang w:val="en-GB" w:eastAsia="en-US"/>
              </w:rPr>
            </w:pPr>
          </w:p>
        </w:tc>
        <w:tc>
          <w:tcPr>
            <w:tcW w:w="1745" w:type="dxa"/>
            <w:vAlign w:val="center"/>
          </w:tcPr>
          <w:p w:rsidR="00252B38" w:rsidRDefault="008C6885">
            <w:pPr>
              <w:spacing w:before="60" w:after="60" w:line="288" w:lineRule="auto"/>
              <w:rPr>
                <w:b/>
                <w:sz w:val="22"/>
                <w:szCs w:val="22"/>
              </w:rPr>
            </w:pPr>
            <w:r>
              <w:rPr>
                <w:b/>
                <w:sz w:val="22"/>
                <w:szCs w:val="22"/>
                <w:lang w:val="en-GB"/>
              </w:rPr>
              <w:t>Environmental assessment</w:t>
            </w:r>
          </w:p>
        </w:tc>
      </w:tr>
      <w:tr w:rsidR="00252B38">
        <w:tc>
          <w:tcPr>
            <w:tcW w:w="64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1.</w:t>
            </w:r>
          </w:p>
        </w:tc>
        <w:tc>
          <w:tcPr>
            <w:tcW w:w="4066" w:type="dxa"/>
            <w:shd w:val="clear" w:color="auto" w:fill="auto"/>
          </w:tcPr>
          <w:p w:rsidR="00252B38" w:rsidRDefault="008C6885">
            <w:pPr>
              <w:jc w:val="both"/>
              <w:rPr>
                <w:rFonts w:eastAsia="Calibri" w:cs="Arial"/>
                <w:bCs/>
                <w:iCs/>
                <w:sz w:val="22"/>
                <w:szCs w:val="22"/>
                <w:lang w:val="en-GB" w:eastAsia="en-US"/>
              </w:rPr>
            </w:pPr>
            <w:r>
              <w:rPr>
                <w:rFonts w:eastAsia="Calibri" w:cs="Arial"/>
                <w:bCs/>
                <w:iCs/>
                <w:sz w:val="22"/>
                <w:szCs w:val="22"/>
                <w:lang w:val="en-GB" w:eastAsia="en-US"/>
              </w:rPr>
              <w:t>Joint activities meant to enhance the access to health in the border area through construction / rehabilitation / modernization of infrastructure of public health services (including through the use of renewable energy etc.);</w:t>
            </w:r>
          </w:p>
        </w:tc>
        <w:tc>
          <w:tcPr>
            <w:tcW w:w="1795"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Is not the case</w:t>
            </w:r>
          </w:p>
        </w:tc>
        <w:tc>
          <w:tcPr>
            <w:tcW w:w="2147"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Indirect</w:t>
            </w:r>
          </w:p>
        </w:tc>
        <w:tc>
          <w:tcPr>
            <w:tcW w:w="1745" w:type="dxa"/>
            <w:vAlign w:val="center"/>
          </w:tcPr>
          <w:p w:rsidR="00252B38" w:rsidRDefault="008C6885">
            <w:pPr>
              <w:spacing w:before="60" w:after="60" w:line="288" w:lineRule="auto"/>
              <w:rPr>
                <w:sz w:val="22"/>
                <w:szCs w:val="22"/>
              </w:rPr>
            </w:pPr>
            <w:r>
              <w:rPr>
                <w:sz w:val="22"/>
                <w:szCs w:val="22"/>
                <w:lang w:val="en-GB"/>
              </w:rPr>
              <w:t>Neutral</w:t>
            </w:r>
          </w:p>
        </w:tc>
      </w:tr>
      <w:tr w:rsidR="00252B38">
        <w:tc>
          <w:tcPr>
            <w:tcW w:w="64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2.</w:t>
            </w:r>
          </w:p>
        </w:tc>
        <w:tc>
          <w:tcPr>
            <w:tcW w:w="4066" w:type="dxa"/>
            <w:shd w:val="clear" w:color="auto" w:fill="auto"/>
          </w:tcPr>
          <w:p w:rsidR="00252B38" w:rsidRDefault="008C6885">
            <w:pPr>
              <w:jc w:val="both"/>
              <w:rPr>
                <w:rFonts w:eastAsia="Calibri" w:cs="Arial"/>
                <w:bCs/>
                <w:iCs/>
                <w:sz w:val="22"/>
                <w:szCs w:val="22"/>
                <w:lang w:val="en-GB" w:eastAsia="en-US"/>
              </w:rPr>
            </w:pPr>
            <w:r>
              <w:rPr>
                <w:rFonts w:eastAsia="Calibri" w:cs="Arial"/>
                <w:bCs/>
                <w:iCs/>
                <w:sz w:val="22"/>
                <w:szCs w:val="22"/>
                <w:lang w:val="en-GB" w:eastAsia="en-US"/>
              </w:rPr>
              <w:t>Developing labs and mobile labs for screening / clinical monitoring of diseases and prevention of cross border epidemics;</w:t>
            </w:r>
          </w:p>
        </w:tc>
        <w:tc>
          <w:tcPr>
            <w:tcW w:w="1795"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pPr>
              <w:rPr>
                <w:rFonts w:eastAsia="Calibri" w:cs="Arial"/>
                <w:sz w:val="22"/>
                <w:szCs w:val="22"/>
                <w:lang w:val="en-GB" w:eastAsia="en-US"/>
              </w:rPr>
            </w:pPr>
            <w:r>
              <w:rPr>
                <w:rFonts w:eastAsia="Calibri" w:cs="Arial"/>
                <w:sz w:val="22"/>
                <w:szCs w:val="22"/>
                <w:lang w:val="en-GB" w:eastAsia="en-US"/>
              </w:rPr>
              <w:t>Waste</w:t>
            </w:r>
          </w:p>
          <w:p w:rsidR="00252B38" w:rsidRDefault="008C6885">
            <w:pPr>
              <w:rPr>
                <w:rFonts w:eastAsia="Calibri" w:cs="Arial"/>
                <w:sz w:val="22"/>
                <w:szCs w:val="22"/>
                <w:lang w:val="en-GB" w:eastAsia="en-US"/>
              </w:rPr>
            </w:pPr>
            <w:r>
              <w:rPr>
                <w:rFonts w:eastAsia="Calibri" w:cs="Arial"/>
                <w:sz w:val="22"/>
                <w:szCs w:val="22"/>
                <w:lang w:val="en-GB" w:eastAsia="en-US"/>
              </w:rPr>
              <w:t>Management Biodiversity</w:t>
            </w:r>
          </w:p>
        </w:tc>
        <w:tc>
          <w:tcPr>
            <w:tcW w:w="2147"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Positive</w:t>
            </w:r>
          </w:p>
        </w:tc>
        <w:tc>
          <w:tcPr>
            <w:tcW w:w="1745" w:type="dxa"/>
            <w:vAlign w:val="center"/>
          </w:tcPr>
          <w:p w:rsidR="00252B38" w:rsidRDefault="008C6885">
            <w:pPr>
              <w:spacing w:before="60" w:after="60" w:line="288" w:lineRule="auto"/>
              <w:rPr>
                <w:sz w:val="22"/>
                <w:szCs w:val="22"/>
                <w:lang w:val="en-GB"/>
              </w:rPr>
            </w:pPr>
            <w:r>
              <w:rPr>
                <w:sz w:val="22"/>
                <w:szCs w:val="22"/>
                <w:lang w:val="en-GB"/>
              </w:rPr>
              <w:t>Positive</w:t>
            </w:r>
          </w:p>
          <w:p w:rsidR="00252B38" w:rsidRDefault="008C6885">
            <w:pPr>
              <w:spacing w:before="60" w:after="60" w:line="288" w:lineRule="auto"/>
              <w:rPr>
                <w:sz w:val="22"/>
                <w:szCs w:val="22"/>
              </w:rPr>
            </w:pPr>
            <w:r>
              <w:rPr>
                <w:sz w:val="22"/>
                <w:szCs w:val="22"/>
                <w:lang w:val="en-GB"/>
              </w:rPr>
              <w:t>impact</w:t>
            </w:r>
            <w:r>
              <w:rPr>
                <w:sz w:val="22"/>
                <w:szCs w:val="22"/>
              </w:rPr>
              <w:t xml:space="preserve"> </w:t>
            </w:r>
          </w:p>
        </w:tc>
      </w:tr>
      <w:tr w:rsidR="00F86820" w:rsidTr="002E01ED">
        <w:tc>
          <w:tcPr>
            <w:tcW w:w="640"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3.</w:t>
            </w:r>
          </w:p>
        </w:tc>
        <w:tc>
          <w:tcPr>
            <w:tcW w:w="4066" w:type="dxa"/>
            <w:shd w:val="clear" w:color="auto" w:fill="auto"/>
          </w:tcPr>
          <w:p w:rsidR="00F86820" w:rsidRDefault="00F86820">
            <w:pPr>
              <w:jc w:val="both"/>
              <w:rPr>
                <w:rFonts w:eastAsia="Calibri" w:cs="Arial"/>
                <w:bCs/>
                <w:iCs/>
                <w:sz w:val="22"/>
                <w:szCs w:val="22"/>
                <w:lang w:val="en-GB" w:eastAsia="en-US"/>
              </w:rPr>
            </w:pPr>
            <w:r>
              <w:rPr>
                <w:rFonts w:eastAsia="Calibri" w:cs="Arial"/>
                <w:bCs/>
                <w:iCs/>
                <w:sz w:val="22"/>
                <w:szCs w:val="22"/>
                <w:lang w:val="en-GB" w:eastAsia="en-US"/>
              </w:rPr>
              <w:t>Equipping specific public medical service infrastructure (outpatient, emergency room facilities, medical centres, integrated social intervention, etc.);</w:t>
            </w:r>
          </w:p>
        </w:tc>
        <w:tc>
          <w:tcPr>
            <w:tcW w:w="1795"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2147" w:type="dxa"/>
            <w:shd w:val="clear" w:color="auto" w:fill="auto"/>
          </w:tcPr>
          <w:p w:rsidR="00F86820" w:rsidRDefault="00F86820">
            <w:pPr>
              <w:jc w:val="center"/>
              <w:rPr>
                <w:rFonts w:eastAsia="Calibri" w:cs="Arial"/>
                <w:sz w:val="22"/>
                <w:szCs w:val="22"/>
                <w:lang w:eastAsia="en-US"/>
              </w:rPr>
            </w:pPr>
            <w:r w:rsidRPr="00446C17">
              <w:rPr>
                <w:rFonts w:eastAsia="Calibri" w:cs="Arial"/>
                <w:sz w:val="22"/>
                <w:szCs w:val="22"/>
                <w:lang w:val="en-GB" w:eastAsia="en-US"/>
              </w:rPr>
              <w:t>Indirect</w:t>
            </w:r>
          </w:p>
        </w:tc>
        <w:tc>
          <w:tcPr>
            <w:tcW w:w="1745"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c>
          <w:tcPr>
            <w:tcW w:w="640"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4.</w:t>
            </w:r>
          </w:p>
        </w:tc>
        <w:tc>
          <w:tcPr>
            <w:tcW w:w="4066" w:type="dxa"/>
            <w:shd w:val="clear" w:color="auto" w:fill="auto"/>
          </w:tcPr>
          <w:p w:rsidR="00F86820" w:rsidRDefault="00F86820">
            <w:pPr>
              <w:jc w:val="both"/>
              <w:rPr>
                <w:rFonts w:eastAsia="Calibri" w:cs="Arial"/>
                <w:bCs/>
                <w:iCs/>
                <w:sz w:val="22"/>
                <w:szCs w:val="22"/>
                <w:lang w:val="en-GB" w:eastAsia="en-US"/>
              </w:rPr>
            </w:pPr>
            <w:r>
              <w:rPr>
                <w:rFonts w:eastAsia="Calibri" w:cs="Arial"/>
                <w:bCs/>
                <w:iCs/>
                <w:sz w:val="22"/>
                <w:szCs w:val="22"/>
                <w:lang w:val="en-GB" w:eastAsia="en-US"/>
              </w:rPr>
              <w:t>Joint training programs and exchange of experience, networking for supporting the functioning of the specific public medical services, telemedicine ;</w:t>
            </w:r>
          </w:p>
        </w:tc>
        <w:tc>
          <w:tcPr>
            <w:tcW w:w="1795"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2147" w:type="dxa"/>
            <w:shd w:val="clear" w:color="auto" w:fill="auto"/>
          </w:tcPr>
          <w:p w:rsidR="00F86820" w:rsidRDefault="00F86820">
            <w:pPr>
              <w:jc w:val="center"/>
              <w:rPr>
                <w:rFonts w:eastAsia="Calibri" w:cs="Arial"/>
                <w:sz w:val="22"/>
                <w:szCs w:val="22"/>
                <w:lang w:eastAsia="en-US"/>
              </w:rPr>
            </w:pPr>
            <w:r w:rsidRPr="00446C17">
              <w:rPr>
                <w:rFonts w:eastAsia="Calibri" w:cs="Arial"/>
                <w:sz w:val="22"/>
                <w:szCs w:val="22"/>
                <w:lang w:val="en-GB" w:eastAsia="en-US"/>
              </w:rPr>
              <w:t>Indirect</w:t>
            </w:r>
          </w:p>
        </w:tc>
        <w:tc>
          <w:tcPr>
            <w:tcW w:w="1745"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c>
          <w:tcPr>
            <w:tcW w:w="640"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5.</w:t>
            </w:r>
          </w:p>
        </w:tc>
        <w:tc>
          <w:tcPr>
            <w:tcW w:w="4066" w:type="dxa"/>
            <w:shd w:val="clear" w:color="auto" w:fill="auto"/>
          </w:tcPr>
          <w:p w:rsidR="00F86820" w:rsidRDefault="00F86820">
            <w:pPr>
              <w:jc w:val="both"/>
              <w:rPr>
                <w:rFonts w:eastAsia="Calibri" w:cs="Arial"/>
                <w:bCs/>
                <w:iCs/>
                <w:sz w:val="22"/>
                <w:szCs w:val="22"/>
                <w:lang w:val="en-GB" w:eastAsia="en-US"/>
              </w:rPr>
            </w:pPr>
            <w:r>
              <w:rPr>
                <w:rFonts w:eastAsia="Calibri" w:cs="Arial"/>
                <w:bCs/>
                <w:iCs/>
                <w:sz w:val="22"/>
                <w:szCs w:val="22"/>
                <w:lang w:val="en-GB" w:eastAsia="en-US"/>
              </w:rPr>
              <w:t>Exchange of experience, joint activities in order to ensure compatibility of the treatment guidelines, joint diagnosis programmes;</w:t>
            </w:r>
          </w:p>
        </w:tc>
        <w:tc>
          <w:tcPr>
            <w:tcW w:w="1795"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2147" w:type="dxa"/>
            <w:shd w:val="clear" w:color="auto" w:fill="auto"/>
          </w:tcPr>
          <w:p w:rsidR="00F86820" w:rsidRDefault="00F86820">
            <w:pPr>
              <w:jc w:val="center"/>
              <w:rPr>
                <w:rFonts w:eastAsia="Calibri" w:cs="Arial"/>
                <w:sz w:val="22"/>
                <w:szCs w:val="22"/>
                <w:lang w:eastAsia="en-US"/>
              </w:rPr>
            </w:pPr>
            <w:r w:rsidRPr="00446C17">
              <w:rPr>
                <w:rFonts w:eastAsia="Calibri" w:cs="Arial"/>
                <w:sz w:val="22"/>
                <w:szCs w:val="22"/>
                <w:lang w:val="en-GB" w:eastAsia="en-US"/>
              </w:rPr>
              <w:t>Indirect</w:t>
            </w:r>
          </w:p>
        </w:tc>
        <w:tc>
          <w:tcPr>
            <w:tcW w:w="1745"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F86820" w:rsidTr="002E01ED">
        <w:tc>
          <w:tcPr>
            <w:tcW w:w="640" w:type="dxa"/>
            <w:shd w:val="clear" w:color="auto" w:fill="auto"/>
          </w:tcPr>
          <w:p w:rsidR="00F86820" w:rsidRDefault="00F86820">
            <w:pPr>
              <w:rPr>
                <w:rFonts w:eastAsia="Calibri" w:cs="Arial"/>
                <w:sz w:val="22"/>
                <w:szCs w:val="22"/>
                <w:lang w:val="en-GB" w:eastAsia="en-US"/>
              </w:rPr>
            </w:pPr>
            <w:r>
              <w:rPr>
                <w:rFonts w:eastAsia="Calibri" w:cs="Arial"/>
                <w:sz w:val="22"/>
                <w:szCs w:val="22"/>
                <w:lang w:val="en-GB" w:eastAsia="en-US"/>
              </w:rPr>
              <w:t>6.</w:t>
            </w:r>
          </w:p>
        </w:tc>
        <w:tc>
          <w:tcPr>
            <w:tcW w:w="4066" w:type="dxa"/>
            <w:shd w:val="clear" w:color="auto" w:fill="auto"/>
          </w:tcPr>
          <w:p w:rsidR="00F86820" w:rsidRDefault="00F86820">
            <w:pPr>
              <w:jc w:val="both"/>
              <w:rPr>
                <w:rFonts w:eastAsia="Calibri" w:cs="Arial"/>
                <w:bCs/>
                <w:iCs/>
                <w:sz w:val="22"/>
                <w:szCs w:val="22"/>
                <w:lang w:val="en-GB" w:eastAsia="en-US"/>
              </w:rPr>
            </w:pPr>
            <w:r>
              <w:rPr>
                <w:rFonts w:eastAsia="Calibri" w:cs="Arial"/>
                <w:bCs/>
                <w:iCs/>
                <w:sz w:val="22"/>
                <w:szCs w:val="22"/>
                <w:lang w:val="en-GB" w:eastAsia="en-US"/>
              </w:rPr>
              <w:t>Awareness campaigns concerning public education on health, diseases and prevention of epidemics.</w:t>
            </w:r>
          </w:p>
        </w:tc>
        <w:tc>
          <w:tcPr>
            <w:tcW w:w="1795" w:type="dxa"/>
            <w:shd w:val="clear" w:color="auto" w:fill="auto"/>
            <w:vAlign w:val="center"/>
          </w:tcPr>
          <w:p w:rsidR="00F86820" w:rsidRDefault="00F86820">
            <w:pPr>
              <w:jc w:val="center"/>
              <w:rPr>
                <w:rFonts w:eastAsia="Calibri" w:cs="Arial"/>
                <w:sz w:val="22"/>
                <w:szCs w:val="22"/>
                <w:lang w:eastAsia="en-US"/>
              </w:rPr>
            </w:pPr>
            <w:r>
              <w:rPr>
                <w:rFonts w:eastAsia="Calibri" w:cs="Arial"/>
                <w:sz w:val="22"/>
                <w:szCs w:val="22"/>
                <w:lang w:val="en-GB" w:eastAsia="en-US"/>
              </w:rPr>
              <w:t>Is not the case</w:t>
            </w:r>
          </w:p>
        </w:tc>
        <w:tc>
          <w:tcPr>
            <w:tcW w:w="2147" w:type="dxa"/>
            <w:shd w:val="clear" w:color="auto" w:fill="auto"/>
          </w:tcPr>
          <w:p w:rsidR="00F86820" w:rsidRDefault="00F86820">
            <w:pPr>
              <w:jc w:val="center"/>
              <w:rPr>
                <w:rFonts w:eastAsia="Calibri" w:cs="Arial"/>
                <w:sz w:val="22"/>
                <w:szCs w:val="22"/>
                <w:lang w:eastAsia="en-US"/>
              </w:rPr>
            </w:pPr>
            <w:r w:rsidRPr="00446C17">
              <w:rPr>
                <w:rFonts w:eastAsia="Calibri" w:cs="Arial"/>
                <w:sz w:val="22"/>
                <w:szCs w:val="22"/>
                <w:lang w:val="en-GB" w:eastAsia="en-US"/>
              </w:rPr>
              <w:t>Indirect</w:t>
            </w:r>
          </w:p>
        </w:tc>
        <w:tc>
          <w:tcPr>
            <w:tcW w:w="1745" w:type="dxa"/>
            <w:vAlign w:val="center"/>
          </w:tcPr>
          <w:p w:rsidR="00F86820" w:rsidRDefault="00F86820">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bl>
    <w:p w:rsidR="00252B38" w:rsidRDefault="008C6885">
      <w:pPr>
        <w:spacing w:before="60" w:after="60" w:line="288" w:lineRule="auto"/>
        <w:rPr>
          <w:b/>
        </w:rPr>
      </w:pPr>
      <w:r>
        <w:rPr>
          <w:b/>
        </w:rPr>
        <w:t xml:space="preserve"> </w:t>
      </w:r>
    </w:p>
    <w:p w:rsidR="00252B38" w:rsidRDefault="008C6885">
      <w:pPr>
        <w:spacing w:before="60" w:after="60" w:line="288" w:lineRule="auto"/>
        <w:rPr>
          <w:b/>
          <w:bCs/>
          <w:iCs/>
          <w:sz w:val="22"/>
          <w:szCs w:val="22"/>
          <w:lang w:val="en-GB"/>
        </w:rPr>
      </w:pPr>
      <w:r>
        <w:rPr>
          <w:b/>
          <w:bCs/>
          <w:iCs/>
          <w:sz w:val="22"/>
          <w:szCs w:val="22"/>
          <w:lang w:val="en-GB"/>
        </w:rPr>
        <w:t>Priority 4.2 – Support to joint activities for the prevention of natural and man-made disasters as well as joint actions during emergency situations</w:t>
      </w: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4320"/>
        <w:gridCol w:w="1800"/>
        <w:gridCol w:w="2250"/>
        <w:gridCol w:w="1350"/>
      </w:tblGrid>
      <w:tr w:rsidR="00252B38">
        <w:tc>
          <w:tcPr>
            <w:tcW w:w="63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No. crt.</w:t>
            </w:r>
          </w:p>
        </w:tc>
        <w:tc>
          <w:tcPr>
            <w:tcW w:w="432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 xml:space="preserve">Indicative activities </w:t>
            </w:r>
          </w:p>
        </w:tc>
        <w:tc>
          <w:tcPr>
            <w:tcW w:w="180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Environmental aspects and</w:t>
            </w:r>
          </w:p>
          <w:p w:rsidR="00252B38" w:rsidRDefault="008C6885">
            <w:pPr>
              <w:rPr>
                <w:rFonts w:eastAsia="Calibri" w:cs="Arial"/>
                <w:b/>
                <w:sz w:val="22"/>
                <w:szCs w:val="22"/>
                <w:lang w:val="en-GB" w:eastAsia="en-US"/>
              </w:rPr>
            </w:pPr>
            <w:r>
              <w:rPr>
                <w:rFonts w:eastAsia="Calibri" w:cs="Arial"/>
                <w:b/>
                <w:sz w:val="22"/>
                <w:szCs w:val="22"/>
                <w:lang w:val="en-GB" w:eastAsia="en-US"/>
              </w:rPr>
              <w:t>objective considered</w:t>
            </w:r>
          </w:p>
        </w:tc>
        <w:tc>
          <w:tcPr>
            <w:tcW w:w="225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Potential impact</w:t>
            </w:r>
          </w:p>
          <w:p w:rsidR="00252B38" w:rsidRDefault="00252B38">
            <w:pPr>
              <w:rPr>
                <w:rFonts w:eastAsia="Calibri" w:cs="Arial"/>
                <w:b/>
                <w:sz w:val="22"/>
                <w:szCs w:val="22"/>
                <w:lang w:val="en-GB" w:eastAsia="en-US"/>
              </w:rPr>
            </w:pPr>
          </w:p>
        </w:tc>
        <w:tc>
          <w:tcPr>
            <w:tcW w:w="1350" w:type="dxa"/>
          </w:tcPr>
          <w:p w:rsidR="00252B38" w:rsidRDefault="008C6885">
            <w:pPr>
              <w:spacing w:before="60" w:after="60" w:line="288" w:lineRule="auto"/>
              <w:rPr>
                <w:b/>
                <w:sz w:val="22"/>
                <w:szCs w:val="22"/>
              </w:rPr>
            </w:pPr>
            <w:r>
              <w:rPr>
                <w:b/>
                <w:sz w:val="22"/>
                <w:szCs w:val="22"/>
                <w:lang w:val="en-GB"/>
              </w:rPr>
              <w:t>Environmental assessment</w:t>
            </w:r>
          </w:p>
        </w:tc>
      </w:tr>
      <w:tr w:rsidR="00252B38">
        <w:tc>
          <w:tcPr>
            <w:tcW w:w="63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1.</w:t>
            </w:r>
          </w:p>
        </w:tc>
        <w:tc>
          <w:tcPr>
            <w:tcW w:w="4320" w:type="dxa"/>
            <w:shd w:val="clear" w:color="auto" w:fill="auto"/>
          </w:tcPr>
          <w:p w:rsidR="00252B38" w:rsidRDefault="008C6885">
            <w:pPr>
              <w:jc w:val="both"/>
              <w:rPr>
                <w:rFonts w:eastAsia="Calibri" w:cs="Arial"/>
                <w:bCs/>
                <w:sz w:val="22"/>
                <w:szCs w:val="22"/>
                <w:lang w:val="en-GB" w:eastAsia="en-US"/>
              </w:rPr>
            </w:pPr>
            <w:r>
              <w:rPr>
                <w:rFonts w:eastAsia="Calibri" w:cs="Arial"/>
                <w:bCs/>
                <w:sz w:val="22"/>
                <w:szCs w:val="22"/>
                <w:lang w:val="en-GB" w:eastAsia="en-US"/>
              </w:rPr>
              <w:t>Common measures for preventing land slide and flooding of the cross border areas;</w:t>
            </w:r>
          </w:p>
        </w:tc>
        <w:tc>
          <w:tcPr>
            <w:tcW w:w="180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 xml:space="preserve">Soil </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Biodiversity</w:t>
            </w:r>
          </w:p>
          <w:p w:rsidR="00252B38" w:rsidRDefault="008C6885">
            <w:pPr>
              <w:rPr>
                <w:rFonts w:eastAsia="Calibri" w:cs="Arial"/>
                <w:sz w:val="22"/>
                <w:szCs w:val="22"/>
                <w:lang w:val="en-GB" w:eastAsia="en-US"/>
              </w:rPr>
            </w:pPr>
            <w:r>
              <w:rPr>
                <w:rFonts w:eastAsia="Calibri" w:cs="Arial"/>
                <w:sz w:val="22"/>
                <w:szCs w:val="22"/>
                <w:lang w:val="en-GB" w:eastAsia="en-US"/>
              </w:rPr>
              <w:t>Landscape</w:t>
            </w:r>
          </w:p>
        </w:tc>
        <w:tc>
          <w:tcPr>
            <w:tcW w:w="2250" w:type="dxa"/>
            <w:shd w:val="clear" w:color="auto" w:fill="auto"/>
          </w:tcPr>
          <w:p w:rsidR="00252B38" w:rsidRDefault="008C6885">
            <w:pPr>
              <w:rPr>
                <w:rFonts w:eastAsia="Calibri" w:cs="Arial"/>
                <w:sz w:val="22"/>
                <w:szCs w:val="22"/>
                <w:lang w:eastAsia="en-US"/>
              </w:rPr>
            </w:pPr>
            <w:r>
              <w:rPr>
                <w:rFonts w:eastAsia="Calibri" w:cs="Arial"/>
                <w:sz w:val="22"/>
                <w:szCs w:val="22"/>
                <w:lang w:val="en-GB" w:eastAsia="en-US"/>
              </w:rPr>
              <w:t>Positive</w:t>
            </w:r>
          </w:p>
        </w:tc>
        <w:tc>
          <w:tcPr>
            <w:tcW w:w="1350" w:type="dxa"/>
            <w:vAlign w:val="center"/>
          </w:tcPr>
          <w:p w:rsidR="00252B38" w:rsidRDefault="00EA79BD">
            <w:pPr>
              <w:spacing w:before="60" w:after="60" w:line="288" w:lineRule="auto"/>
              <w:rPr>
                <w:sz w:val="22"/>
                <w:szCs w:val="22"/>
                <w:lang w:val="en-GB"/>
              </w:rPr>
            </w:pPr>
            <w:r>
              <w:rPr>
                <w:sz w:val="22"/>
                <w:szCs w:val="22"/>
                <w:lang w:val="en-GB"/>
              </w:rPr>
              <w:t>P</w:t>
            </w:r>
            <w:r w:rsidR="008C6885">
              <w:rPr>
                <w:sz w:val="22"/>
                <w:szCs w:val="22"/>
                <w:lang w:val="en-GB"/>
              </w:rPr>
              <w:t>ositive</w:t>
            </w:r>
          </w:p>
          <w:p w:rsidR="00252B38" w:rsidRDefault="008C6885">
            <w:pPr>
              <w:spacing w:before="60" w:after="60" w:line="288" w:lineRule="auto"/>
              <w:rPr>
                <w:sz w:val="22"/>
                <w:szCs w:val="22"/>
              </w:rPr>
            </w:pPr>
            <w:r>
              <w:rPr>
                <w:sz w:val="22"/>
                <w:szCs w:val="22"/>
                <w:lang w:val="en-GB"/>
              </w:rPr>
              <w:t>impact</w:t>
            </w:r>
          </w:p>
        </w:tc>
      </w:tr>
      <w:tr w:rsidR="00252B38">
        <w:tc>
          <w:tcPr>
            <w:tcW w:w="63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2.</w:t>
            </w:r>
          </w:p>
        </w:tc>
        <w:tc>
          <w:tcPr>
            <w:tcW w:w="4320" w:type="dxa"/>
            <w:shd w:val="clear" w:color="auto" w:fill="auto"/>
          </w:tcPr>
          <w:p w:rsidR="00252B38" w:rsidRDefault="008C6885">
            <w:pPr>
              <w:jc w:val="both"/>
              <w:rPr>
                <w:rFonts w:eastAsia="Calibri" w:cs="Arial"/>
                <w:bCs/>
                <w:sz w:val="22"/>
                <w:szCs w:val="22"/>
                <w:lang w:val="en-GB" w:eastAsia="en-US"/>
              </w:rPr>
            </w:pPr>
            <w:r>
              <w:rPr>
                <w:rFonts w:eastAsia="Calibri" w:cs="Arial"/>
                <w:bCs/>
                <w:sz w:val="22"/>
                <w:szCs w:val="22"/>
                <w:lang w:val="en-GB" w:eastAsia="en-US"/>
              </w:rPr>
              <w:t>Joint integrated systems for efficient monitoring and disaster prevention and for the mitigation of consequences;</w:t>
            </w:r>
          </w:p>
        </w:tc>
        <w:tc>
          <w:tcPr>
            <w:tcW w:w="180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 xml:space="preserve">Soil </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Biodiversity</w:t>
            </w:r>
          </w:p>
          <w:p w:rsidR="00252B38" w:rsidRDefault="008C6885">
            <w:pPr>
              <w:rPr>
                <w:rFonts w:eastAsia="Calibri" w:cs="Arial"/>
                <w:sz w:val="22"/>
                <w:szCs w:val="22"/>
                <w:lang w:val="en-GB" w:eastAsia="en-US"/>
              </w:rPr>
            </w:pPr>
            <w:r>
              <w:rPr>
                <w:rFonts w:eastAsia="Calibri" w:cs="Arial"/>
                <w:sz w:val="22"/>
                <w:szCs w:val="22"/>
                <w:lang w:val="en-GB" w:eastAsia="en-US"/>
              </w:rPr>
              <w:t>Landscape</w:t>
            </w:r>
          </w:p>
        </w:tc>
        <w:tc>
          <w:tcPr>
            <w:tcW w:w="2250" w:type="dxa"/>
            <w:shd w:val="clear" w:color="auto" w:fill="auto"/>
          </w:tcPr>
          <w:p w:rsidR="00252B38" w:rsidRDefault="008C6885">
            <w:pPr>
              <w:rPr>
                <w:rFonts w:eastAsia="Calibri" w:cs="Arial"/>
                <w:sz w:val="22"/>
                <w:szCs w:val="22"/>
                <w:lang w:eastAsia="en-US"/>
              </w:rPr>
            </w:pPr>
            <w:r>
              <w:rPr>
                <w:rFonts w:eastAsia="Calibri" w:cs="Arial"/>
                <w:sz w:val="22"/>
                <w:szCs w:val="22"/>
                <w:lang w:val="en-GB" w:eastAsia="en-US"/>
              </w:rPr>
              <w:t>Positive</w:t>
            </w:r>
          </w:p>
        </w:tc>
        <w:tc>
          <w:tcPr>
            <w:tcW w:w="1350" w:type="dxa"/>
            <w:vAlign w:val="center"/>
          </w:tcPr>
          <w:p w:rsidR="00252B38" w:rsidRDefault="00EA79BD">
            <w:pPr>
              <w:spacing w:before="60" w:after="60" w:line="288" w:lineRule="auto"/>
              <w:rPr>
                <w:sz w:val="22"/>
                <w:szCs w:val="22"/>
                <w:lang w:val="en-GB"/>
              </w:rPr>
            </w:pPr>
            <w:r>
              <w:rPr>
                <w:sz w:val="22"/>
                <w:szCs w:val="22"/>
                <w:lang w:val="en-GB"/>
              </w:rPr>
              <w:t>P</w:t>
            </w:r>
            <w:r w:rsidR="008C6885">
              <w:rPr>
                <w:sz w:val="22"/>
                <w:szCs w:val="22"/>
                <w:lang w:val="en-GB"/>
              </w:rPr>
              <w:t>ositive</w:t>
            </w:r>
          </w:p>
          <w:p w:rsidR="00252B38" w:rsidRDefault="008C6885">
            <w:pPr>
              <w:spacing w:before="60" w:after="60" w:line="288" w:lineRule="auto"/>
              <w:rPr>
                <w:sz w:val="22"/>
                <w:szCs w:val="22"/>
              </w:rPr>
            </w:pPr>
            <w:r>
              <w:rPr>
                <w:sz w:val="22"/>
                <w:szCs w:val="22"/>
                <w:lang w:val="en-GB"/>
              </w:rPr>
              <w:t>impact</w:t>
            </w:r>
          </w:p>
        </w:tc>
      </w:tr>
      <w:tr w:rsidR="00252B38">
        <w:tc>
          <w:tcPr>
            <w:tcW w:w="63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lastRenderedPageBreak/>
              <w:t>3.</w:t>
            </w:r>
          </w:p>
        </w:tc>
        <w:tc>
          <w:tcPr>
            <w:tcW w:w="4320" w:type="dxa"/>
            <w:shd w:val="clear" w:color="auto" w:fill="auto"/>
          </w:tcPr>
          <w:p w:rsidR="00252B38" w:rsidRDefault="008C6885">
            <w:pPr>
              <w:jc w:val="both"/>
              <w:rPr>
                <w:rFonts w:eastAsia="Calibri" w:cs="Arial"/>
                <w:bCs/>
                <w:sz w:val="22"/>
                <w:szCs w:val="22"/>
                <w:lang w:val="en-GB" w:eastAsia="en-US"/>
              </w:rPr>
            </w:pPr>
            <w:r>
              <w:rPr>
                <w:rFonts w:eastAsia="Calibri" w:cs="Arial"/>
                <w:bCs/>
                <w:sz w:val="22"/>
                <w:szCs w:val="22"/>
                <w:lang w:val="en-GB" w:eastAsia="en-US"/>
              </w:rPr>
              <w:t xml:space="preserve">Common strategies and tools for hazard management and risk prevention including joint action plans; </w:t>
            </w:r>
          </w:p>
        </w:tc>
        <w:tc>
          <w:tcPr>
            <w:tcW w:w="1800"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Is not the case</w:t>
            </w:r>
          </w:p>
        </w:tc>
        <w:tc>
          <w:tcPr>
            <w:tcW w:w="2250" w:type="dxa"/>
            <w:shd w:val="clear" w:color="auto" w:fill="auto"/>
            <w:vAlign w:val="center"/>
          </w:tcPr>
          <w:p w:rsidR="00252B38" w:rsidRDefault="00EA79BD">
            <w:pPr>
              <w:rPr>
                <w:rFonts w:eastAsia="Calibri" w:cs="Arial"/>
                <w:sz w:val="22"/>
                <w:szCs w:val="22"/>
                <w:lang w:val="en-GB" w:eastAsia="en-US"/>
              </w:rPr>
            </w:pPr>
            <w:r>
              <w:rPr>
                <w:rFonts w:eastAsia="Calibri" w:cs="Arial"/>
                <w:sz w:val="22"/>
                <w:szCs w:val="22"/>
                <w:lang w:val="en-GB" w:eastAsia="en-US"/>
              </w:rPr>
              <w:t>Indirect</w:t>
            </w:r>
          </w:p>
        </w:tc>
        <w:tc>
          <w:tcPr>
            <w:tcW w:w="1350" w:type="dxa"/>
            <w:vAlign w:val="center"/>
          </w:tcPr>
          <w:p w:rsidR="00252B38" w:rsidRDefault="008C6885">
            <w:pPr>
              <w:spacing w:before="60" w:after="60" w:line="288" w:lineRule="auto"/>
              <w:rPr>
                <w:sz w:val="22"/>
                <w:szCs w:val="22"/>
              </w:rPr>
            </w:pPr>
            <w:r>
              <w:rPr>
                <w:sz w:val="22"/>
                <w:szCs w:val="22"/>
                <w:lang w:val="en-GB"/>
              </w:rPr>
              <w:t>Neutral</w:t>
            </w:r>
          </w:p>
        </w:tc>
      </w:tr>
      <w:tr w:rsidR="00252B38">
        <w:tc>
          <w:tcPr>
            <w:tcW w:w="63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4.</w:t>
            </w:r>
          </w:p>
        </w:tc>
        <w:tc>
          <w:tcPr>
            <w:tcW w:w="4320" w:type="dxa"/>
            <w:shd w:val="clear" w:color="auto" w:fill="auto"/>
          </w:tcPr>
          <w:p w:rsidR="00252B38" w:rsidRDefault="008C6885">
            <w:pPr>
              <w:jc w:val="both"/>
              <w:rPr>
                <w:rFonts w:eastAsia="Calibri" w:cs="Arial"/>
                <w:bCs/>
                <w:sz w:val="22"/>
                <w:szCs w:val="22"/>
                <w:lang w:val="en-GB" w:eastAsia="en-US"/>
              </w:rPr>
            </w:pPr>
            <w:r>
              <w:rPr>
                <w:rFonts w:eastAsia="Calibri" w:cs="Arial"/>
                <w:bCs/>
                <w:sz w:val="22"/>
                <w:szCs w:val="22"/>
                <w:lang w:val="en-GB" w:eastAsia="en-US"/>
              </w:rPr>
              <w:t>Elaborating of joint detailed maps and databases (indicating natural and technological risks, and land use for regional planning authorities, environmental agencies and emergency services;)</w:t>
            </w:r>
          </w:p>
        </w:tc>
        <w:tc>
          <w:tcPr>
            <w:tcW w:w="180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 xml:space="preserve">Soil </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Biodiversity</w:t>
            </w:r>
          </w:p>
          <w:p w:rsidR="00252B38" w:rsidRDefault="008C6885">
            <w:pPr>
              <w:rPr>
                <w:rFonts w:eastAsia="Calibri" w:cs="Arial"/>
                <w:sz w:val="22"/>
                <w:szCs w:val="22"/>
                <w:lang w:val="en-GB" w:eastAsia="en-US"/>
              </w:rPr>
            </w:pPr>
            <w:r>
              <w:rPr>
                <w:rFonts w:eastAsia="Calibri" w:cs="Arial"/>
                <w:sz w:val="22"/>
                <w:szCs w:val="22"/>
                <w:lang w:val="en-GB" w:eastAsia="en-US"/>
              </w:rPr>
              <w:t>Landscape</w:t>
            </w:r>
          </w:p>
        </w:tc>
        <w:tc>
          <w:tcPr>
            <w:tcW w:w="225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Positive</w:t>
            </w:r>
          </w:p>
        </w:tc>
        <w:tc>
          <w:tcPr>
            <w:tcW w:w="1350" w:type="dxa"/>
            <w:vAlign w:val="center"/>
          </w:tcPr>
          <w:p w:rsidR="00252B38" w:rsidRDefault="00EA79BD">
            <w:pPr>
              <w:spacing w:before="60" w:after="60" w:line="288" w:lineRule="auto"/>
              <w:rPr>
                <w:sz w:val="22"/>
                <w:szCs w:val="22"/>
                <w:lang w:val="en-GB"/>
              </w:rPr>
            </w:pPr>
            <w:r>
              <w:rPr>
                <w:sz w:val="22"/>
                <w:szCs w:val="22"/>
                <w:lang w:val="en-GB"/>
              </w:rPr>
              <w:t>P</w:t>
            </w:r>
            <w:r w:rsidR="008C6885">
              <w:rPr>
                <w:sz w:val="22"/>
                <w:szCs w:val="22"/>
                <w:lang w:val="en-GB"/>
              </w:rPr>
              <w:t>ositive</w:t>
            </w:r>
          </w:p>
          <w:p w:rsidR="00252B38" w:rsidRDefault="008C6885">
            <w:pPr>
              <w:spacing w:before="60" w:after="60" w:line="288" w:lineRule="auto"/>
              <w:rPr>
                <w:sz w:val="22"/>
                <w:szCs w:val="22"/>
              </w:rPr>
            </w:pPr>
            <w:r>
              <w:rPr>
                <w:sz w:val="22"/>
                <w:szCs w:val="22"/>
                <w:lang w:val="en-GB"/>
              </w:rPr>
              <w:t>impact</w:t>
            </w:r>
          </w:p>
        </w:tc>
      </w:tr>
      <w:tr w:rsidR="00EA79BD">
        <w:tc>
          <w:tcPr>
            <w:tcW w:w="630" w:type="dxa"/>
            <w:shd w:val="clear" w:color="auto" w:fill="auto"/>
          </w:tcPr>
          <w:p w:rsidR="00EA79BD" w:rsidRDefault="00EA79BD">
            <w:pPr>
              <w:rPr>
                <w:rFonts w:eastAsia="Calibri" w:cs="Arial"/>
                <w:sz w:val="22"/>
                <w:szCs w:val="22"/>
                <w:lang w:val="en-GB" w:eastAsia="en-US"/>
              </w:rPr>
            </w:pPr>
            <w:r>
              <w:rPr>
                <w:rFonts w:eastAsia="Calibri" w:cs="Arial"/>
                <w:sz w:val="22"/>
                <w:szCs w:val="22"/>
                <w:lang w:val="en-GB" w:eastAsia="en-US"/>
              </w:rPr>
              <w:t>5.</w:t>
            </w:r>
          </w:p>
        </w:tc>
        <w:tc>
          <w:tcPr>
            <w:tcW w:w="4320" w:type="dxa"/>
            <w:shd w:val="clear" w:color="auto" w:fill="auto"/>
          </w:tcPr>
          <w:p w:rsidR="00EA79BD" w:rsidRDefault="00EA79BD">
            <w:pPr>
              <w:jc w:val="both"/>
              <w:rPr>
                <w:rFonts w:eastAsia="Calibri" w:cs="Arial"/>
                <w:bCs/>
                <w:sz w:val="22"/>
                <w:szCs w:val="22"/>
                <w:lang w:val="en-GB" w:eastAsia="en-US"/>
              </w:rPr>
            </w:pPr>
            <w:r>
              <w:rPr>
                <w:rFonts w:eastAsia="Calibri" w:cs="Arial"/>
                <w:bCs/>
                <w:sz w:val="22"/>
                <w:szCs w:val="22"/>
                <w:lang w:val="en-GB" w:eastAsia="en-US"/>
              </w:rPr>
              <w:t>Exchanging experience and knowledge, including raising awareness in the field of efficient risk prevention and management in the cross-border area;</w:t>
            </w:r>
          </w:p>
        </w:tc>
        <w:tc>
          <w:tcPr>
            <w:tcW w:w="1800" w:type="dxa"/>
            <w:shd w:val="clear" w:color="auto" w:fill="auto"/>
            <w:vAlign w:val="center"/>
          </w:tcPr>
          <w:p w:rsidR="00EA79BD" w:rsidRDefault="00EA79BD">
            <w:pPr>
              <w:jc w:val="center"/>
              <w:rPr>
                <w:rFonts w:eastAsia="Calibri" w:cs="Arial"/>
                <w:sz w:val="22"/>
                <w:szCs w:val="22"/>
                <w:lang w:eastAsia="en-US"/>
              </w:rPr>
            </w:pPr>
            <w:r>
              <w:rPr>
                <w:rFonts w:eastAsia="Calibri" w:cs="Arial"/>
                <w:sz w:val="22"/>
                <w:szCs w:val="22"/>
                <w:lang w:val="en-GB" w:eastAsia="en-US"/>
              </w:rPr>
              <w:t>Is not the case</w:t>
            </w:r>
          </w:p>
        </w:tc>
        <w:tc>
          <w:tcPr>
            <w:tcW w:w="2250" w:type="dxa"/>
            <w:shd w:val="clear" w:color="auto" w:fill="auto"/>
          </w:tcPr>
          <w:p w:rsidR="00EA79BD" w:rsidRDefault="00EA79BD">
            <w:pPr>
              <w:rPr>
                <w:rFonts w:eastAsia="Calibri" w:cs="Arial"/>
                <w:sz w:val="22"/>
                <w:szCs w:val="22"/>
                <w:lang w:eastAsia="en-US"/>
              </w:rPr>
            </w:pPr>
            <w:r w:rsidRPr="00B06175">
              <w:rPr>
                <w:rFonts w:eastAsia="Calibri" w:cs="Arial"/>
                <w:sz w:val="22"/>
                <w:szCs w:val="22"/>
                <w:lang w:val="en-GB" w:eastAsia="en-US"/>
              </w:rPr>
              <w:t>Indirect</w:t>
            </w:r>
          </w:p>
        </w:tc>
        <w:tc>
          <w:tcPr>
            <w:tcW w:w="1350" w:type="dxa"/>
            <w:vAlign w:val="center"/>
          </w:tcPr>
          <w:p w:rsidR="00EA79BD" w:rsidRDefault="00EA79BD">
            <w:pPr>
              <w:spacing w:before="60" w:after="60" w:line="288" w:lineRule="auto"/>
              <w:rPr>
                <w:sz w:val="22"/>
                <w:szCs w:val="22"/>
              </w:rPr>
            </w:pPr>
            <w:r>
              <w:rPr>
                <w:sz w:val="22"/>
                <w:szCs w:val="22"/>
                <w:lang w:val="en-GB"/>
              </w:rPr>
              <w:t>Neutral</w:t>
            </w:r>
          </w:p>
        </w:tc>
      </w:tr>
      <w:tr w:rsidR="00EA79BD">
        <w:tc>
          <w:tcPr>
            <w:tcW w:w="630" w:type="dxa"/>
            <w:shd w:val="clear" w:color="auto" w:fill="auto"/>
          </w:tcPr>
          <w:p w:rsidR="00EA79BD" w:rsidRDefault="00EA79BD">
            <w:pPr>
              <w:rPr>
                <w:rFonts w:eastAsia="Calibri" w:cs="Arial"/>
                <w:sz w:val="22"/>
                <w:szCs w:val="22"/>
                <w:lang w:val="en-GB" w:eastAsia="en-US"/>
              </w:rPr>
            </w:pPr>
            <w:r>
              <w:rPr>
                <w:rFonts w:eastAsia="Calibri" w:cs="Arial"/>
                <w:sz w:val="22"/>
                <w:szCs w:val="22"/>
                <w:lang w:val="en-GB" w:eastAsia="en-US"/>
              </w:rPr>
              <w:t>6.</w:t>
            </w:r>
          </w:p>
        </w:tc>
        <w:tc>
          <w:tcPr>
            <w:tcW w:w="4320" w:type="dxa"/>
            <w:shd w:val="clear" w:color="auto" w:fill="auto"/>
          </w:tcPr>
          <w:p w:rsidR="00EA79BD" w:rsidRDefault="00EA79BD">
            <w:pPr>
              <w:jc w:val="both"/>
              <w:rPr>
                <w:rFonts w:eastAsia="Calibri" w:cs="Arial"/>
                <w:bCs/>
                <w:sz w:val="22"/>
                <w:szCs w:val="22"/>
                <w:lang w:val="en-GB" w:eastAsia="en-US"/>
              </w:rPr>
            </w:pPr>
            <w:r>
              <w:rPr>
                <w:rFonts w:eastAsia="Calibri" w:cs="Arial"/>
                <w:bCs/>
                <w:sz w:val="22"/>
                <w:szCs w:val="22"/>
                <w:lang w:val="en-GB" w:eastAsia="en-US"/>
              </w:rPr>
              <w:t>Development of integrated and common standards for the urban planning and risk management;</w:t>
            </w:r>
          </w:p>
        </w:tc>
        <w:tc>
          <w:tcPr>
            <w:tcW w:w="1800" w:type="dxa"/>
            <w:shd w:val="clear" w:color="auto" w:fill="auto"/>
            <w:vAlign w:val="center"/>
          </w:tcPr>
          <w:p w:rsidR="00EA79BD" w:rsidRDefault="00EA79BD">
            <w:pPr>
              <w:jc w:val="center"/>
              <w:rPr>
                <w:rFonts w:eastAsia="Calibri" w:cs="Arial"/>
                <w:sz w:val="22"/>
                <w:szCs w:val="22"/>
                <w:lang w:eastAsia="en-US"/>
              </w:rPr>
            </w:pPr>
            <w:r>
              <w:rPr>
                <w:rFonts w:eastAsia="Calibri" w:cs="Arial"/>
                <w:sz w:val="22"/>
                <w:szCs w:val="22"/>
                <w:lang w:val="en-GB" w:eastAsia="en-US"/>
              </w:rPr>
              <w:t>Is not the case</w:t>
            </w:r>
          </w:p>
        </w:tc>
        <w:tc>
          <w:tcPr>
            <w:tcW w:w="2250" w:type="dxa"/>
            <w:shd w:val="clear" w:color="auto" w:fill="auto"/>
          </w:tcPr>
          <w:p w:rsidR="00EA79BD" w:rsidRDefault="00EA79BD">
            <w:pPr>
              <w:rPr>
                <w:rFonts w:eastAsia="Calibri" w:cs="Arial"/>
                <w:sz w:val="22"/>
                <w:szCs w:val="22"/>
                <w:lang w:eastAsia="en-US"/>
              </w:rPr>
            </w:pPr>
            <w:r w:rsidRPr="00B06175">
              <w:rPr>
                <w:rFonts w:eastAsia="Calibri" w:cs="Arial"/>
                <w:sz w:val="22"/>
                <w:szCs w:val="22"/>
                <w:lang w:val="en-GB" w:eastAsia="en-US"/>
              </w:rPr>
              <w:t>Indirect</w:t>
            </w:r>
          </w:p>
        </w:tc>
        <w:tc>
          <w:tcPr>
            <w:tcW w:w="1350" w:type="dxa"/>
            <w:vAlign w:val="center"/>
          </w:tcPr>
          <w:p w:rsidR="00EA79BD" w:rsidRDefault="00EA79BD">
            <w:pPr>
              <w:spacing w:before="60" w:after="60" w:line="288" w:lineRule="auto"/>
              <w:rPr>
                <w:sz w:val="22"/>
                <w:szCs w:val="22"/>
              </w:rPr>
            </w:pPr>
            <w:r>
              <w:rPr>
                <w:sz w:val="22"/>
                <w:szCs w:val="22"/>
              </w:rPr>
              <w:t>Neutral</w:t>
            </w:r>
          </w:p>
        </w:tc>
      </w:tr>
      <w:tr w:rsidR="00252B38">
        <w:tc>
          <w:tcPr>
            <w:tcW w:w="63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7.</w:t>
            </w:r>
          </w:p>
        </w:tc>
        <w:tc>
          <w:tcPr>
            <w:tcW w:w="4320" w:type="dxa"/>
            <w:shd w:val="clear" w:color="auto" w:fill="auto"/>
          </w:tcPr>
          <w:p w:rsidR="00252B38" w:rsidRDefault="008C6885">
            <w:pPr>
              <w:jc w:val="both"/>
              <w:rPr>
                <w:rFonts w:eastAsia="Calibri" w:cs="Arial"/>
                <w:bCs/>
                <w:sz w:val="22"/>
                <w:szCs w:val="22"/>
                <w:lang w:val="en-GB" w:eastAsia="en-US"/>
              </w:rPr>
            </w:pPr>
            <w:r>
              <w:rPr>
                <w:rFonts w:eastAsia="Calibri" w:cs="Arial"/>
                <w:bCs/>
                <w:sz w:val="22"/>
                <w:szCs w:val="22"/>
                <w:lang w:val="en-GB" w:eastAsia="en-US"/>
              </w:rPr>
              <w:t xml:space="preserve">Investments and development of common, integrated, emergency management systems. </w:t>
            </w:r>
          </w:p>
        </w:tc>
        <w:tc>
          <w:tcPr>
            <w:tcW w:w="180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 xml:space="preserve">Soil </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Biodiversity</w:t>
            </w:r>
          </w:p>
          <w:p w:rsidR="00252B38" w:rsidRDefault="008C6885">
            <w:pPr>
              <w:rPr>
                <w:rFonts w:eastAsia="Calibri" w:cs="Arial"/>
                <w:sz w:val="22"/>
                <w:szCs w:val="22"/>
                <w:lang w:val="en-GB" w:eastAsia="en-US"/>
              </w:rPr>
            </w:pPr>
            <w:r>
              <w:rPr>
                <w:rFonts w:eastAsia="Calibri" w:cs="Arial"/>
                <w:sz w:val="22"/>
                <w:szCs w:val="22"/>
                <w:lang w:val="en-GB" w:eastAsia="en-US"/>
              </w:rPr>
              <w:t>Landscape</w:t>
            </w:r>
          </w:p>
        </w:tc>
        <w:tc>
          <w:tcPr>
            <w:tcW w:w="225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Positive</w:t>
            </w:r>
          </w:p>
        </w:tc>
        <w:tc>
          <w:tcPr>
            <w:tcW w:w="1350" w:type="dxa"/>
            <w:vAlign w:val="center"/>
          </w:tcPr>
          <w:p w:rsidR="00252B38" w:rsidRDefault="00EA79BD">
            <w:pPr>
              <w:spacing w:before="60" w:after="60" w:line="288" w:lineRule="auto"/>
              <w:rPr>
                <w:sz w:val="22"/>
                <w:szCs w:val="22"/>
                <w:lang w:val="en-GB"/>
              </w:rPr>
            </w:pPr>
            <w:r>
              <w:rPr>
                <w:sz w:val="22"/>
                <w:szCs w:val="22"/>
                <w:lang w:val="en-GB"/>
              </w:rPr>
              <w:t>P</w:t>
            </w:r>
            <w:r w:rsidR="008C6885">
              <w:rPr>
                <w:sz w:val="22"/>
                <w:szCs w:val="22"/>
                <w:lang w:val="en-GB"/>
              </w:rPr>
              <w:t>ositive</w:t>
            </w:r>
          </w:p>
          <w:p w:rsidR="00252B38" w:rsidRDefault="008C6885">
            <w:pPr>
              <w:spacing w:before="60" w:after="60" w:line="288" w:lineRule="auto"/>
              <w:rPr>
                <w:sz w:val="22"/>
                <w:szCs w:val="22"/>
              </w:rPr>
            </w:pPr>
            <w:r>
              <w:rPr>
                <w:sz w:val="22"/>
                <w:szCs w:val="22"/>
                <w:lang w:val="en-GB"/>
              </w:rPr>
              <w:t>impact</w:t>
            </w:r>
          </w:p>
        </w:tc>
      </w:tr>
      <w:tr w:rsidR="00252B38">
        <w:tc>
          <w:tcPr>
            <w:tcW w:w="63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8.</w:t>
            </w:r>
          </w:p>
        </w:tc>
        <w:tc>
          <w:tcPr>
            <w:tcW w:w="4320" w:type="dxa"/>
            <w:shd w:val="clear" w:color="auto" w:fill="auto"/>
          </w:tcPr>
          <w:p w:rsidR="00252B38" w:rsidRDefault="008C6885">
            <w:pPr>
              <w:jc w:val="both"/>
              <w:rPr>
                <w:rFonts w:eastAsia="Calibri" w:cs="Arial"/>
                <w:bCs/>
                <w:sz w:val="22"/>
                <w:szCs w:val="22"/>
                <w:lang w:val="en-GB" w:eastAsia="en-US"/>
              </w:rPr>
            </w:pPr>
            <w:r>
              <w:rPr>
                <w:rFonts w:eastAsia="Calibri" w:cs="Arial"/>
                <w:bCs/>
                <w:sz w:val="22"/>
                <w:szCs w:val="22"/>
                <w:lang w:val="en-GB" w:eastAsia="en-US"/>
              </w:rPr>
              <w:t>Planning co-ordinated actions of the authorities in emergency situations caused by natural and man-made disasters (flood, fire, heat waves, earthquakes, storms).</w:t>
            </w:r>
          </w:p>
        </w:tc>
        <w:tc>
          <w:tcPr>
            <w:tcW w:w="1800" w:type="dxa"/>
            <w:shd w:val="clear" w:color="auto" w:fill="auto"/>
            <w:vAlign w:val="center"/>
          </w:tcPr>
          <w:p w:rsidR="00252B38" w:rsidRDefault="008C6885">
            <w:pPr>
              <w:jc w:val="center"/>
              <w:rPr>
                <w:rFonts w:eastAsia="Calibri" w:cs="Arial"/>
                <w:sz w:val="22"/>
                <w:szCs w:val="22"/>
                <w:lang w:val="en-GB" w:eastAsia="en-US"/>
              </w:rPr>
            </w:pPr>
            <w:r>
              <w:rPr>
                <w:rFonts w:eastAsia="Calibri" w:cs="Arial"/>
                <w:sz w:val="22"/>
                <w:szCs w:val="22"/>
                <w:lang w:val="en-GB" w:eastAsia="en-US"/>
              </w:rPr>
              <w:t>Is not the case</w:t>
            </w:r>
          </w:p>
        </w:tc>
        <w:tc>
          <w:tcPr>
            <w:tcW w:w="2250"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Indirect</w:t>
            </w:r>
          </w:p>
        </w:tc>
        <w:tc>
          <w:tcPr>
            <w:tcW w:w="1350" w:type="dxa"/>
            <w:vAlign w:val="center"/>
          </w:tcPr>
          <w:p w:rsidR="00252B38" w:rsidRDefault="008C6885">
            <w:pPr>
              <w:spacing w:before="60" w:after="60" w:line="288" w:lineRule="auto"/>
              <w:rPr>
                <w:sz w:val="22"/>
                <w:szCs w:val="22"/>
              </w:rPr>
            </w:pPr>
            <w:r>
              <w:rPr>
                <w:sz w:val="22"/>
                <w:szCs w:val="22"/>
                <w:lang w:val="en-GB"/>
              </w:rPr>
              <w:t>Neutral</w:t>
            </w:r>
          </w:p>
        </w:tc>
      </w:tr>
    </w:tbl>
    <w:p w:rsidR="00252B38" w:rsidRDefault="00252B38">
      <w:pPr>
        <w:spacing w:before="60" w:after="60" w:line="288" w:lineRule="auto"/>
        <w:rPr>
          <w:i/>
        </w:rPr>
      </w:pPr>
    </w:p>
    <w:p w:rsidR="00252B38" w:rsidRDefault="008C6885">
      <w:pPr>
        <w:spacing w:before="60" w:after="60" w:line="288" w:lineRule="auto"/>
        <w:rPr>
          <w:b/>
          <w:sz w:val="22"/>
          <w:szCs w:val="22"/>
          <w:lang w:val="en-GB"/>
        </w:rPr>
      </w:pPr>
      <w:r>
        <w:rPr>
          <w:b/>
          <w:bCs/>
          <w:iCs/>
          <w:sz w:val="22"/>
          <w:szCs w:val="22"/>
          <w:lang w:val="en-GB"/>
        </w:rPr>
        <w:t>Priority 4.3 Prevention and fight against organised crime and police cooperation</w:t>
      </w: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4320"/>
        <w:gridCol w:w="1800"/>
        <w:gridCol w:w="2250"/>
        <w:gridCol w:w="1350"/>
      </w:tblGrid>
      <w:tr w:rsidR="00252B38">
        <w:tc>
          <w:tcPr>
            <w:tcW w:w="63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No. crt.</w:t>
            </w:r>
          </w:p>
        </w:tc>
        <w:tc>
          <w:tcPr>
            <w:tcW w:w="432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 xml:space="preserve">Indicative activities </w:t>
            </w:r>
          </w:p>
        </w:tc>
        <w:tc>
          <w:tcPr>
            <w:tcW w:w="180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Environmental aspects and</w:t>
            </w:r>
          </w:p>
          <w:p w:rsidR="00252B38" w:rsidRDefault="008C6885">
            <w:pPr>
              <w:rPr>
                <w:rFonts w:eastAsia="Calibri" w:cs="Arial"/>
                <w:b/>
                <w:sz w:val="22"/>
                <w:szCs w:val="22"/>
                <w:lang w:val="en-GB" w:eastAsia="en-US"/>
              </w:rPr>
            </w:pPr>
            <w:r>
              <w:rPr>
                <w:rFonts w:eastAsia="Calibri" w:cs="Arial"/>
                <w:b/>
                <w:sz w:val="22"/>
                <w:szCs w:val="22"/>
                <w:lang w:val="en-GB" w:eastAsia="en-US"/>
              </w:rPr>
              <w:t>objective considered</w:t>
            </w:r>
          </w:p>
        </w:tc>
        <w:tc>
          <w:tcPr>
            <w:tcW w:w="225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Potential impact</w:t>
            </w:r>
          </w:p>
          <w:p w:rsidR="00252B38" w:rsidRDefault="00252B38">
            <w:pPr>
              <w:rPr>
                <w:rFonts w:eastAsia="Calibri" w:cs="Arial"/>
                <w:b/>
                <w:sz w:val="22"/>
                <w:szCs w:val="22"/>
                <w:lang w:val="en-GB" w:eastAsia="en-US"/>
              </w:rPr>
            </w:pPr>
          </w:p>
        </w:tc>
        <w:tc>
          <w:tcPr>
            <w:tcW w:w="1350" w:type="dxa"/>
            <w:vAlign w:val="center"/>
          </w:tcPr>
          <w:p w:rsidR="00252B38" w:rsidRDefault="008C6885">
            <w:pPr>
              <w:spacing w:before="60" w:after="60" w:line="288" w:lineRule="auto"/>
              <w:rPr>
                <w:b/>
                <w:sz w:val="22"/>
                <w:szCs w:val="22"/>
              </w:rPr>
            </w:pPr>
            <w:r>
              <w:rPr>
                <w:b/>
                <w:sz w:val="22"/>
                <w:szCs w:val="22"/>
                <w:lang w:val="en-GB"/>
              </w:rPr>
              <w:t>Environmental assessment</w:t>
            </w:r>
          </w:p>
        </w:tc>
      </w:tr>
      <w:tr w:rsidR="00252B38">
        <w:tc>
          <w:tcPr>
            <w:tcW w:w="63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1.</w:t>
            </w:r>
          </w:p>
        </w:tc>
        <w:tc>
          <w:tcPr>
            <w:tcW w:w="4320" w:type="dxa"/>
            <w:shd w:val="clear" w:color="auto" w:fill="auto"/>
          </w:tcPr>
          <w:p w:rsidR="00252B38" w:rsidRDefault="008C6885">
            <w:pPr>
              <w:jc w:val="both"/>
              <w:rPr>
                <w:rFonts w:eastAsia="Calibri" w:cs="Arial"/>
                <w:bCs/>
                <w:sz w:val="22"/>
                <w:szCs w:val="22"/>
                <w:lang w:val="en-GB" w:eastAsia="en-US"/>
              </w:rPr>
            </w:pPr>
            <w:r>
              <w:rPr>
                <w:rFonts w:eastAsia="Calibri" w:cs="Arial"/>
                <w:bCs/>
                <w:sz w:val="22"/>
                <w:szCs w:val="22"/>
                <w:lang w:val="en-GB" w:eastAsia="en-US"/>
              </w:rPr>
              <w:t>Common actions for increasing mobility and administrative capacity of police units (including border police);</w:t>
            </w:r>
          </w:p>
        </w:tc>
        <w:tc>
          <w:tcPr>
            <w:tcW w:w="1800" w:type="dxa"/>
            <w:shd w:val="clear" w:color="auto" w:fill="auto"/>
            <w:vAlign w:val="center"/>
          </w:tcPr>
          <w:p w:rsidR="00252B38" w:rsidRDefault="008C6885">
            <w:pPr>
              <w:jc w:val="center"/>
              <w:rPr>
                <w:rFonts w:eastAsia="Calibri" w:cs="Arial"/>
                <w:sz w:val="22"/>
                <w:szCs w:val="22"/>
                <w:lang w:eastAsia="en-US"/>
              </w:rPr>
            </w:pPr>
            <w:r>
              <w:rPr>
                <w:rFonts w:eastAsia="Calibri" w:cs="Arial"/>
                <w:sz w:val="22"/>
                <w:szCs w:val="22"/>
                <w:lang w:val="en-GB" w:eastAsia="en-US"/>
              </w:rPr>
              <w:t>Is not the case</w:t>
            </w:r>
          </w:p>
        </w:tc>
        <w:tc>
          <w:tcPr>
            <w:tcW w:w="2250" w:type="dxa"/>
            <w:shd w:val="clear" w:color="auto" w:fill="auto"/>
            <w:vAlign w:val="center"/>
          </w:tcPr>
          <w:p w:rsidR="00252B38" w:rsidRDefault="008C6885" w:rsidP="00EA79BD">
            <w:pPr>
              <w:jc w:val="center"/>
              <w:rPr>
                <w:rFonts w:eastAsia="Calibri" w:cs="Arial"/>
                <w:sz w:val="22"/>
                <w:szCs w:val="22"/>
                <w:lang w:eastAsia="en-US"/>
              </w:rPr>
            </w:pPr>
            <w:r>
              <w:rPr>
                <w:rFonts w:eastAsia="Calibri" w:cs="Arial"/>
                <w:sz w:val="22"/>
                <w:szCs w:val="22"/>
                <w:lang w:val="en-GB" w:eastAsia="en-US"/>
              </w:rPr>
              <w:t>Indirect</w:t>
            </w:r>
          </w:p>
        </w:tc>
        <w:tc>
          <w:tcPr>
            <w:tcW w:w="1350"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EA79BD" w:rsidTr="002E01ED">
        <w:tc>
          <w:tcPr>
            <w:tcW w:w="630" w:type="dxa"/>
            <w:shd w:val="clear" w:color="auto" w:fill="auto"/>
          </w:tcPr>
          <w:p w:rsidR="00EA79BD" w:rsidRDefault="00EA79BD">
            <w:pPr>
              <w:rPr>
                <w:rFonts w:eastAsia="Calibri" w:cs="Arial"/>
                <w:sz w:val="22"/>
                <w:szCs w:val="22"/>
                <w:lang w:val="en-GB" w:eastAsia="en-US"/>
              </w:rPr>
            </w:pPr>
            <w:r>
              <w:rPr>
                <w:rFonts w:eastAsia="Calibri" w:cs="Arial"/>
                <w:sz w:val="22"/>
                <w:szCs w:val="22"/>
                <w:lang w:val="en-GB" w:eastAsia="en-US"/>
              </w:rPr>
              <w:t>2.</w:t>
            </w:r>
          </w:p>
        </w:tc>
        <w:tc>
          <w:tcPr>
            <w:tcW w:w="4320" w:type="dxa"/>
            <w:shd w:val="clear" w:color="auto" w:fill="auto"/>
          </w:tcPr>
          <w:p w:rsidR="00EA79BD" w:rsidRDefault="00EA79BD">
            <w:pPr>
              <w:jc w:val="both"/>
              <w:rPr>
                <w:rFonts w:eastAsia="Calibri" w:cs="Arial"/>
                <w:bCs/>
                <w:sz w:val="22"/>
                <w:szCs w:val="22"/>
                <w:lang w:val="en-GB" w:eastAsia="en-US"/>
              </w:rPr>
            </w:pPr>
            <w:r>
              <w:rPr>
                <w:rFonts w:eastAsia="Calibri" w:cs="Arial"/>
                <w:bCs/>
                <w:sz w:val="22"/>
                <w:szCs w:val="22"/>
                <w:lang w:val="en-GB" w:eastAsia="en-US"/>
              </w:rPr>
              <w:t>Creating collaborative working platforms in order to increase the efficiency of police, border police and custom structures in the exchange of data and information;</w:t>
            </w:r>
          </w:p>
        </w:tc>
        <w:tc>
          <w:tcPr>
            <w:tcW w:w="1800" w:type="dxa"/>
            <w:shd w:val="clear" w:color="auto" w:fill="auto"/>
            <w:vAlign w:val="center"/>
          </w:tcPr>
          <w:p w:rsidR="00EA79BD" w:rsidRDefault="00EA79BD">
            <w:pPr>
              <w:jc w:val="center"/>
              <w:rPr>
                <w:rFonts w:eastAsia="Calibri" w:cs="Arial"/>
                <w:sz w:val="22"/>
                <w:szCs w:val="22"/>
                <w:lang w:eastAsia="en-US"/>
              </w:rPr>
            </w:pPr>
            <w:r>
              <w:rPr>
                <w:rFonts w:eastAsia="Calibri" w:cs="Arial"/>
                <w:sz w:val="22"/>
                <w:szCs w:val="22"/>
                <w:lang w:val="en-GB" w:eastAsia="en-US"/>
              </w:rPr>
              <w:t>Is not the case</w:t>
            </w:r>
          </w:p>
        </w:tc>
        <w:tc>
          <w:tcPr>
            <w:tcW w:w="2250" w:type="dxa"/>
            <w:shd w:val="clear" w:color="auto" w:fill="auto"/>
          </w:tcPr>
          <w:p w:rsidR="00EA79BD" w:rsidRDefault="00EA79BD">
            <w:pPr>
              <w:jc w:val="center"/>
              <w:rPr>
                <w:rFonts w:eastAsia="Calibri" w:cs="Arial"/>
                <w:sz w:val="22"/>
                <w:szCs w:val="22"/>
                <w:lang w:eastAsia="en-US"/>
              </w:rPr>
            </w:pPr>
            <w:r w:rsidRPr="00466185">
              <w:rPr>
                <w:rFonts w:eastAsia="Calibri" w:cs="Arial"/>
                <w:sz w:val="22"/>
                <w:szCs w:val="22"/>
                <w:lang w:val="en-GB" w:eastAsia="en-US"/>
              </w:rPr>
              <w:t>Indirect</w:t>
            </w:r>
          </w:p>
        </w:tc>
        <w:tc>
          <w:tcPr>
            <w:tcW w:w="1350" w:type="dxa"/>
            <w:vAlign w:val="center"/>
          </w:tcPr>
          <w:p w:rsidR="00EA79BD" w:rsidRDefault="00EA79BD">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EA79BD" w:rsidTr="002E01ED">
        <w:tc>
          <w:tcPr>
            <w:tcW w:w="630" w:type="dxa"/>
            <w:shd w:val="clear" w:color="auto" w:fill="auto"/>
          </w:tcPr>
          <w:p w:rsidR="00EA79BD" w:rsidRDefault="00EA79BD">
            <w:pPr>
              <w:rPr>
                <w:rFonts w:eastAsia="Calibri" w:cs="Arial"/>
                <w:sz w:val="22"/>
                <w:szCs w:val="22"/>
                <w:lang w:val="en-GB" w:eastAsia="en-US"/>
              </w:rPr>
            </w:pPr>
            <w:r>
              <w:rPr>
                <w:rFonts w:eastAsia="Calibri" w:cs="Arial"/>
                <w:sz w:val="22"/>
                <w:szCs w:val="22"/>
                <w:lang w:val="en-GB" w:eastAsia="en-US"/>
              </w:rPr>
              <w:t>3.</w:t>
            </w:r>
          </w:p>
        </w:tc>
        <w:tc>
          <w:tcPr>
            <w:tcW w:w="4320" w:type="dxa"/>
            <w:shd w:val="clear" w:color="auto" w:fill="auto"/>
          </w:tcPr>
          <w:p w:rsidR="00EA79BD" w:rsidRDefault="00EA79BD">
            <w:pPr>
              <w:jc w:val="both"/>
              <w:rPr>
                <w:rFonts w:eastAsia="Calibri" w:cs="Arial"/>
                <w:bCs/>
                <w:sz w:val="22"/>
                <w:szCs w:val="22"/>
                <w:lang w:val="en-GB" w:eastAsia="en-US"/>
              </w:rPr>
            </w:pPr>
            <w:r>
              <w:rPr>
                <w:rFonts w:eastAsia="Calibri" w:cs="Arial"/>
                <w:bCs/>
                <w:sz w:val="22"/>
                <w:szCs w:val="22"/>
                <w:lang w:val="en-GB" w:eastAsia="en-US"/>
              </w:rPr>
              <w:t>Joint trainings of police, customs, border police, gendarmerie, exchange of best practices on specific areas of activity (analysis, criminal investigation, organized crime).</w:t>
            </w:r>
          </w:p>
        </w:tc>
        <w:tc>
          <w:tcPr>
            <w:tcW w:w="1800" w:type="dxa"/>
            <w:shd w:val="clear" w:color="auto" w:fill="auto"/>
            <w:vAlign w:val="center"/>
          </w:tcPr>
          <w:p w:rsidR="00EA79BD" w:rsidRDefault="00EA79BD">
            <w:pPr>
              <w:jc w:val="center"/>
              <w:rPr>
                <w:rFonts w:eastAsia="Calibri" w:cs="Arial"/>
                <w:sz w:val="22"/>
                <w:szCs w:val="22"/>
                <w:lang w:eastAsia="en-US"/>
              </w:rPr>
            </w:pPr>
            <w:r>
              <w:rPr>
                <w:rFonts w:eastAsia="Calibri" w:cs="Arial"/>
                <w:sz w:val="22"/>
                <w:szCs w:val="22"/>
                <w:lang w:val="en-GB" w:eastAsia="en-US"/>
              </w:rPr>
              <w:t>Is not the case</w:t>
            </w:r>
          </w:p>
        </w:tc>
        <w:tc>
          <w:tcPr>
            <w:tcW w:w="2250" w:type="dxa"/>
            <w:shd w:val="clear" w:color="auto" w:fill="auto"/>
          </w:tcPr>
          <w:p w:rsidR="00EA79BD" w:rsidRDefault="00EA79BD">
            <w:pPr>
              <w:jc w:val="center"/>
              <w:rPr>
                <w:rFonts w:eastAsia="Calibri" w:cs="Arial"/>
                <w:sz w:val="22"/>
                <w:szCs w:val="22"/>
                <w:lang w:eastAsia="en-US"/>
              </w:rPr>
            </w:pPr>
            <w:r w:rsidRPr="00466185">
              <w:rPr>
                <w:rFonts w:eastAsia="Calibri" w:cs="Arial"/>
                <w:sz w:val="22"/>
                <w:szCs w:val="22"/>
                <w:lang w:val="en-GB" w:eastAsia="en-US"/>
              </w:rPr>
              <w:t>Indirect</w:t>
            </w:r>
          </w:p>
        </w:tc>
        <w:tc>
          <w:tcPr>
            <w:tcW w:w="1350" w:type="dxa"/>
            <w:vAlign w:val="center"/>
          </w:tcPr>
          <w:p w:rsidR="00EA79BD" w:rsidRDefault="00EA79BD">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r w:rsidR="00252B38">
        <w:tc>
          <w:tcPr>
            <w:tcW w:w="63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4.</w:t>
            </w:r>
          </w:p>
        </w:tc>
        <w:tc>
          <w:tcPr>
            <w:tcW w:w="4320" w:type="dxa"/>
            <w:shd w:val="clear" w:color="auto" w:fill="auto"/>
          </w:tcPr>
          <w:p w:rsidR="00252B38" w:rsidRDefault="008C6885">
            <w:pPr>
              <w:jc w:val="both"/>
              <w:rPr>
                <w:rFonts w:eastAsia="Calibri" w:cs="Arial"/>
                <w:bCs/>
                <w:sz w:val="22"/>
                <w:szCs w:val="22"/>
                <w:lang w:val="en-GB" w:eastAsia="en-US"/>
              </w:rPr>
            </w:pPr>
            <w:r>
              <w:rPr>
                <w:rFonts w:eastAsia="Calibri" w:cs="Arial"/>
                <w:bCs/>
                <w:sz w:val="22"/>
                <w:szCs w:val="22"/>
                <w:lang w:val="en-GB" w:eastAsia="en-US"/>
              </w:rPr>
              <w:t xml:space="preserve">Investment in construction, renovation or upgrading of police and border crossing infrastructure and related buildings; </w:t>
            </w:r>
          </w:p>
        </w:tc>
        <w:tc>
          <w:tcPr>
            <w:tcW w:w="180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pPr>
              <w:rPr>
                <w:rFonts w:eastAsia="Calibri" w:cs="Arial"/>
                <w:sz w:val="22"/>
                <w:szCs w:val="22"/>
                <w:lang w:val="en-GB" w:eastAsia="en-US"/>
              </w:rPr>
            </w:pPr>
            <w:r>
              <w:rPr>
                <w:rFonts w:eastAsia="Calibri" w:cs="Arial"/>
                <w:sz w:val="22"/>
                <w:szCs w:val="22"/>
                <w:lang w:val="en-GB" w:eastAsia="en-US"/>
              </w:rPr>
              <w:t>Waste</w:t>
            </w:r>
          </w:p>
          <w:p w:rsidR="00252B38" w:rsidRDefault="008C6885">
            <w:pPr>
              <w:rPr>
                <w:rFonts w:eastAsia="Calibri" w:cs="Arial"/>
                <w:sz w:val="22"/>
                <w:szCs w:val="22"/>
                <w:lang w:val="en-GB" w:eastAsia="en-US"/>
              </w:rPr>
            </w:pPr>
            <w:r>
              <w:rPr>
                <w:rFonts w:eastAsia="Calibri" w:cs="Arial"/>
                <w:sz w:val="22"/>
                <w:szCs w:val="22"/>
                <w:lang w:val="en-GB" w:eastAsia="en-US"/>
              </w:rPr>
              <w:t>Management Biodiversity</w:t>
            </w:r>
          </w:p>
        </w:tc>
        <w:tc>
          <w:tcPr>
            <w:tcW w:w="2250" w:type="dxa"/>
            <w:shd w:val="clear" w:color="auto" w:fill="auto"/>
            <w:vAlign w:val="center"/>
          </w:tcPr>
          <w:p w:rsidR="00252B38" w:rsidRDefault="008C6885">
            <w:pPr>
              <w:jc w:val="center"/>
              <w:rPr>
                <w:rFonts w:eastAsia="Calibri" w:cs="Arial"/>
                <w:sz w:val="22"/>
                <w:szCs w:val="22"/>
                <w:lang w:eastAsia="en-US"/>
              </w:rPr>
            </w:pPr>
            <w:r>
              <w:rPr>
                <w:rFonts w:eastAsia="Calibri" w:cs="Arial"/>
                <w:sz w:val="22"/>
                <w:szCs w:val="22"/>
                <w:lang w:val="en-GB" w:eastAsia="en-US"/>
              </w:rPr>
              <w:t>Positive</w:t>
            </w:r>
          </w:p>
        </w:tc>
        <w:tc>
          <w:tcPr>
            <w:tcW w:w="1350" w:type="dxa"/>
            <w:vAlign w:val="center"/>
          </w:tcPr>
          <w:p w:rsidR="00252B38" w:rsidRDefault="008C6885">
            <w:pPr>
              <w:spacing w:before="60" w:after="60" w:line="288" w:lineRule="auto"/>
              <w:rPr>
                <w:sz w:val="22"/>
                <w:szCs w:val="22"/>
                <w:lang w:val="en-GB"/>
              </w:rPr>
            </w:pPr>
            <w:r>
              <w:rPr>
                <w:sz w:val="22"/>
                <w:szCs w:val="22"/>
                <w:lang w:val="en-GB"/>
              </w:rPr>
              <w:t>Positive</w:t>
            </w:r>
          </w:p>
          <w:p w:rsidR="00252B38" w:rsidRDefault="008C6885">
            <w:pPr>
              <w:spacing w:before="60" w:after="60" w:line="288" w:lineRule="auto"/>
              <w:rPr>
                <w:sz w:val="22"/>
                <w:szCs w:val="22"/>
              </w:rPr>
            </w:pPr>
            <w:r>
              <w:rPr>
                <w:sz w:val="22"/>
                <w:szCs w:val="22"/>
                <w:lang w:val="en-GB"/>
              </w:rPr>
              <w:t>impact</w:t>
            </w:r>
          </w:p>
        </w:tc>
      </w:tr>
      <w:tr w:rsidR="00252B38">
        <w:tc>
          <w:tcPr>
            <w:tcW w:w="63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5.</w:t>
            </w:r>
          </w:p>
        </w:tc>
        <w:tc>
          <w:tcPr>
            <w:tcW w:w="4320" w:type="dxa"/>
            <w:shd w:val="clear" w:color="auto" w:fill="auto"/>
          </w:tcPr>
          <w:p w:rsidR="00252B38" w:rsidRDefault="008C6885">
            <w:pPr>
              <w:jc w:val="both"/>
              <w:rPr>
                <w:rFonts w:eastAsia="Calibri" w:cs="Arial"/>
                <w:bCs/>
                <w:sz w:val="22"/>
                <w:szCs w:val="22"/>
                <w:lang w:val="en-GB" w:eastAsia="en-US"/>
              </w:rPr>
            </w:pPr>
            <w:r>
              <w:rPr>
                <w:rFonts w:eastAsia="Calibri" w:cs="Arial"/>
                <w:bCs/>
                <w:sz w:val="22"/>
                <w:szCs w:val="22"/>
                <w:lang w:val="en-GB" w:eastAsia="en-US"/>
              </w:rPr>
              <w:t xml:space="preserve">Investments in operating equipment and facilities specific for the activity of police/customs/border police/gendarmerie (e.g. laboratories,  equipment, detection tools,  hardware and software, means of </w:t>
            </w:r>
            <w:r>
              <w:rPr>
                <w:rFonts w:eastAsia="Calibri" w:cs="Arial"/>
                <w:bCs/>
                <w:sz w:val="22"/>
                <w:szCs w:val="22"/>
                <w:lang w:val="en-GB" w:eastAsia="en-US"/>
              </w:rPr>
              <w:lastRenderedPageBreak/>
              <w:t>transport);</w:t>
            </w:r>
          </w:p>
        </w:tc>
        <w:tc>
          <w:tcPr>
            <w:tcW w:w="180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lastRenderedPageBreak/>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pPr>
              <w:rPr>
                <w:rFonts w:eastAsia="Calibri" w:cs="Arial"/>
                <w:sz w:val="22"/>
                <w:szCs w:val="22"/>
                <w:lang w:val="en-GB" w:eastAsia="en-US"/>
              </w:rPr>
            </w:pPr>
            <w:r>
              <w:rPr>
                <w:rFonts w:eastAsia="Calibri" w:cs="Arial"/>
                <w:sz w:val="22"/>
                <w:szCs w:val="22"/>
                <w:lang w:val="en-GB" w:eastAsia="en-US"/>
              </w:rPr>
              <w:t>Waste</w:t>
            </w:r>
          </w:p>
          <w:p w:rsidR="00252B38" w:rsidRDefault="008C6885">
            <w:pPr>
              <w:rPr>
                <w:rFonts w:eastAsia="Calibri" w:cs="Arial"/>
                <w:sz w:val="22"/>
                <w:szCs w:val="22"/>
                <w:lang w:val="en-GB" w:eastAsia="en-US"/>
              </w:rPr>
            </w:pPr>
            <w:r>
              <w:rPr>
                <w:rFonts w:eastAsia="Calibri" w:cs="Arial"/>
                <w:sz w:val="22"/>
                <w:szCs w:val="22"/>
                <w:lang w:val="en-GB" w:eastAsia="en-US"/>
              </w:rPr>
              <w:t xml:space="preserve">Management </w:t>
            </w:r>
            <w:r>
              <w:rPr>
                <w:rFonts w:eastAsia="Calibri" w:cs="Arial"/>
                <w:sz w:val="22"/>
                <w:szCs w:val="22"/>
                <w:lang w:val="en-GB" w:eastAsia="en-US"/>
              </w:rPr>
              <w:lastRenderedPageBreak/>
              <w:t>Biodiversity</w:t>
            </w:r>
          </w:p>
        </w:tc>
        <w:tc>
          <w:tcPr>
            <w:tcW w:w="2250" w:type="dxa"/>
            <w:shd w:val="clear" w:color="auto" w:fill="auto"/>
            <w:vAlign w:val="center"/>
          </w:tcPr>
          <w:p w:rsidR="00252B38" w:rsidRDefault="008C6885">
            <w:pPr>
              <w:jc w:val="center"/>
              <w:rPr>
                <w:rFonts w:eastAsia="Calibri" w:cs="Arial"/>
                <w:sz w:val="22"/>
                <w:szCs w:val="22"/>
                <w:lang w:eastAsia="en-US"/>
              </w:rPr>
            </w:pPr>
            <w:r>
              <w:rPr>
                <w:rFonts w:eastAsia="Calibri" w:cs="Arial"/>
                <w:sz w:val="22"/>
                <w:szCs w:val="22"/>
                <w:lang w:val="en-GB" w:eastAsia="en-US"/>
              </w:rPr>
              <w:lastRenderedPageBreak/>
              <w:t>Positive</w:t>
            </w:r>
          </w:p>
        </w:tc>
        <w:tc>
          <w:tcPr>
            <w:tcW w:w="1350" w:type="dxa"/>
            <w:vAlign w:val="center"/>
          </w:tcPr>
          <w:p w:rsidR="00252B38" w:rsidRDefault="008C6885">
            <w:pPr>
              <w:spacing w:before="60" w:after="60" w:line="288" w:lineRule="auto"/>
              <w:rPr>
                <w:sz w:val="22"/>
                <w:szCs w:val="22"/>
                <w:lang w:val="en-GB"/>
              </w:rPr>
            </w:pPr>
            <w:r>
              <w:rPr>
                <w:sz w:val="22"/>
                <w:szCs w:val="22"/>
                <w:lang w:val="en-GB"/>
              </w:rPr>
              <w:t>Positive</w:t>
            </w:r>
          </w:p>
          <w:p w:rsidR="00252B38" w:rsidRDefault="008C6885">
            <w:pPr>
              <w:spacing w:before="60" w:after="60" w:line="288" w:lineRule="auto"/>
              <w:rPr>
                <w:sz w:val="22"/>
                <w:szCs w:val="22"/>
              </w:rPr>
            </w:pPr>
            <w:r>
              <w:rPr>
                <w:sz w:val="22"/>
                <w:szCs w:val="22"/>
                <w:lang w:val="en-GB"/>
              </w:rPr>
              <w:t>impact</w:t>
            </w:r>
          </w:p>
        </w:tc>
      </w:tr>
      <w:tr w:rsidR="00252B38">
        <w:tc>
          <w:tcPr>
            <w:tcW w:w="63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lastRenderedPageBreak/>
              <w:t>6.</w:t>
            </w:r>
          </w:p>
        </w:tc>
        <w:tc>
          <w:tcPr>
            <w:tcW w:w="4320" w:type="dxa"/>
            <w:shd w:val="clear" w:color="auto" w:fill="auto"/>
          </w:tcPr>
          <w:p w:rsidR="00252B38" w:rsidRDefault="008C6885">
            <w:pPr>
              <w:rPr>
                <w:rFonts w:eastAsia="Calibri" w:cs="Arial"/>
                <w:sz w:val="22"/>
                <w:szCs w:val="22"/>
                <w:lang w:val="en-GB" w:eastAsia="en-US"/>
              </w:rPr>
            </w:pPr>
            <w:r>
              <w:rPr>
                <w:rFonts w:eastAsia="Calibri" w:cs="Arial"/>
                <w:bCs/>
                <w:sz w:val="22"/>
                <w:szCs w:val="22"/>
                <w:lang w:val="en-GB" w:eastAsia="en-US"/>
              </w:rPr>
              <w:t>Developing common policies and strategies, experience exchange for fighting organised crime.</w:t>
            </w:r>
          </w:p>
        </w:tc>
        <w:tc>
          <w:tcPr>
            <w:tcW w:w="1800" w:type="dxa"/>
            <w:shd w:val="clear" w:color="auto" w:fill="auto"/>
            <w:vAlign w:val="center"/>
          </w:tcPr>
          <w:p w:rsidR="00252B38" w:rsidRDefault="008C6885">
            <w:pPr>
              <w:jc w:val="center"/>
              <w:rPr>
                <w:rFonts w:eastAsia="Calibri" w:cs="Arial"/>
                <w:sz w:val="22"/>
                <w:szCs w:val="22"/>
                <w:lang w:eastAsia="en-US"/>
              </w:rPr>
            </w:pPr>
            <w:r>
              <w:rPr>
                <w:rFonts w:eastAsia="Calibri" w:cs="Arial"/>
                <w:sz w:val="22"/>
                <w:szCs w:val="22"/>
                <w:lang w:val="en-GB" w:eastAsia="en-US"/>
              </w:rPr>
              <w:t>Is not the case</w:t>
            </w:r>
          </w:p>
        </w:tc>
        <w:tc>
          <w:tcPr>
            <w:tcW w:w="2250" w:type="dxa"/>
            <w:shd w:val="clear" w:color="auto" w:fill="auto"/>
            <w:vAlign w:val="center"/>
          </w:tcPr>
          <w:p w:rsidR="00252B38" w:rsidRDefault="008C6885" w:rsidP="00EA79BD">
            <w:pPr>
              <w:jc w:val="center"/>
              <w:rPr>
                <w:rFonts w:eastAsia="Calibri" w:cs="Arial"/>
                <w:sz w:val="22"/>
                <w:szCs w:val="22"/>
                <w:lang w:eastAsia="en-US"/>
              </w:rPr>
            </w:pPr>
            <w:r>
              <w:rPr>
                <w:rFonts w:eastAsia="Calibri" w:cs="Arial"/>
                <w:sz w:val="22"/>
                <w:szCs w:val="22"/>
                <w:lang w:val="en-GB" w:eastAsia="en-US"/>
              </w:rPr>
              <w:t>Indirect</w:t>
            </w:r>
          </w:p>
        </w:tc>
        <w:tc>
          <w:tcPr>
            <w:tcW w:w="1350" w:type="dxa"/>
            <w:vAlign w:val="center"/>
          </w:tcPr>
          <w:p w:rsidR="00252B38" w:rsidRDefault="008C6885">
            <w:pPr>
              <w:spacing w:after="200" w:line="276" w:lineRule="auto"/>
              <w:jc w:val="center"/>
              <w:rPr>
                <w:rFonts w:ascii="Calibri" w:eastAsia="Calibri" w:hAnsi="Calibri"/>
                <w:sz w:val="22"/>
                <w:szCs w:val="22"/>
                <w:lang w:eastAsia="en-US"/>
              </w:rPr>
            </w:pPr>
            <w:r>
              <w:rPr>
                <w:rFonts w:eastAsia="Calibri" w:cs="Arial"/>
                <w:sz w:val="22"/>
                <w:szCs w:val="22"/>
                <w:lang w:val="en-GB" w:eastAsia="en-US"/>
              </w:rPr>
              <w:t>Neutral</w:t>
            </w:r>
          </w:p>
        </w:tc>
      </w:tr>
    </w:tbl>
    <w:p w:rsidR="00252B38" w:rsidRDefault="00252B38">
      <w:pPr>
        <w:spacing w:before="60" w:after="60" w:line="288" w:lineRule="auto"/>
        <w:rPr>
          <w:bCs/>
        </w:rPr>
      </w:pPr>
    </w:p>
    <w:p w:rsidR="00252B38" w:rsidRDefault="008C6885">
      <w:pPr>
        <w:spacing w:before="60" w:after="60" w:line="288" w:lineRule="auto"/>
        <w:rPr>
          <w:b/>
        </w:rPr>
      </w:pPr>
      <w:r>
        <w:rPr>
          <w:b/>
          <w:lang w:val="en-GB"/>
        </w:rPr>
        <w:t>LARGE INFRASTRUCTURE PROJECTS</w:t>
      </w: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4320"/>
        <w:gridCol w:w="1710"/>
        <w:gridCol w:w="2340"/>
        <w:gridCol w:w="1350"/>
      </w:tblGrid>
      <w:tr w:rsidR="00252B38" w:rsidTr="002E01ED">
        <w:tc>
          <w:tcPr>
            <w:tcW w:w="63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No. crt.</w:t>
            </w:r>
          </w:p>
        </w:tc>
        <w:tc>
          <w:tcPr>
            <w:tcW w:w="432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 xml:space="preserve">Indicative activities </w:t>
            </w:r>
          </w:p>
        </w:tc>
        <w:tc>
          <w:tcPr>
            <w:tcW w:w="171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Environmental aspects and</w:t>
            </w:r>
          </w:p>
          <w:p w:rsidR="00252B38" w:rsidRDefault="008C6885">
            <w:pPr>
              <w:rPr>
                <w:rFonts w:eastAsia="Calibri" w:cs="Arial"/>
                <w:b/>
                <w:sz w:val="22"/>
                <w:szCs w:val="22"/>
                <w:lang w:val="en-GB" w:eastAsia="en-US"/>
              </w:rPr>
            </w:pPr>
            <w:r>
              <w:rPr>
                <w:rFonts w:eastAsia="Calibri" w:cs="Arial"/>
                <w:b/>
                <w:sz w:val="22"/>
                <w:szCs w:val="22"/>
                <w:lang w:val="en-GB" w:eastAsia="en-US"/>
              </w:rPr>
              <w:t>objective considered</w:t>
            </w:r>
          </w:p>
        </w:tc>
        <w:tc>
          <w:tcPr>
            <w:tcW w:w="2340" w:type="dxa"/>
            <w:shd w:val="clear" w:color="auto" w:fill="auto"/>
            <w:vAlign w:val="center"/>
          </w:tcPr>
          <w:p w:rsidR="00252B38" w:rsidRDefault="008C6885">
            <w:pPr>
              <w:rPr>
                <w:rFonts w:eastAsia="Calibri" w:cs="Arial"/>
                <w:b/>
                <w:sz w:val="22"/>
                <w:szCs w:val="22"/>
                <w:lang w:val="en-GB" w:eastAsia="en-US"/>
              </w:rPr>
            </w:pPr>
            <w:r>
              <w:rPr>
                <w:rFonts w:eastAsia="Calibri" w:cs="Arial"/>
                <w:b/>
                <w:sz w:val="22"/>
                <w:szCs w:val="22"/>
                <w:lang w:val="en-GB" w:eastAsia="en-US"/>
              </w:rPr>
              <w:t>Potential impact</w:t>
            </w:r>
          </w:p>
          <w:p w:rsidR="00252B38" w:rsidRDefault="00252B38">
            <w:pPr>
              <w:rPr>
                <w:rFonts w:eastAsia="Calibri" w:cs="Arial"/>
                <w:b/>
                <w:sz w:val="22"/>
                <w:szCs w:val="22"/>
                <w:lang w:val="en-GB" w:eastAsia="en-US"/>
              </w:rPr>
            </w:pPr>
          </w:p>
        </w:tc>
        <w:tc>
          <w:tcPr>
            <w:tcW w:w="1350" w:type="dxa"/>
            <w:vAlign w:val="center"/>
          </w:tcPr>
          <w:p w:rsidR="00252B38" w:rsidRDefault="008C6885">
            <w:pPr>
              <w:spacing w:after="200" w:line="276" w:lineRule="auto"/>
              <w:rPr>
                <w:rFonts w:eastAsia="Calibri" w:cs="Arial"/>
                <w:b/>
                <w:sz w:val="22"/>
                <w:szCs w:val="22"/>
                <w:lang w:val="en-GB" w:eastAsia="en-US"/>
              </w:rPr>
            </w:pPr>
            <w:r>
              <w:rPr>
                <w:rFonts w:eastAsia="Calibri" w:cs="Arial"/>
                <w:b/>
                <w:sz w:val="22"/>
                <w:szCs w:val="22"/>
                <w:lang w:val="en-GB" w:eastAsia="en-US"/>
              </w:rPr>
              <w:t>Environmental assessment</w:t>
            </w:r>
          </w:p>
        </w:tc>
      </w:tr>
      <w:tr w:rsidR="00252B38" w:rsidTr="002E01ED">
        <w:tc>
          <w:tcPr>
            <w:tcW w:w="630"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1.</w:t>
            </w:r>
          </w:p>
        </w:tc>
        <w:tc>
          <w:tcPr>
            <w:tcW w:w="432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«Clean river» Dunărea</w:t>
            </w:r>
          </w:p>
        </w:tc>
        <w:tc>
          <w:tcPr>
            <w:tcW w:w="1710"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 xml:space="preserve">Water </w:t>
            </w:r>
          </w:p>
          <w:p w:rsidR="00252B38" w:rsidRDefault="008C6885">
            <w:pPr>
              <w:rPr>
                <w:rFonts w:eastAsia="Calibri" w:cs="Arial"/>
                <w:sz w:val="22"/>
                <w:szCs w:val="22"/>
                <w:lang w:val="en-GB" w:eastAsia="en-US"/>
              </w:rPr>
            </w:pPr>
            <w:r>
              <w:rPr>
                <w:rFonts w:eastAsia="Calibri" w:cs="Arial"/>
                <w:sz w:val="22"/>
                <w:szCs w:val="22"/>
                <w:lang w:val="en-GB" w:eastAsia="en-US"/>
              </w:rPr>
              <w:t>Biodiversity</w:t>
            </w:r>
          </w:p>
        </w:tc>
        <w:tc>
          <w:tcPr>
            <w:tcW w:w="2340" w:type="dxa"/>
            <w:shd w:val="clear" w:color="auto" w:fill="auto"/>
            <w:vAlign w:val="center"/>
          </w:tcPr>
          <w:p w:rsidR="00252B38" w:rsidRDefault="008C6885">
            <w:pPr>
              <w:jc w:val="center"/>
              <w:rPr>
                <w:rFonts w:eastAsia="Calibri" w:cs="Arial"/>
                <w:sz w:val="22"/>
                <w:szCs w:val="22"/>
                <w:lang w:val="en-GB" w:eastAsia="en-US"/>
              </w:rPr>
            </w:pPr>
            <w:r>
              <w:rPr>
                <w:rFonts w:eastAsia="Calibri" w:cs="Arial"/>
                <w:sz w:val="22"/>
                <w:szCs w:val="22"/>
                <w:lang w:val="en-GB" w:eastAsia="en-US"/>
              </w:rPr>
              <w:t>Positive</w:t>
            </w:r>
          </w:p>
        </w:tc>
        <w:tc>
          <w:tcPr>
            <w:tcW w:w="1350" w:type="dxa"/>
            <w:vAlign w:val="center"/>
          </w:tcPr>
          <w:p w:rsidR="00252B38" w:rsidRDefault="008C6885">
            <w:pPr>
              <w:rPr>
                <w:rFonts w:eastAsia="Calibri" w:cs="Arial"/>
                <w:sz w:val="22"/>
                <w:szCs w:val="22"/>
                <w:lang w:val="en-GB" w:eastAsia="en-US"/>
              </w:rPr>
            </w:pPr>
            <w:r>
              <w:rPr>
                <w:rFonts w:eastAsia="Calibri" w:cs="Arial"/>
                <w:sz w:val="22"/>
                <w:szCs w:val="22"/>
                <w:lang w:val="en-GB" w:eastAsia="en-US"/>
              </w:rPr>
              <w:t>Positive</w:t>
            </w:r>
          </w:p>
          <w:p w:rsidR="00252B38" w:rsidRDefault="008C6885">
            <w:pPr>
              <w:rPr>
                <w:rFonts w:eastAsia="Calibri" w:cs="Arial"/>
                <w:sz w:val="22"/>
                <w:szCs w:val="22"/>
                <w:lang w:eastAsia="en-US"/>
              </w:rPr>
            </w:pPr>
            <w:r>
              <w:rPr>
                <w:rFonts w:eastAsia="Calibri" w:cs="Arial"/>
                <w:sz w:val="22"/>
                <w:szCs w:val="22"/>
                <w:lang w:val="en-GB" w:eastAsia="en-US"/>
              </w:rPr>
              <w:t>impact</w:t>
            </w:r>
          </w:p>
        </w:tc>
      </w:tr>
      <w:tr w:rsidR="00252B38" w:rsidTr="002E01ED">
        <w:tc>
          <w:tcPr>
            <w:tcW w:w="630" w:type="dxa"/>
            <w:shd w:val="clear" w:color="auto" w:fill="auto"/>
            <w:vAlign w:val="center"/>
          </w:tcPr>
          <w:p w:rsidR="00252B38" w:rsidRDefault="00252B38">
            <w:pPr>
              <w:rPr>
                <w:rFonts w:eastAsia="Calibri" w:cs="Arial"/>
                <w:sz w:val="22"/>
                <w:szCs w:val="22"/>
                <w:lang w:val="en-GB" w:eastAsia="en-US"/>
              </w:rPr>
            </w:pPr>
          </w:p>
        </w:tc>
        <w:tc>
          <w:tcPr>
            <w:tcW w:w="4320" w:type="dxa"/>
            <w:shd w:val="clear" w:color="auto" w:fill="auto"/>
          </w:tcPr>
          <w:p w:rsidR="00252B38" w:rsidRDefault="00252B38">
            <w:pPr>
              <w:rPr>
                <w:rFonts w:eastAsia="Calibri" w:cs="Arial"/>
                <w:sz w:val="22"/>
                <w:szCs w:val="22"/>
                <w:lang w:val="en-GB" w:eastAsia="en-US"/>
              </w:rPr>
            </w:pPr>
          </w:p>
        </w:tc>
        <w:tc>
          <w:tcPr>
            <w:tcW w:w="1710" w:type="dxa"/>
            <w:shd w:val="clear" w:color="auto" w:fill="auto"/>
            <w:vAlign w:val="center"/>
          </w:tcPr>
          <w:p w:rsidR="00252B38" w:rsidRDefault="00252B38">
            <w:pPr>
              <w:rPr>
                <w:rFonts w:eastAsia="Calibri" w:cs="Arial"/>
                <w:sz w:val="22"/>
                <w:szCs w:val="22"/>
                <w:lang w:val="en-GB" w:eastAsia="en-US"/>
              </w:rPr>
            </w:pPr>
          </w:p>
        </w:tc>
        <w:tc>
          <w:tcPr>
            <w:tcW w:w="2340" w:type="dxa"/>
            <w:shd w:val="clear" w:color="auto" w:fill="auto"/>
            <w:vAlign w:val="center"/>
          </w:tcPr>
          <w:p w:rsidR="00252B38" w:rsidRDefault="00252B38">
            <w:pPr>
              <w:jc w:val="center"/>
              <w:rPr>
                <w:rFonts w:eastAsia="Calibri" w:cs="Arial"/>
                <w:sz w:val="22"/>
                <w:szCs w:val="22"/>
                <w:lang w:val="en-GB" w:eastAsia="en-US"/>
              </w:rPr>
            </w:pPr>
          </w:p>
        </w:tc>
        <w:tc>
          <w:tcPr>
            <w:tcW w:w="1350" w:type="dxa"/>
            <w:vAlign w:val="center"/>
          </w:tcPr>
          <w:p w:rsidR="00252B38" w:rsidRDefault="00252B38">
            <w:pPr>
              <w:rPr>
                <w:rFonts w:eastAsia="Calibri" w:cs="Arial"/>
                <w:sz w:val="22"/>
                <w:szCs w:val="22"/>
                <w:lang w:eastAsia="en-US"/>
              </w:rPr>
            </w:pPr>
          </w:p>
        </w:tc>
      </w:tr>
      <w:tr w:rsidR="00252B38" w:rsidTr="002E01ED">
        <w:tc>
          <w:tcPr>
            <w:tcW w:w="630"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3.</w:t>
            </w:r>
          </w:p>
        </w:tc>
        <w:tc>
          <w:tcPr>
            <w:tcW w:w="4320" w:type="dxa"/>
            <w:shd w:val="clear" w:color="auto" w:fill="auto"/>
          </w:tcPr>
          <w:p w:rsidR="00252B38" w:rsidRDefault="008C6885">
            <w:pPr>
              <w:rPr>
                <w:rFonts w:eastAsia="Calibri" w:cs="Arial"/>
                <w:color w:val="000000"/>
                <w:sz w:val="22"/>
                <w:szCs w:val="22"/>
                <w:u w:color="000000"/>
                <w:lang w:val="en-GB" w:eastAsia="en-US"/>
              </w:rPr>
            </w:pPr>
            <w:r>
              <w:rPr>
                <w:rFonts w:eastAsia="Calibri" w:cs="Arial"/>
                <w:color w:val="000000"/>
                <w:sz w:val="22"/>
                <w:szCs w:val="22"/>
                <w:u w:color="000000"/>
                <w:lang w:val="en-GB" w:eastAsia="en-US"/>
              </w:rPr>
              <w:t>Improving the cross-border infrastructure – opening the gate to Europe</w:t>
            </w:r>
          </w:p>
        </w:tc>
        <w:tc>
          <w:tcPr>
            <w:tcW w:w="171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pPr>
              <w:rPr>
                <w:rFonts w:eastAsia="Calibri" w:cs="Arial"/>
                <w:sz w:val="22"/>
                <w:szCs w:val="22"/>
                <w:lang w:val="en-GB" w:eastAsia="en-US"/>
              </w:rPr>
            </w:pPr>
            <w:r>
              <w:rPr>
                <w:rFonts w:eastAsia="Calibri" w:cs="Arial"/>
                <w:sz w:val="22"/>
                <w:szCs w:val="22"/>
                <w:lang w:val="en-GB" w:eastAsia="en-US"/>
              </w:rPr>
              <w:t>Waste</w:t>
            </w:r>
          </w:p>
          <w:p w:rsidR="00252B38" w:rsidRDefault="008C6885">
            <w:pPr>
              <w:rPr>
                <w:rFonts w:eastAsia="Calibri" w:cs="Arial"/>
                <w:sz w:val="22"/>
                <w:szCs w:val="22"/>
                <w:lang w:val="en-GB" w:eastAsia="en-US"/>
              </w:rPr>
            </w:pPr>
            <w:r>
              <w:rPr>
                <w:rFonts w:eastAsia="Calibri" w:cs="Arial"/>
                <w:sz w:val="22"/>
                <w:szCs w:val="22"/>
                <w:lang w:val="en-GB" w:eastAsia="en-US"/>
              </w:rPr>
              <w:t xml:space="preserve">Management </w:t>
            </w:r>
          </w:p>
        </w:tc>
        <w:tc>
          <w:tcPr>
            <w:tcW w:w="2340" w:type="dxa"/>
            <w:shd w:val="clear" w:color="auto" w:fill="auto"/>
            <w:vAlign w:val="center"/>
          </w:tcPr>
          <w:p w:rsidR="00252B38" w:rsidRDefault="008C6885">
            <w:pPr>
              <w:jc w:val="center"/>
              <w:rPr>
                <w:rFonts w:eastAsia="Calibri" w:cs="Arial"/>
                <w:sz w:val="22"/>
                <w:szCs w:val="22"/>
                <w:lang w:val="en-GB" w:eastAsia="en-US"/>
              </w:rPr>
            </w:pPr>
            <w:r>
              <w:rPr>
                <w:rFonts w:eastAsia="Calibri" w:cs="Arial"/>
                <w:sz w:val="22"/>
                <w:szCs w:val="22"/>
                <w:lang w:val="en-GB" w:eastAsia="en-US"/>
              </w:rPr>
              <w:t>Positive</w:t>
            </w:r>
          </w:p>
        </w:tc>
        <w:tc>
          <w:tcPr>
            <w:tcW w:w="1350" w:type="dxa"/>
            <w:vAlign w:val="center"/>
          </w:tcPr>
          <w:p w:rsidR="00252B38" w:rsidRDefault="008C6885">
            <w:pPr>
              <w:rPr>
                <w:rFonts w:eastAsia="Calibri" w:cs="Arial"/>
                <w:sz w:val="22"/>
                <w:szCs w:val="22"/>
                <w:lang w:val="en-GB" w:eastAsia="en-US"/>
              </w:rPr>
            </w:pPr>
            <w:r>
              <w:rPr>
                <w:rFonts w:eastAsia="Calibri" w:cs="Arial"/>
                <w:sz w:val="22"/>
                <w:szCs w:val="22"/>
                <w:lang w:val="en-GB" w:eastAsia="en-US"/>
              </w:rPr>
              <w:t>Positive</w:t>
            </w:r>
          </w:p>
          <w:p w:rsidR="00252B38" w:rsidRDefault="008C6885">
            <w:pPr>
              <w:rPr>
                <w:rFonts w:eastAsia="Calibri" w:cs="Arial"/>
                <w:sz w:val="22"/>
                <w:szCs w:val="22"/>
                <w:lang w:eastAsia="en-US"/>
              </w:rPr>
            </w:pPr>
            <w:r>
              <w:rPr>
                <w:rFonts w:eastAsia="Calibri" w:cs="Arial"/>
                <w:sz w:val="22"/>
                <w:szCs w:val="22"/>
                <w:lang w:val="en-GB" w:eastAsia="en-US"/>
              </w:rPr>
              <w:t>impact</w:t>
            </w:r>
          </w:p>
        </w:tc>
      </w:tr>
      <w:tr w:rsidR="00252B38" w:rsidTr="002E01ED">
        <w:tc>
          <w:tcPr>
            <w:tcW w:w="630"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4.</w:t>
            </w:r>
          </w:p>
        </w:tc>
        <w:tc>
          <w:tcPr>
            <w:tcW w:w="4320" w:type="dxa"/>
            <w:shd w:val="clear" w:color="auto" w:fill="auto"/>
          </w:tcPr>
          <w:p w:rsidR="00252B38" w:rsidRDefault="008C6885">
            <w:pPr>
              <w:rPr>
                <w:rFonts w:eastAsia="Calibri" w:cs="Arial"/>
                <w:color w:val="000000"/>
                <w:sz w:val="22"/>
                <w:szCs w:val="22"/>
                <w:u w:color="000000"/>
                <w:lang w:val="en-GB" w:eastAsia="en-US"/>
              </w:rPr>
            </w:pPr>
            <w:r>
              <w:rPr>
                <w:rFonts w:eastAsia="Calibri" w:cs="Arial"/>
                <w:color w:val="000000"/>
                <w:sz w:val="22"/>
                <w:szCs w:val="22"/>
                <w:u w:color="000000"/>
                <w:lang w:val="en-GB" w:eastAsia="en-US"/>
              </w:rPr>
              <w:t>Regional Cooperation for Prevention and Fighting of Cross-border Crime between Romania-Ukraine</w:t>
            </w:r>
          </w:p>
        </w:tc>
        <w:tc>
          <w:tcPr>
            <w:tcW w:w="1710"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rsidP="002E01ED">
            <w:pPr>
              <w:rPr>
                <w:rFonts w:eastAsia="Calibri" w:cs="Arial"/>
                <w:sz w:val="22"/>
                <w:szCs w:val="22"/>
                <w:lang w:eastAsia="en-US"/>
              </w:rPr>
            </w:pPr>
            <w:r>
              <w:rPr>
                <w:rFonts w:eastAsia="Calibri" w:cs="Arial"/>
                <w:sz w:val="22"/>
                <w:szCs w:val="22"/>
                <w:lang w:val="en-GB" w:eastAsia="en-US"/>
              </w:rPr>
              <w:t xml:space="preserve">Waste Management </w:t>
            </w:r>
          </w:p>
        </w:tc>
        <w:tc>
          <w:tcPr>
            <w:tcW w:w="2340" w:type="dxa"/>
            <w:shd w:val="clear" w:color="auto" w:fill="auto"/>
            <w:vAlign w:val="center"/>
          </w:tcPr>
          <w:p w:rsidR="00252B38" w:rsidRDefault="008C6885">
            <w:pPr>
              <w:jc w:val="center"/>
              <w:rPr>
                <w:rFonts w:eastAsia="Calibri" w:cs="Arial"/>
                <w:sz w:val="22"/>
                <w:szCs w:val="22"/>
                <w:lang w:eastAsia="en-US"/>
              </w:rPr>
            </w:pPr>
            <w:r>
              <w:rPr>
                <w:rFonts w:eastAsia="Calibri" w:cs="Arial"/>
                <w:sz w:val="22"/>
                <w:szCs w:val="22"/>
                <w:lang w:val="en-GB" w:eastAsia="en-US"/>
              </w:rPr>
              <w:t>Positive</w:t>
            </w:r>
            <w:r>
              <w:rPr>
                <w:sz w:val="20"/>
                <w:szCs w:val="20"/>
                <w:lang w:eastAsia="en-US"/>
              </w:rPr>
              <w:t xml:space="preserve"> </w:t>
            </w:r>
          </w:p>
        </w:tc>
        <w:tc>
          <w:tcPr>
            <w:tcW w:w="1350" w:type="dxa"/>
            <w:vAlign w:val="center"/>
          </w:tcPr>
          <w:p w:rsidR="00252B38" w:rsidRDefault="008C6885">
            <w:pPr>
              <w:rPr>
                <w:rFonts w:eastAsia="Calibri" w:cs="Arial"/>
                <w:sz w:val="22"/>
                <w:szCs w:val="22"/>
                <w:lang w:eastAsia="en-US"/>
              </w:rPr>
            </w:pPr>
            <w:r>
              <w:rPr>
                <w:rFonts w:eastAsia="Calibri" w:cs="Arial"/>
                <w:sz w:val="22"/>
                <w:szCs w:val="22"/>
                <w:lang w:eastAsia="en-US"/>
              </w:rPr>
              <w:t>Neutral</w:t>
            </w:r>
          </w:p>
        </w:tc>
      </w:tr>
      <w:tr w:rsidR="00252B38" w:rsidTr="002E01ED">
        <w:tc>
          <w:tcPr>
            <w:tcW w:w="630"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5.</w:t>
            </w:r>
          </w:p>
        </w:tc>
        <w:tc>
          <w:tcPr>
            <w:tcW w:w="4320" w:type="dxa"/>
            <w:shd w:val="clear" w:color="auto" w:fill="auto"/>
          </w:tcPr>
          <w:p w:rsidR="00252B38" w:rsidRDefault="008C6885">
            <w:pPr>
              <w:rPr>
                <w:rFonts w:eastAsia="Calibri" w:cs="Arial"/>
                <w:sz w:val="22"/>
                <w:szCs w:val="22"/>
                <w:lang w:val="en-GB" w:eastAsia="en-US"/>
              </w:rPr>
            </w:pPr>
            <w:r>
              <w:rPr>
                <w:rFonts w:eastAsia="Calibri" w:cs="Arial"/>
                <w:sz w:val="22"/>
                <w:szCs w:val="22"/>
                <w:lang w:val="en-GB" w:eastAsia="en-US"/>
              </w:rPr>
              <w:t>Improvement of the population safety and security level in the cross-border area by enhancing the joint training and cooperation actions in emergency management.</w:t>
            </w:r>
          </w:p>
        </w:tc>
        <w:tc>
          <w:tcPr>
            <w:tcW w:w="1710" w:type="dxa"/>
            <w:shd w:val="clear" w:color="auto" w:fill="auto"/>
            <w:vAlign w:val="center"/>
          </w:tcPr>
          <w:p w:rsidR="00252B38" w:rsidRDefault="008C6885">
            <w:pPr>
              <w:rPr>
                <w:rFonts w:eastAsia="Calibri" w:cs="Arial"/>
                <w:sz w:val="22"/>
                <w:szCs w:val="22"/>
                <w:lang w:val="en-GB" w:eastAsia="en-US"/>
              </w:rPr>
            </w:pPr>
            <w:r>
              <w:rPr>
                <w:rFonts w:eastAsia="Calibri" w:cs="Arial"/>
                <w:sz w:val="22"/>
                <w:szCs w:val="22"/>
                <w:lang w:val="en-GB" w:eastAsia="en-US"/>
              </w:rPr>
              <w:t>Air</w:t>
            </w:r>
          </w:p>
          <w:p w:rsidR="00252B38" w:rsidRDefault="008C6885">
            <w:pPr>
              <w:rPr>
                <w:rFonts w:eastAsia="Calibri" w:cs="Arial"/>
                <w:sz w:val="22"/>
                <w:szCs w:val="22"/>
                <w:lang w:val="en-GB" w:eastAsia="en-US"/>
              </w:rPr>
            </w:pPr>
            <w:r>
              <w:rPr>
                <w:rFonts w:eastAsia="Calibri" w:cs="Arial"/>
                <w:sz w:val="22"/>
                <w:szCs w:val="22"/>
                <w:lang w:val="en-GB" w:eastAsia="en-US"/>
              </w:rPr>
              <w:t>Water</w:t>
            </w:r>
          </w:p>
          <w:p w:rsidR="00252B38" w:rsidRDefault="008C6885">
            <w:pPr>
              <w:rPr>
                <w:rFonts w:eastAsia="Calibri" w:cs="Arial"/>
                <w:sz w:val="22"/>
                <w:szCs w:val="22"/>
                <w:lang w:val="en-GB" w:eastAsia="en-US"/>
              </w:rPr>
            </w:pPr>
            <w:r>
              <w:rPr>
                <w:rFonts w:eastAsia="Calibri" w:cs="Arial"/>
                <w:sz w:val="22"/>
                <w:szCs w:val="22"/>
                <w:lang w:val="en-GB" w:eastAsia="en-US"/>
              </w:rPr>
              <w:t>Soil</w:t>
            </w:r>
          </w:p>
          <w:p w:rsidR="00252B38" w:rsidRDefault="008C6885" w:rsidP="002E01ED">
            <w:pPr>
              <w:rPr>
                <w:rFonts w:eastAsia="Calibri" w:cs="Arial"/>
                <w:sz w:val="22"/>
                <w:szCs w:val="22"/>
                <w:lang w:eastAsia="en-US"/>
              </w:rPr>
            </w:pPr>
            <w:r>
              <w:rPr>
                <w:rFonts w:eastAsia="Calibri" w:cs="Arial"/>
                <w:sz w:val="22"/>
                <w:szCs w:val="22"/>
                <w:lang w:val="en-GB" w:eastAsia="en-US"/>
              </w:rPr>
              <w:t xml:space="preserve">Waste Management </w:t>
            </w:r>
          </w:p>
        </w:tc>
        <w:tc>
          <w:tcPr>
            <w:tcW w:w="2340" w:type="dxa"/>
            <w:shd w:val="clear" w:color="auto" w:fill="auto"/>
            <w:vAlign w:val="center"/>
          </w:tcPr>
          <w:p w:rsidR="00252B38" w:rsidRDefault="008C6885">
            <w:pPr>
              <w:jc w:val="center"/>
              <w:rPr>
                <w:rFonts w:eastAsia="Calibri" w:cs="Arial"/>
                <w:sz w:val="22"/>
                <w:szCs w:val="22"/>
                <w:lang w:eastAsia="en-US"/>
              </w:rPr>
            </w:pPr>
            <w:r>
              <w:rPr>
                <w:rFonts w:eastAsia="Calibri" w:cs="Arial"/>
                <w:sz w:val="22"/>
                <w:szCs w:val="22"/>
                <w:lang w:val="en-GB" w:eastAsia="en-US"/>
              </w:rPr>
              <w:t>Positive</w:t>
            </w:r>
            <w:r>
              <w:rPr>
                <w:sz w:val="20"/>
                <w:szCs w:val="20"/>
                <w:lang w:eastAsia="en-US"/>
              </w:rPr>
              <w:t xml:space="preserve"> </w:t>
            </w:r>
          </w:p>
        </w:tc>
        <w:tc>
          <w:tcPr>
            <w:tcW w:w="1350" w:type="dxa"/>
            <w:vAlign w:val="center"/>
          </w:tcPr>
          <w:p w:rsidR="00252B38" w:rsidRDefault="008C6885">
            <w:pPr>
              <w:rPr>
                <w:rFonts w:eastAsia="Calibri" w:cs="Arial"/>
                <w:sz w:val="22"/>
                <w:szCs w:val="22"/>
                <w:lang w:eastAsia="en-US"/>
              </w:rPr>
            </w:pPr>
            <w:r>
              <w:rPr>
                <w:rFonts w:eastAsia="Calibri" w:cs="Arial"/>
                <w:sz w:val="22"/>
                <w:szCs w:val="22"/>
                <w:lang w:eastAsia="en-US"/>
              </w:rPr>
              <w:t>Neutral</w:t>
            </w:r>
          </w:p>
        </w:tc>
      </w:tr>
    </w:tbl>
    <w:p w:rsidR="00252B38" w:rsidRDefault="00252B38">
      <w:pPr>
        <w:autoSpaceDE w:val="0"/>
        <w:autoSpaceDN w:val="0"/>
        <w:adjustRightInd w:val="0"/>
        <w:spacing w:before="60" w:after="60" w:line="288" w:lineRule="auto"/>
        <w:contextualSpacing/>
        <w:jc w:val="both"/>
        <w:rPr>
          <w:rFonts w:eastAsia="EUAlbertina-Regular-Identity-H" w:cs="Arial"/>
          <w:lang w:val="en-GB" w:eastAsia="en-US"/>
        </w:rPr>
      </w:pPr>
    </w:p>
    <w:p w:rsidR="00252B38" w:rsidRDefault="008C6885">
      <w:pPr>
        <w:autoSpaceDE w:val="0"/>
        <w:autoSpaceDN w:val="0"/>
        <w:adjustRightInd w:val="0"/>
        <w:spacing w:before="60" w:after="60" w:line="288" w:lineRule="auto"/>
        <w:ind w:firstLine="709"/>
        <w:contextualSpacing/>
        <w:jc w:val="both"/>
        <w:rPr>
          <w:rFonts w:eastAsia="EUAlbertina-Regular-Identity-H" w:cs="Arial"/>
          <w:lang w:val="en-GB" w:eastAsia="en-US"/>
        </w:rPr>
      </w:pPr>
      <w:r>
        <w:rPr>
          <w:rFonts w:eastAsia="EUAlbertina-Regular-Identity-H" w:cs="Arial"/>
          <w:lang w:val="en-GB" w:eastAsia="en-US"/>
        </w:rPr>
        <w:t>The alternatives analysed for the Joint Operational Programme Romania – Ukraine for period 2014 ÷ 2020 are presented below:</w:t>
      </w:r>
    </w:p>
    <w:p w:rsidR="00252B38" w:rsidRDefault="008C6885">
      <w:pPr>
        <w:autoSpaceDE w:val="0"/>
        <w:autoSpaceDN w:val="0"/>
        <w:adjustRightInd w:val="0"/>
        <w:spacing w:before="60" w:after="60" w:line="288" w:lineRule="auto"/>
        <w:ind w:firstLine="709"/>
        <w:contextualSpacing/>
        <w:jc w:val="both"/>
        <w:rPr>
          <w:rFonts w:eastAsia="EUAlbertina-Regular-Identity-H" w:cs="Arial"/>
          <w:lang w:val="en-GB" w:eastAsia="en-US"/>
        </w:rPr>
      </w:pPr>
      <w:r>
        <w:rPr>
          <w:rFonts w:eastAsia="EUAlbertina-Regular-Identity-H" w:cs="Arial"/>
          <w:b/>
          <w:lang w:val="en-GB" w:eastAsia="en-US"/>
        </w:rPr>
        <w:t xml:space="preserve">Alternative 0:  </w:t>
      </w:r>
      <w:r>
        <w:rPr>
          <w:rFonts w:eastAsia="EUAlbertina-Regular-Identity-H" w:cs="Arial"/>
          <w:lang w:val="en-GB" w:eastAsia="en-US"/>
        </w:rPr>
        <w:t>The</w:t>
      </w:r>
      <w:r>
        <w:rPr>
          <w:rFonts w:eastAsia="EUAlbertina-Regular-Identity-H" w:cs="Arial"/>
          <w:b/>
          <w:lang w:val="en-GB" w:eastAsia="en-US"/>
        </w:rPr>
        <w:t xml:space="preserve"> </w:t>
      </w:r>
      <w:r>
        <w:rPr>
          <w:rFonts w:eastAsia="EUAlbertina-Regular-Identity-H" w:cs="Arial"/>
          <w:lang w:val="en-GB" w:eastAsia="en-US"/>
        </w:rPr>
        <w:t>Programme is not implemented;</w:t>
      </w:r>
    </w:p>
    <w:p w:rsidR="00252B38" w:rsidRDefault="008C6885">
      <w:pPr>
        <w:spacing w:before="60" w:after="60" w:line="288" w:lineRule="auto"/>
        <w:ind w:firstLine="709"/>
        <w:rPr>
          <w:rFonts w:eastAsia="Calibri" w:cs="Arial"/>
          <w:lang w:val="en-GB" w:eastAsia="en-US"/>
        </w:rPr>
      </w:pPr>
      <w:r>
        <w:rPr>
          <w:rFonts w:eastAsia="Calibri" w:cs="Arial"/>
          <w:b/>
          <w:lang w:val="en-GB" w:eastAsia="en-US"/>
        </w:rPr>
        <w:t xml:space="preserve">Alternative 1: </w:t>
      </w:r>
      <w:r>
        <w:rPr>
          <w:rFonts w:eastAsia="Calibri" w:cs="Arial"/>
          <w:lang w:val="en-GB" w:eastAsia="en-US"/>
        </w:rPr>
        <w:t>The</w:t>
      </w:r>
      <w:r>
        <w:rPr>
          <w:rFonts w:eastAsia="Calibri" w:cs="Arial"/>
          <w:b/>
          <w:lang w:val="en-GB" w:eastAsia="en-US"/>
        </w:rPr>
        <w:t xml:space="preserve"> </w:t>
      </w:r>
      <w:r>
        <w:rPr>
          <w:rFonts w:eastAsia="Calibri" w:cs="Arial"/>
          <w:lang w:val="en-GB" w:eastAsia="en-US"/>
        </w:rPr>
        <w:t>Programme Ro-Ua has four thematic objectives and a prioritized list of Large Infrastructure Projects</w:t>
      </w:r>
    </w:p>
    <w:p w:rsidR="00252B38" w:rsidRDefault="008C6885">
      <w:pPr>
        <w:spacing w:before="60" w:after="60" w:line="288" w:lineRule="auto"/>
        <w:jc w:val="both"/>
        <w:rPr>
          <w:rFonts w:eastAsia="Calibri" w:cs="Arial"/>
          <w:lang w:val="en-GB" w:eastAsia="en-US"/>
        </w:rPr>
      </w:pPr>
      <w:r>
        <w:rPr>
          <w:rFonts w:eastAsia="Calibri" w:cs="Arial"/>
          <w:lang w:val="en-GB" w:eastAsia="en-US"/>
        </w:rPr>
        <w:tab/>
      </w:r>
      <w:r w:rsidR="00EA79BD">
        <w:rPr>
          <w:rFonts w:eastAsia="Calibri" w:cs="Arial"/>
          <w:lang w:val="en-GB" w:eastAsia="en-US"/>
        </w:rPr>
        <w:t>For</w:t>
      </w:r>
      <w:r>
        <w:rPr>
          <w:rFonts w:eastAsia="Calibri" w:cs="Arial"/>
          <w:lang w:val="en-GB" w:eastAsia="en-US"/>
        </w:rPr>
        <w:t xml:space="preserve"> each priority selected for the thematic objectives of the Programme Ro-Ua</w:t>
      </w:r>
      <w:r w:rsidR="00EA79BD">
        <w:rPr>
          <w:rFonts w:eastAsia="Calibri" w:cs="Arial"/>
          <w:lang w:val="en-GB" w:eastAsia="en-US"/>
        </w:rPr>
        <w:t xml:space="preserve"> a proper justification was provided regarding the needs of the eligible area of the Ro-Ua Programme. </w:t>
      </w:r>
    </w:p>
    <w:p w:rsidR="00252B38" w:rsidRDefault="00252B38">
      <w:pPr>
        <w:spacing w:before="60" w:after="60" w:line="288" w:lineRule="auto"/>
        <w:jc w:val="both"/>
        <w:rPr>
          <w:rFonts w:eastAsia="Calibri" w:cs="Arial"/>
          <w:lang w:val="en-GB" w:eastAsia="en-US"/>
        </w:rPr>
      </w:pPr>
    </w:p>
    <w:p w:rsidR="00252B38" w:rsidRDefault="008C6885">
      <w:pPr>
        <w:spacing w:before="60" w:after="60" w:line="288" w:lineRule="auto"/>
        <w:ind w:firstLine="709"/>
        <w:jc w:val="both"/>
        <w:rPr>
          <w:rFonts w:eastAsia="Calibri" w:cs="Arial"/>
          <w:bCs/>
          <w:lang w:val="en" w:eastAsia="en-US"/>
        </w:rPr>
      </w:pPr>
      <w:r>
        <w:rPr>
          <w:rFonts w:eastAsia="Calibri" w:cs="Arial"/>
          <w:lang w:val="en-GB" w:eastAsia="en-US"/>
        </w:rPr>
        <w:t xml:space="preserve"> </w:t>
      </w:r>
      <w:r>
        <w:rPr>
          <w:rFonts w:eastAsia="Calibri" w:cs="Arial"/>
          <w:bCs/>
          <w:lang w:val="en" w:eastAsia="en-US"/>
        </w:rPr>
        <w:t>According to the article 10 of SEA Directive, the monitoring of the significant environmental effects of Programme has to be done, in order to identify early any adverse effects and to be able to take the proper corrective measures.</w:t>
      </w:r>
    </w:p>
    <w:p w:rsidR="00252B38" w:rsidRDefault="008C6885">
      <w:pPr>
        <w:spacing w:before="60" w:after="60" w:line="288" w:lineRule="auto"/>
        <w:ind w:firstLine="709"/>
        <w:jc w:val="both"/>
        <w:rPr>
          <w:rFonts w:eastAsia="Calibri" w:cs="Arial"/>
          <w:bCs/>
          <w:lang w:val="en" w:eastAsia="en-US"/>
        </w:rPr>
      </w:pPr>
      <w:r>
        <w:rPr>
          <w:rFonts w:eastAsia="Calibri" w:cs="Arial"/>
          <w:bCs/>
          <w:lang w:val="en" w:eastAsia="en-US"/>
        </w:rPr>
        <w:t xml:space="preserve">The monitoring system </w:t>
      </w:r>
      <w:r w:rsidR="00EA79BD">
        <w:rPr>
          <w:rFonts w:eastAsia="Calibri" w:cs="Arial"/>
          <w:bCs/>
          <w:lang w:val="en" w:eastAsia="en-US"/>
        </w:rPr>
        <w:t>is</w:t>
      </w:r>
      <w:r>
        <w:rPr>
          <w:rFonts w:eastAsia="Calibri" w:cs="Arial"/>
          <w:bCs/>
          <w:lang w:val="en" w:eastAsia="en-US"/>
        </w:rPr>
        <w:t xml:space="preserve"> proposed based on the environmental issues that may be substantially affected by the implementation of CBC Programme Ro-Ua.</w:t>
      </w:r>
    </w:p>
    <w:p w:rsidR="00AB0FB5" w:rsidRDefault="00AB0FB5" w:rsidP="00AB0FB5">
      <w:pPr>
        <w:autoSpaceDE w:val="0"/>
        <w:autoSpaceDN w:val="0"/>
        <w:adjustRightInd w:val="0"/>
        <w:spacing w:before="60" w:after="60" w:line="288" w:lineRule="auto"/>
        <w:ind w:firstLine="720"/>
        <w:contextualSpacing/>
        <w:jc w:val="both"/>
        <w:rPr>
          <w:rFonts w:cs="Arial"/>
          <w:bCs/>
          <w:color w:val="000000"/>
          <w:lang w:val="en"/>
        </w:rPr>
      </w:pPr>
      <w:r>
        <w:rPr>
          <w:rFonts w:cs="Arial"/>
          <w:bCs/>
          <w:color w:val="000000"/>
          <w:lang w:val="en"/>
        </w:rPr>
        <w:t>For the monitoring of the Programme impact on the environment the following principles were taken into consideration:</w:t>
      </w:r>
    </w:p>
    <w:p w:rsidR="00AB0FB5" w:rsidRDefault="00AB0FB5" w:rsidP="00AB0FB5">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 xml:space="preserve"> Contribution to energy efficiency, the reduced usage of raw materials or hazardous substances;</w:t>
      </w:r>
    </w:p>
    <w:p w:rsidR="00AB0FB5" w:rsidRDefault="00AB0FB5" w:rsidP="00AB0FB5">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Contribution to the development of green infrastructure, including management of protected areasContribution to the surface/ ground water proper management</w:t>
      </w:r>
    </w:p>
    <w:p w:rsidR="00AB0FB5" w:rsidRPr="003E2913" w:rsidRDefault="00AB0FB5" w:rsidP="00AB0FB5">
      <w:pPr>
        <w:pStyle w:val="ListParagraph"/>
        <w:numPr>
          <w:ilvl w:val="0"/>
          <w:numId w:val="127"/>
        </w:numPr>
        <w:autoSpaceDE w:val="0"/>
        <w:autoSpaceDN w:val="0"/>
        <w:adjustRightInd w:val="0"/>
        <w:spacing w:line="288" w:lineRule="auto"/>
        <w:rPr>
          <w:rFonts w:cs="Arial"/>
          <w:bCs/>
          <w:color w:val="000000"/>
          <w:lang w:val="en"/>
        </w:rPr>
      </w:pPr>
      <w:r>
        <w:rPr>
          <w:rFonts w:cs="Arial"/>
          <w:bCs/>
          <w:color w:val="000000"/>
          <w:lang w:val="en"/>
        </w:rPr>
        <w:lastRenderedPageBreak/>
        <w:t>Contribution to an adequate management of the use of ground and underground waters</w:t>
      </w:r>
      <w:r w:rsidRPr="003E2913">
        <w:rPr>
          <w:rFonts w:cs="Arial"/>
          <w:bCs/>
          <w:color w:val="000000"/>
          <w:lang w:val="en"/>
        </w:rPr>
        <w:t xml:space="preserve"> </w:t>
      </w:r>
    </w:p>
    <w:p w:rsidR="00AB0FB5" w:rsidRPr="003E2913" w:rsidRDefault="00AB0FB5" w:rsidP="00AB0FB5">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Contribution to sustainable mobility and multimodal transport;</w:t>
      </w:r>
    </w:p>
    <w:p w:rsidR="00AB0FB5" w:rsidRPr="003E2913" w:rsidRDefault="00AB0FB5" w:rsidP="00AB0FB5">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Contribution to an effective waste management, recycling and reus</w:t>
      </w:r>
      <w:r>
        <w:rPr>
          <w:rFonts w:cs="Arial"/>
          <w:bCs/>
          <w:color w:val="000000"/>
          <w:lang w:val="en"/>
        </w:rPr>
        <w:t>age</w:t>
      </w:r>
      <w:r w:rsidRPr="003E2913">
        <w:rPr>
          <w:rFonts w:cs="Arial"/>
          <w:bCs/>
          <w:color w:val="000000"/>
          <w:lang w:val="en"/>
        </w:rPr>
        <w:t>;</w:t>
      </w:r>
    </w:p>
    <w:p w:rsidR="00AB0FB5" w:rsidRPr="003E2913" w:rsidRDefault="00AB0FB5" w:rsidP="00AB0FB5">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Contribution to risk prevention/natural disasters and climate change mittigation;</w:t>
      </w:r>
    </w:p>
    <w:p w:rsidR="00AB0FB5" w:rsidRPr="003E2913" w:rsidRDefault="00AB0FB5" w:rsidP="00AB0FB5">
      <w:pPr>
        <w:pStyle w:val="ListParagraph"/>
        <w:numPr>
          <w:ilvl w:val="0"/>
          <w:numId w:val="127"/>
        </w:numPr>
        <w:autoSpaceDE w:val="0"/>
        <w:autoSpaceDN w:val="0"/>
        <w:adjustRightInd w:val="0"/>
        <w:spacing w:line="288" w:lineRule="auto"/>
        <w:rPr>
          <w:rFonts w:cs="Arial"/>
          <w:bCs/>
          <w:color w:val="000000"/>
          <w:lang w:val="en"/>
        </w:rPr>
      </w:pPr>
      <w:r w:rsidRPr="003E2913">
        <w:rPr>
          <w:rFonts w:cs="Arial"/>
          <w:bCs/>
          <w:color w:val="000000"/>
          <w:lang w:val="en"/>
        </w:rPr>
        <w:t xml:space="preserve">Application of </w:t>
      </w:r>
      <w:r>
        <w:rPr>
          <w:rFonts w:cs="Arial"/>
          <w:bCs/>
          <w:color w:val="000000"/>
          <w:lang w:val="en"/>
        </w:rPr>
        <w:t xml:space="preserve">the principle of </w:t>
      </w:r>
      <w:r w:rsidRPr="003E2913">
        <w:rPr>
          <w:rFonts w:cs="Arial"/>
          <w:bCs/>
          <w:color w:val="000000"/>
          <w:lang w:val="en"/>
        </w:rPr>
        <w:t>green public procurement.</w:t>
      </w:r>
    </w:p>
    <w:p w:rsidR="00AB0FB5" w:rsidRDefault="00AB0FB5" w:rsidP="00AB0FB5">
      <w:pPr>
        <w:autoSpaceDE w:val="0"/>
        <w:autoSpaceDN w:val="0"/>
        <w:adjustRightInd w:val="0"/>
        <w:spacing w:before="60" w:after="60" w:line="288" w:lineRule="auto"/>
        <w:ind w:firstLine="720"/>
        <w:contextualSpacing/>
        <w:jc w:val="both"/>
        <w:rPr>
          <w:rFonts w:cs="Arial"/>
          <w:bCs/>
          <w:color w:val="000000"/>
          <w:lang w:val="en"/>
        </w:rPr>
      </w:pPr>
    </w:p>
    <w:p w:rsidR="00AB0FB5" w:rsidRDefault="00AB0FB5" w:rsidP="00AB0FB5">
      <w:pPr>
        <w:autoSpaceDE w:val="0"/>
        <w:autoSpaceDN w:val="0"/>
        <w:adjustRightInd w:val="0"/>
        <w:spacing w:before="60" w:after="60" w:line="288" w:lineRule="auto"/>
        <w:ind w:firstLine="720"/>
        <w:contextualSpacing/>
        <w:jc w:val="both"/>
        <w:rPr>
          <w:rFonts w:cs="Arial"/>
          <w:bCs/>
          <w:color w:val="000000"/>
          <w:lang w:val="en"/>
        </w:rPr>
      </w:pPr>
    </w:p>
    <w:p w:rsidR="00AB0FB5" w:rsidRDefault="00AB0FB5" w:rsidP="00AB0FB5">
      <w:pPr>
        <w:spacing w:before="60" w:after="60" w:line="288" w:lineRule="auto"/>
        <w:ind w:firstLine="709"/>
        <w:jc w:val="both"/>
        <w:rPr>
          <w:snapToGrid w:val="0"/>
          <w:position w:val="-6"/>
        </w:rPr>
      </w:pPr>
      <w:r>
        <w:rPr>
          <w:snapToGrid w:val="0"/>
          <w:position w:val="-6"/>
        </w:rPr>
        <w:t>Based on the evaluation of the indicative activities with possible impact on the environment the follo</w:t>
      </w:r>
      <w:r w:rsidR="00663503">
        <w:rPr>
          <w:snapToGrid w:val="0"/>
          <w:position w:val="-6"/>
        </w:rPr>
        <w:t xml:space="preserve">wing reccommendation were made regarding the monitoring franework of the programme as well as the use of specific environment indicators: </w:t>
      </w:r>
    </w:p>
    <w:p w:rsidR="00252B38" w:rsidRDefault="00252B38">
      <w:pPr>
        <w:spacing w:before="60" w:after="60" w:line="288" w:lineRule="auto"/>
        <w:ind w:firstLine="709"/>
        <w:jc w:val="both"/>
        <w:rPr>
          <w:snapToGrid w:val="0"/>
          <w:color w:val="FF0000"/>
          <w:position w:val="-6"/>
        </w:rPr>
      </w:pPr>
    </w:p>
    <w:p w:rsidR="00252B38" w:rsidRDefault="00252B38">
      <w:pPr>
        <w:spacing w:before="60" w:after="60" w:line="288" w:lineRule="auto"/>
        <w:ind w:firstLine="709"/>
        <w:jc w:val="both"/>
        <w:rPr>
          <w:snapToGrid w:val="0"/>
          <w:color w:val="FF0000"/>
          <w:position w:val="-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5"/>
        <w:gridCol w:w="2992"/>
        <w:gridCol w:w="3675"/>
      </w:tblGrid>
      <w:tr w:rsidR="002E01ED" w:rsidRPr="002E01ED">
        <w:tc>
          <w:tcPr>
            <w:tcW w:w="3575" w:type="dxa"/>
            <w:shd w:val="clear" w:color="auto" w:fill="auto"/>
          </w:tcPr>
          <w:p w:rsidR="00252B38" w:rsidRPr="002E01ED" w:rsidRDefault="008C6885">
            <w:pPr>
              <w:jc w:val="both"/>
              <w:rPr>
                <w:b/>
                <w:snapToGrid w:val="0"/>
                <w:position w:val="-6"/>
                <w:sz w:val="22"/>
                <w:szCs w:val="22"/>
                <w:lang w:val="en-GB"/>
              </w:rPr>
            </w:pPr>
            <w:r w:rsidRPr="002E01ED">
              <w:rPr>
                <w:b/>
                <w:snapToGrid w:val="0"/>
                <w:position w:val="-6"/>
                <w:sz w:val="22"/>
                <w:szCs w:val="22"/>
                <w:lang w:val="en-GB"/>
              </w:rPr>
              <w:t xml:space="preserve">Thematic objectives </w:t>
            </w:r>
          </w:p>
        </w:tc>
        <w:tc>
          <w:tcPr>
            <w:tcW w:w="2992" w:type="dxa"/>
            <w:shd w:val="clear" w:color="auto" w:fill="auto"/>
          </w:tcPr>
          <w:p w:rsidR="00252B38" w:rsidRPr="002E01ED" w:rsidRDefault="008C6885">
            <w:pPr>
              <w:jc w:val="both"/>
              <w:rPr>
                <w:b/>
                <w:snapToGrid w:val="0"/>
                <w:position w:val="-6"/>
                <w:sz w:val="22"/>
                <w:szCs w:val="22"/>
                <w:lang w:val="en-GB"/>
              </w:rPr>
            </w:pPr>
            <w:r w:rsidRPr="002E01ED">
              <w:rPr>
                <w:b/>
                <w:snapToGrid w:val="0"/>
                <w:position w:val="-6"/>
                <w:sz w:val="22"/>
                <w:szCs w:val="22"/>
                <w:lang w:val="en-GB"/>
              </w:rPr>
              <w:t xml:space="preserve">Priority </w:t>
            </w:r>
          </w:p>
        </w:tc>
        <w:tc>
          <w:tcPr>
            <w:tcW w:w="3675" w:type="dxa"/>
            <w:shd w:val="clear" w:color="auto" w:fill="auto"/>
          </w:tcPr>
          <w:p w:rsidR="00252B38" w:rsidRPr="002E01ED" w:rsidRDefault="008C6885">
            <w:pPr>
              <w:jc w:val="both"/>
              <w:rPr>
                <w:b/>
                <w:snapToGrid w:val="0"/>
                <w:position w:val="-6"/>
                <w:sz w:val="22"/>
                <w:szCs w:val="22"/>
                <w:lang w:val="en-GB"/>
              </w:rPr>
            </w:pPr>
            <w:r w:rsidRPr="002E01ED">
              <w:rPr>
                <w:b/>
                <w:snapToGrid w:val="0"/>
                <w:position w:val="-6"/>
                <w:sz w:val="22"/>
                <w:szCs w:val="22"/>
                <w:lang w:val="en-GB"/>
              </w:rPr>
              <w:t>Recommendation submitted as part of SEA procedure</w:t>
            </w:r>
          </w:p>
        </w:tc>
      </w:tr>
      <w:tr w:rsidR="002E01ED" w:rsidRPr="002E01ED">
        <w:trPr>
          <w:trHeight w:val="670"/>
        </w:trPr>
        <w:tc>
          <w:tcPr>
            <w:tcW w:w="3575" w:type="dxa"/>
            <w:vMerge w:val="restart"/>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TO2 Support to education, research, technological development &amp; innovation</w:t>
            </w:r>
          </w:p>
        </w:tc>
        <w:tc>
          <w:tcPr>
            <w:tcW w:w="2992"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P 1.1 Institutional cooperation in the educational field for increasing access to education and quality of education</w:t>
            </w:r>
          </w:p>
        </w:tc>
        <w:tc>
          <w:tcPr>
            <w:tcW w:w="3675"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Including an additional indicator for the Program</w:t>
            </w:r>
            <w:r w:rsidRPr="002E01ED">
              <w:rPr>
                <w:snapToGrid w:val="0"/>
                <w:position w:val="-6"/>
                <w:sz w:val="22"/>
                <w:szCs w:val="22"/>
                <w:lang w:val="en-US"/>
              </w:rPr>
              <w:t>:</w:t>
            </w:r>
            <w:r w:rsidRPr="002E01ED">
              <w:rPr>
                <w:i/>
                <w:snapToGrid w:val="0"/>
                <w:position w:val="-6"/>
                <w:sz w:val="22"/>
                <w:szCs w:val="22"/>
                <w:lang w:val="en-GB"/>
              </w:rPr>
              <w:t>„</w:t>
            </w:r>
            <w:r w:rsidR="00FD633C" w:rsidRPr="002E01ED">
              <w:rPr>
                <w:rFonts w:ascii="Times New Roman" w:hAnsi="Times New Roman"/>
                <w:sz w:val="20"/>
                <w:szCs w:val="20"/>
              </w:rPr>
              <w:t xml:space="preserve"> </w:t>
            </w:r>
            <w:r w:rsidR="00FD633C" w:rsidRPr="002E01ED">
              <w:rPr>
                <w:rFonts w:cs="Arial"/>
                <w:i/>
                <w:sz w:val="22"/>
                <w:szCs w:val="22"/>
              </w:rPr>
              <w:t>Number of  rehabilitated / modernized educational institutions</w:t>
            </w:r>
            <w:r w:rsidR="00FD633C" w:rsidRPr="002E01ED">
              <w:rPr>
                <w:rFonts w:ascii="Times New Roman" w:hAnsi="Times New Roman"/>
                <w:sz w:val="20"/>
                <w:szCs w:val="20"/>
              </w:rPr>
              <w:t>”</w:t>
            </w:r>
            <w:r w:rsidRPr="002E01ED">
              <w:rPr>
                <w:i/>
                <w:snapToGrid w:val="0"/>
                <w:position w:val="-6"/>
                <w:sz w:val="22"/>
                <w:szCs w:val="22"/>
                <w:lang w:val="en-GB"/>
              </w:rPr>
              <w:t>”</w:t>
            </w:r>
          </w:p>
        </w:tc>
      </w:tr>
      <w:tr w:rsidR="002E01ED" w:rsidRPr="002E01ED">
        <w:trPr>
          <w:trHeight w:val="730"/>
        </w:trPr>
        <w:tc>
          <w:tcPr>
            <w:tcW w:w="3575" w:type="dxa"/>
            <w:vMerge/>
            <w:shd w:val="clear" w:color="auto" w:fill="auto"/>
          </w:tcPr>
          <w:p w:rsidR="00252B38" w:rsidRPr="002E01ED" w:rsidRDefault="00252B38">
            <w:pPr>
              <w:rPr>
                <w:snapToGrid w:val="0"/>
                <w:position w:val="-6"/>
                <w:sz w:val="22"/>
                <w:szCs w:val="22"/>
                <w:lang w:val="en-GB"/>
              </w:rPr>
            </w:pPr>
          </w:p>
        </w:tc>
        <w:tc>
          <w:tcPr>
            <w:tcW w:w="2992" w:type="dxa"/>
            <w:shd w:val="clear" w:color="auto" w:fill="auto"/>
          </w:tcPr>
          <w:p w:rsidR="00252B38" w:rsidRPr="002E01ED" w:rsidRDefault="008C6885">
            <w:pPr>
              <w:rPr>
                <w:snapToGrid w:val="0"/>
                <w:position w:val="-6"/>
                <w:sz w:val="22"/>
                <w:szCs w:val="22"/>
                <w:lang w:val="en-GB"/>
              </w:rPr>
            </w:pPr>
            <w:r w:rsidRPr="002E01ED">
              <w:rPr>
                <w:sz w:val="22"/>
                <w:szCs w:val="22"/>
                <w:lang w:val="en-GB"/>
              </w:rPr>
              <w:t xml:space="preserve">P 1.2 Promotion and support to research and innovation </w:t>
            </w:r>
          </w:p>
        </w:tc>
        <w:tc>
          <w:tcPr>
            <w:tcW w:w="3675"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None  </w:t>
            </w:r>
          </w:p>
        </w:tc>
      </w:tr>
      <w:tr w:rsidR="002E01ED" w:rsidRPr="002E01ED">
        <w:tc>
          <w:tcPr>
            <w:tcW w:w="3575"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 TO3 Promotion of the local culture and preservation of historical heritage</w:t>
            </w:r>
          </w:p>
          <w:p w:rsidR="00252B38" w:rsidRPr="002E01ED" w:rsidRDefault="00252B38">
            <w:pPr>
              <w:rPr>
                <w:snapToGrid w:val="0"/>
                <w:position w:val="-6"/>
                <w:sz w:val="22"/>
                <w:szCs w:val="22"/>
                <w:lang w:val="en-GB"/>
              </w:rPr>
            </w:pPr>
          </w:p>
        </w:tc>
        <w:tc>
          <w:tcPr>
            <w:tcW w:w="2992"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P 2.1 Preservation and promotion of the cultural and historical heritage  </w:t>
            </w:r>
          </w:p>
        </w:tc>
        <w:tc>
          <w:tcPr>
            <w:tcW w:w="3675"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None  </w:t>
            </w:r>
          </w:p>
        </w:tc>
      </w:tr>
      <w:tr w:rsidR="002E01ED" w:rsidRPr="002E01ED">
        <w:trPr>
          <w:trHeight w:val="1306"/>
        </w:trPr>
        <w:tc>
          <w:tcPr>
            <w:tcW w:w="3575"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TO7 Improvement of accessibility to the regions, development of transport and common networks and systems</w:t>
            </w:r>
          </w:p>
        </w:tc>
        <w:tc>
          <w:tcPr>
            <w:tcW w:w="2992"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P 3.1 Development of cross border transport infrastructure and ICT tools </w:t>
            </w:r>
          </w:p>
        </w:tc>
        <w:tc>
          <w:tcPr>
            <w:tcW w:w="3675" w:type="dxa"/>
            <w:shd w:val="clear" w:color="auto" w:fill="auto"/>
          </w:tcPr>
          <w:p w:rsidR="00252B38" w:rsidRPr="002E01ED" w:rsidRDefault="008C6885">
            <w:pPr>
              <w:rPr>
                <w:i/>
                <w:snapToGrid w:val="0"/>
                <w:position w:val="-6"/>
                <w:sz w:val="22"/>
                <w:szCs w:val="22"/>
                <w:lang w:val="en-GB"/>
              </w:rPr>
            </w:pPr>
            <w:r w:rsidRPr="002E01ED">
              <w:rPr>
                <w:snapToGrid w:val="0"/>
                <w:position w:val="-6"/>
                <w:sz w:val="22"/>
                <w:szCs w:val="22"/>
                <w:lang w:val="en-GB"/>
              </w:rPr>
              <w:t>Including an additional indicator for the Program</w:t>
            </w:r>
            <w:r w:rsidRPr="002E01ED">
              <w:rPr>
                <w:snapToGrid w:val="0"/>
                <w:position w:val="-6"/>
                <w:sz w:val="22"/>
                <w:szCs w:val="22"/>
                <w:lang w:val="en-US"/>
              </w:rPr>
              <w:t>: “</w:t>
            </w:r>
            <w:r w:rsidR="00663503" w:rsidRPr="002E01ED">
              <w:rPr>
                <w:rFonts w:cs="Arial"/>
                <w:i/>
                <w:sz w:val="20"/>
                <w:szCs w:val="20"/>
              </w:rPr>
              <w:t>Number of environmentally friendly (carbon-proofed) cross-border transport initiatives developed</w:t>
            </w:r>
            <w:r w:rsidRPr="002E01ED">
              <w:rPr>
                <w:i/>
                <w:snapToGrid w:val="0"/>
                <w:position w:val="-6"/>
                <w:sz w:val="22"/>
                <w:szCs w:val="22"/>
                <w:lang w:val="en-GB"/>
              </w:rPr>
              <w:t>”</w:t>
            </w:r>
          </w:p>
          <w:p w:rsidR="00252B38" w:rsidRPr="002E01ED" w:rsidRDefault="008C6885">
            <w:pPr>
              <w:rPr>
                <w:snapToGrid w:val="0"/>
                <w:position w:val="-6"/>
                <w:sz w:val="22"/>
                <w:szCs w:val="22"/>
                <w:lang w:val="en-GB"/>
              </w:rPr>
            </w:pPr>
            <w:r w:rsidRPr="002E01ED">
              <w:rPr>
                <w:i/>
                <w:snapToGrid w:val="0"/>
                <w:position w:val="-6"/>
                <w:sz w:val="22"/>
                <w:szCs w:val="22"/>
                <w:lang w:val="en-GB"/>
              </w:rPr>
              <w:t xml:space="preserve"> Modification of an indicator in order to include activities related to multimodal transport </w:t>
            </w:r>
          </w:p>
        </w:tc>
      </w:tr>
      <w:tr w:rsidR="002E01ED" w:rsidRPr="002E01ED">
        <w:trPr>
          <w:trHeight w:val="380"/>
        </w:trPr>
        <w:tc>
          <w:tcPr>
            <w:tcW w:w="3575" w:type="dxa"/>
            <w:vMerge w:val="restart"/>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OT8 Common challenges in the field of safety and security</w:t>
            </w:r>
          </w:p>
          <w:p w:rsidR="00252B38" w:rsidRPr="002E01ED" w:rsidRDefault="00252B38">
            <w:pPr>
              <w:rPr>
                <w:snapToGrid w:val="0"/>
                <w:position w:val="-6"/>
                <w:sz w:val="22"/>
                <w:szCs w:val="22"/>
                <w:lang w:val="en-GB"/>
              </w:rPr>
            </w:pPr>
          </w:p>
        </w:tc>
        <w:tc>
          <w:tcPr>
            <w:tcW w:w="2992" w:type="dxa"/>
            <w:shd w:val="clear" w:color="auto" w:fill="auto"/>
          </w:tcPr>
          <w:p w:rsidR="00252B38" w:rsidRPr="002E01ED" w:rsidRDefault="008C6885">
            <w:pPr>
              <w:jc w:val="both"/>
              <w:rPr>
                <w:snapToGrid w:val="0"/>
                <w:position w:val="-6"/>
                <w:sz w:val="22"/>
                <w:szCs w:val="22"/>
                <w:lang w:val="en-GB"/>
              </w:rPr>
            </w:pPr>
            <w:r w:rsidRPr="002E01ED">
              <w:rPr>
                <w:snapToGrid w:val="0"/>
                <w:position w:val="-6"/>
                <w:sz w:val="22"/>
                <w:szCs w:val="22"/>
                <w:lang w:val="en-GB"/>
              </w:rPr>
              <w:t xml:space="preserve">P 4.1 Support to the development of health services and access to health </w:t>
            </w:r>
          </w:p>
        </w:tc>
        <w:tc>
          <w:tcPr>
            <w:tcW w:w="3675"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None  </w:t>
            </w:r>
          </w:p>
        </w:tc>
      </w:tr>
      <w:tr w:rsidR="002E01ED" w:rsidRPr="002E01ED">
        <w:trPr>
          <w:trHeight w:val="370"/>
        </w:trPr>
        <w:tc>
          <w:tcPr>
            <w:tcW w:w="3575" w:type="dxa"/>
            <w:vMerge/>
            <w:shd w:val="clear" w:color="auto" w:fill="auto"/>
          </w:tcPr>
          <w:p w:rsidR="00252B38" w:rsidRPr="002E01ED" w:rsidRDefault="00252B38">
            <w:pPr>
              <w:rPr>
                <w:snapToGrid w:val="0"/>
                <w:position w:val="-6"/>
                <w:sz w:val="22"/>
                <w:szCs w:val="22"/>
                <w:lang w:val="en-GB"/>
              </w:rPr>
            </w:pPr>
          </w:p>
        </w:tc>
        <w:tc>
          <w:tcPr>
            <w:tcW w:w="2992" w:type="dxa"/>
            <w:shd w:val="clear" w:color="auto" w:fill="auto"/>
          </w:tcPr>
          <w:p w:rsidR="00252B38" w:rsidRPr="002E01ED" w:rsidRDefault="008C6885">
            <w:pPr>
              <w:jc w:val="both"/>
              <w:rPr>
                <w:snapToGrid w:val="0"/>
                <w:position w:val="-6"/>
                <w:sz w:val="22"/>
                <w:szCs w:val="22"/>
                <w:lang w:val="en-GB"/>
              </w:rPr>
            </w:pPr>
            <w:r w:rsidRPr="002E01ED">
              <w:rPr>
                <w:bCs/>
                <w:iCs/>
                <w:snapToGrid w:val="0"/>
                <w:position w:val="-6"/>
                <w:sz w:val="22"/>
                <w:szCs w:val="22"/>
                <w:lang w:val="en-GB"/>
              </w:rPr>
              <w:t xml:space="preserve">P 4.2 Support to joint activities for the prevention of natural and man-made disasters as well as joint actions during emergency situations </w:t>
            </w:r>
          </w:p>
        </w:tc>
        <w:tc>
          <w:tcPr>
            <w:tcW w:w="3675" w:type="dxa"/>
            <w:shd w:val="clear" w:color="auto" w:fill="auto"/>
          </w:tcPr>
          <w:p w:rsidR="00252B38" w:rsidRPr="002E01ED" w:rsidRDefault="008C6885">
            <w:pPr>
              <w:rPr>
                <w:i/>
                <w:snapToGrid w:val="0"/>
                <w:position w:val="-6"/>
                <w:sz w:val="22"/>
                <w:szCs w:val="22"/>
                <w:lang w:val="en-GB"/>
              </w:rPr>
            </w:pPr>
            <w:r w:rsidRPr="002E01ED">
              <w:rPr>
                <w:snapToGrid w:val="0"/>
                <w:position w:val="-6"/>
                <w:sz w:val="22"/>
                <w:szCs w:val="22"/>
                <w:lang w:val="en-GB"/>
              </w:rPr>
              <w:t xml:space="preserve">Completion of the proposed indicator related to joint activities with </w:t>
            </w:r>
            <w:r w:rsidRPr="002E01ED">
              <w:rPr>
                <w:i/>
                <w:snapToGrid w:val="0"/>
                <w:position w:val="-6"/>
                <w:sz w:val="22"/>
                <w:szCs w:val="22"/>
                <w:lang w:val="en-GB"/>
              </w:rPr>
              <w:t>“new or updated maps, databases, systems / structures, purchased equipment, etc”</w:t>
            </w:r>
          </w:p>
          <w:p w:rsidR="00252B38" w:rsidRPr="002E01ED" w:rsidRDefault="008C6885">
            <w:pPr>
              <w:rPr>
                <w:snapToGrid w:val="0"/>
                <w:position w:val="-6"/>
                <w:sz w:val="22"/>
                <w:szCs w:val="22"/>
                <w:lang w:val="en-GB"/>
              </w:rPr>
            </w:pPr>
            <w:r w:rsidRPr="002E01ED">
              <w:rPr>
                <w:snapToGrid w:val="0"/>
                <w:position w:val="-6"/>
                <w:sz w:val="22"/>
                <w:szCs w:val="22"/>
                <w:lang w:val="en-GB"/>
              </w:rPr>
              <w:t>Completion of the indicator in order to include activities for reducing the impact of disasters caused by man (including the project Clean river)</w:t>
            </w:r>
          </w:p>
          <w:p w:rsidR="00663503" w:rsidRPr="002E01ED" w:rsidRDefault="00663503">
            <w:pPr>
              <w:rPr>
                <w:snapToGrid w:val="0"/>
                <w:position w:val="-6"/>
                <w:sz w:val="22"/>
                <w:szCs w:val="22"/>
                <w:lang w:val="en-GB"/>
              </w:rPr>
            </w:pPr>
            <w:r w:rsidRPr="002E01ED">
              <w:rPr>
                <w:snapToGrid w:val="0"/>
                <w:position w:val="-6"/>
                <w:sz w:val="22"/>
                <w:szCs w:val="22"/>
                <w:lang w:val="en-GB"/>
              </w:rPr>
              <w:t xml:space="preserve">Use of an environmental specific indicator : </w:t>
            </w:r>
            <w:r w:rsidR="00FD633C" w:rsidRPr="002E01ED">
              <w:rPr>
                <w:snapToGrid w:val="0"/>
                <w:position w:val="-6"/>
                <w:sz w:val="22"/>
                <w:szCs w:val="22"/>
                <w:lang w:val="en-GB"/>
              </w:rPr>
              <w:t>Land surface affected by the implementation of the measures</w:t>
            </w:r>
          </w:p>
        </w:tc>
      </w:tr>
      <w:tr w:rsidR="002E01ED" w:rsidRPr="002E01ED">
        <w:trPr>
          <w:trHeight w:val="740"/>
        </w:trPr>
        <w:tc>
          <w:tcPr>
            <w:tcW w:w="3575" w:type="dxa"/>
            <w:vMerge/>
            <w:shd w:val="clear" w:color="auto" w:fill="auto"/>
          </w:tcPr>
          <w:p w:rsidR="00252B38" w:rsidRPr="002E01ED" w:rsidRDefault="00252B38">
            <w:pPr>
              <w:rPr>
                <w:snapToGrid w:val="0"/>
                <w:position w:val="-6"/>
                <w:sz w:val="22"/>
                <w:szCs w:val="22"/>
                <w:lang w:val="en-GB"/>
              </w:rPr>
            </w:pPr>
          </w:p>
        </w:tc>
        <w:tc>
          <w:tcPr>
            <w:tcW w:w="2992" w:type="dxa"/>
            <w:shd w:val="clear" w:color="auto" w:fill="auto"/>
          </w:tcPr>
          <w:p w:rsidR="00252B38" w:rsidRPr="002E01ED" w:rsidRDefault="008C6885">
            <w:pPr>
              <w:rPr>
                <w:sz w:val="22"/>
                <w:szCs w:val="22"/>
                <w:lang w:val="en-GB"/>
              </w:rPr>
            </w:pPr>
            <w:r w:rsidRPr="002E01ED">
              <w:rPr>
                <w:sz w:val="22"/>
                <w:szCs w:val="22"/>
                <w:lang w:val="en-GB"/>
              </w:rPr>
              <w:t xml:space="preserve">P 4.3 Prevention and fight against organised crime and police cooperation </w:t>
            </w:r>
          </w:p>
        </w:tc>
        <w:tc>
          <w:tcPr>
            <w:tcW w:w="3675"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None  </w:t>
            </w:r>
          </w:p>
        </w:tc>
      </w:tr>
      <w:tr w:rsidR="002E01ED" w:rsidRPr="002E01ED">
        <w:trPr>
          <w:trHeight w:val="239"/>
        </w:trPr>
        <w:tc>
          <w:tcPr>
            <w:tcW w:w="3575" w:type="dxa"/>
            <w:vMerge w:val="restart"/>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Large infrastructure projects </w:t>
            </w:r>
          </w:p>
        </w:tc>
        <w:tc>
          <w:tcPr>
            <w:tcW w:w="2992" w:type="dxa"/>
            <w:shd w:val="clear" w:color="auto" w:fill="auto"/>
          </w:tcPr>
          <w:p w:rsidR="00252B38" w:rsidRPr="002E01ED" w:rsidRDefault="008C6885">
            <w:pPr>
              <w:rPr>
                <w:sz w:val="22"/>
                <w:szCs w:val="22"/>
                <w:lang w:val="en-GB"/>
              </w:rPr>
            </w:pPr>
            <w:r w:rsidRPr="002E01ED">
              <w:rPr>
                <w:sz w:val="22"/>
                <w:szCs w:val="22"/>
                <w:lang w:val="en-GB"/>
              </w:rPr>
              <w:t>“</w:t>
            </w:r>
            <w:r w:rsidRPr="002E01ED">
              <w:rPr>
                <w:rFonts w:eastAsia="Calibri" w:cs="Arial"/>
                <w:sz w:val="22"/>
                <w:szCs w:val="22"/>
                <w:lang w:val="en-GB" w:eastAsia="en-US"/>
              </w:rPr>
              <w:t xml:space="preserve">«Clean river» Dunărea </w:t>
            </w:r>
          </w:p>
        </w:tc>
        <w:tc>
          <w:tcPr>
            <w:tcW w:w="3675"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None </w:t>
            </w:r>
          </w:p>
        </w:tc>
      </w:tr>
      <w:tr w:rsidR="002E01ED" w:rsidRPr="002E01ED">
        <w:trPr>
          <w:trHeight w:val="825"/>
        </w:trPr>
        <w:tc>
          <w:tcPr>
            <w:tcW w:w="3575" w:type="dxa"/>
            <w:vMerge/>
            <w:shd w:val="clear" w:color="auto" w:fill="auto"/>
          </w:tcPr>
          <w:p w:rsidR="00252B38" w:rsidRPr="002E01ED" w:rsidRDefault="00252B38">
            <w:pPr>
              <w:rPr>
                <w:snapToGrid w:val="0"/>
                <w:position w:val="-6"/>
                <w:sz w:val="22"/>
                <w:szCs w:val="22"/>
                <w:lang w:val="en-GB"/>
              </w:rPr>
            </w:pPr>
          </w:p>
        </w:tc>
        <w:tc>
          <w:tcPr>
            <w:tcW w:w="2992" w:type="dxa"/>
            <w:shd w:val="clear" w:color="auto" w:fill="auto"/>
          </w:tcPr>
          <w:p w:rsidR="00252B38" w:rsidRPr="002E01ED" w:rsidRDefault="008C6885">
            <w:pPr>
              <w:rPr>
                <w:sz w:val="22"/>
                <w:szCs w:val="22"/>
                <w:lang w:val="en-GB"/>
              </w:rPr>
            </w:pPr>
            <w:r w:rsidRPr="002E01ED">
              <w:rPr>
                <w:rFonts w:eastAsia="Calibri" w:cs="Arial"/>
                <w:sz w:val="22"/>
                <w:szCs w:val="22"/>
                <w:u w:color="000000"/>
                <w:lang w:val="en-GB" w:eastAsia="en-US"/>
              </w:rPr>
              <w:t>Improving the cross-border infrastructure – opening the gate to Europe</w:t>
            </w:r>
          </w:p>
        </w:tc>
        <w:tc>
          <w:tcPr>
            <w:tcW w:w="3675"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None </w:t>
            </w:r>
          </w:p>
        </w:tc>
      </w:tr>
      <w:tr w:rsidR="002E01ED" w:rsidRPr="002E01ED">
        <w:trPr>
          <w:trHeight w:val="290"/>
        </w:trPr>
        <w:tc>
          <w:tcPr>
            <w:tcW w:w="3575" w:type="dxa"/>
            <w:vMerge/>
            <w:shd w:val="clear" w:color="auto" w:fill="auto"/>
          </w:tcPr>
          <w:p w:rsidR="00252B38" w:rsidRPr="002E01ED" w:rsidRDefault="00252B38">
            <w:pPr>
              <w:rPr>
                <w:snapToGrid w:val="0"/>
                <w:position w:val="-6"/>
                <w:sz w:val="22"/>
                <w:szCs w:val="22"/>
                <w:lang w:val="en-GB"/>
              </w:rPr>
            </w:pPr>
          </w:p>
        </w:tc>
        <w:tc>
          <w:tcPr>
            <w:tcW w:w="2992" w:type="dxa"/>
            <w:shd w:val="clear" w:color="auto" w:fill="auto"/>
          </w:tcPr>
          <w:p w:rsidR="00252B38" w:rsidRPr="002E01ED" w:rsidRDefault="008C6885">
            <w:pPr>
              <w:rPr>
                <w:sz w:val="22"/>
                <w:szCs w:val="22"/>
                <w:lang w:val="en-GB"/>
              </w:rPr>
            </w:pPr>
            <w:r w:rsidRPr="002E01ED">
              <w:rPr>
                <w:rFonts w:eastAsia="Calibri" w:cs="Arial"/>
                <w:sz w:val="22"/>
                <w:szCs w:val="22"/>
                <w:u w:color="000000"/>
                <w:lang w:val="en-GB" w:eastAsia="en-US"/>
              </w:rPr>
              <w:t xml:space="preserve">Regional Cooperation for Prevention and Fighting of Cross-border Crime between Romania-Ukraine </w:t>
            </w:r>
          </w:p>
        </w:tc>
        <w:tc>
          <w:tcPr>
            <w:tcW w:w="3675"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None </w:t>
            </w:r>
          </w:p>
        </w:tc>
      </w:tr>
      <w:tr w:rsidR="002E01ED" w:rsidRPr="002E01ED">
        <w:trPr>
          <w:trHeight w:val="460"/>
        </w:trPr>
        <w:tc>
          <w:tcPr>
            <w:tcW w:w="3575" w:type="dxa"/>
            <w:vMerge/>
            <w:shd w:val="clear" w:color="auto" w:fill="auto"/>
          </w:tcPr>
          <w:p w:rsidR="00252B38" w:rsidRPr="002E01ED" w:rsidRDefault="00252B38">
            <w:pPr>
              <w:rPr>
                <w:snapToGrid w:val="0"/>
                <w:position w:val="-6"/>
                <w:sz w:val="22"/>
                <w:szCs w:val="22"/>
                <w:lang w:val="en-GB"/>
              </w:rPr>
            </w:pPr>
          </w:p>
        </w:tc>
        <w:tc>
          <w:tcPr>
            <w:tcW w:w="2992" w:type="dxa"/>
            <w:shd w:val="clear" w:color="auto" w:fill="auto"/>
          </w:tcPr>
          <w:p w:rsidR="00252B38" w:rsidRPr="002E01ED" w:rsidRDefault="008C6885">
            <w:pPr>
              <w:rPr>
                <w:sz w:val="22"/>
                <w:szCs w:val="22"/>
                <w:lang w:val="en-GB"/>
              </w:rPr>
            </w:pPr>
            <w:r w:rsidRPr="002E01ED">
              <w:rPr>
                <w:rFonts w:eastAsia="Calibri" w:cs="Arial"/>
                <w:sz w:val="22"/>
                <w:szCs w:val="22"/>
                <w:lang w:val="en-GB" w:eastAsia="en-US"/>
              </w:rPr>
              <w:t xml:space="preserve">Improvement of the population safety and security level in the cross-border area by enhancing the joint training and cooperation actions in emergency management. </w:t>
            </w:r>
          </w:p>
        </w:tc>
        <w:tc>
          <w:tcPr>
            <w:tcW w:w="3675" w:type="dxa"/>
            <w:shd w:val="clear" w:color="auto" w:fill="auto"/>
          </w:tcPr>
          <w:p w:rsidR="00252B38" w:rsidRPr="002E01ED" w:rsidRDefault="008C6885">
            <w:pPr>
              <w:rPr>
                <w:snapToGrid w:val="0"/>
                <w:position w:val="-6"/>
                <w:sz w:val="22"/>
                <w:szCs w:val="22"/>
                <w:lang w:val="en-GB"/>
              </w:rPr>
            </w:pPr>
            <w:r w:rsidRPr="002E01ED">
              <w:rPr>
                <w:snapToGrid w:val="0"/>
                <w:position w:val="-6"/>
                <w:sz w:val="22"/>
                <w:szCs w:val="22"/>
                <w:lang w:val="en-GB"/>
              </w:rPr>
              <w:t xml:space="preserve">None </w:t>
            </w:r>
          </w:p>
        </w:tc>
      </w:tr>
    </w:tbl>
    <w:p w:rsidR="00252B38" w:rsidRDefault="00252B38">
      <w:pPr>
        <w:spacing w:before="60" w:after="60" w:line="288" w:lineRule="auto"/>
        <w:ind w:firstLine="709"/>
        <w:jc w:val="both"/>
        <w:rPr>
          <w:snapToGrid w:val="0"/>
          <w:color w:val="FF0000"/>
          <w:position w:val="-6"/>
        </w:rPr>
      </w:pPr>
    </w:p>
    <w:p w:rsidR="00252B38" w:rsidRDefault="00252B38">
      <w:pPr>
        <w:spacing w:before="60" w:after="60" w:line="288" w:lineRule="auto"/>
        <w:ind w:firstLine="709"/>
        <w:jc w:val="both"/>
        <w:rPr>
          <w:snapToGrid w:val="0"/>
          <w:color w:val="FF0000"/>
          <w:position w:val="-6"/>
        </w:rPr>
      </w:pPr>
    </w:p>
    <w:p w:rsidR="00252B38" w:rsidRDefault="00252B38">
      <w:pPr>
        <w:spacing w:before="60" w:after="60" w:line="288" w:lineRule="auto"/>
        <w:ind w:firstLine="709"/>
        <w:jc w:val="both"/>
        <w:rPr>
          <w:snapToGrid w:val="0"/>
          <w:color w:val="FF0000"/>
          <w:position w:val="-6"/>
        </w:rPr>
      </w:pPr>
    </w:p>
    <w:p w:rsidR="00252B38" w:rsidRDefault="00252B38">
      <w:pPr>
        <w:spacing w:before="60" w:after="60" w:line="288" w:lineRule="auto"/>
        <w:jc w:val="both"/>
        <w:rPr>
          <w:snapToGrid w:val="0"/>
          <w:color w:val="FF0000"/>
          <w:position w:val="-6"/>
        </w:rPr>
      </w:pPr>
    </w:p>
    <w:p w:rsidR="00252B38" w:rsidRDefault="008C6885">
      <w:pPr>
        <w:spacing w:before="60" w:after="60" w:line="288" w:lineRule="auto"/>
        <w:ind w:firstLine="709"/>
        <w:jc w:val="both"/>
        <w:rPr>
          <w:bCs/>
          <w:snapToGrid w:val="0"/>
          <w:position w:val="-6"/>
        </w:rPr>
      </w:pPr>
      <w:r>
        <w:rPr>
          <w:bCs/>
          <w:snapToGrid w:val="0"/>
          <w:position w:val="-6"/>
          <w:lang w:val="en-GB"/>
        </w:rPr>
        <w:t>The monitoring indicators of indicative activities associated with the four thematic objectives of Programme Ro-Ua and Large Infrastructure Projects which may impact the environmental aspects considered in the current strategic environmental assessment are presented in the following table</w:t>
      </w:r>
      <w:r w:rsidR="00FD633C">
        <w:rPr>
          <w:bCs/>
          <w:snapToGrid w:val="0"/>
          <w:position w:val="-6"/>
          <w:lang w:val="en-GB"/>
        </w:rPr>
        <w:t>:</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4819"/>
      </w:tblGrid>
      <w:tr w:rsidR="00252B38" w:rsidTr="002E01ED">
        <w:tc>
          <w:tcPr>
            <w:tcW w:w="5495" w:type="dxa"/>
            <w:shd w:val="clear" w:color="auto" w:fill="auto"/>
          </w:tcPr>
          <w:p w:rsidR="00252B38" w:rsidRDefault="008C6885">
            <w:pPr>
              <w:jc w:val="both"/>
              <w:rPr>
                <w:b/>
                <w:sz w:val="22"/>
                <w:szCs w:val="22"/>
              </w:rPr>
            </w:pPr>
            <w:r>
              <w:rPr>
                <w:b/>
                <w:sz w:val="22"/>
                <w:szCs w:val="22"/>
              </w:rPr>
              <w:t xml:space="preserve">INDICATIVE ACTIVITIES of the </w:t>
            </w:r>
            <w:r w:rsidRPr="002E01ED">
              <w:rPr>
                <w:b/>
                <w:sz w:val="22"/>
                <w:szCs w:val="22"/>
              </w:rPr>
              <w:t>Programme  Ro-Ua</w:t>
            </w:r>
          </w:p>
        </w:tc>
        <w:tc>
          <w:tcPr>
            <w:tcW w:w="4819" w:type="dxa"/>
            <w:shd w:val="clear" w:color="auto" w:fill="auto"/>
          </w:tcPr>
          <w:p w:rsidR="00252B38" w:rsidRDefault="00FD633C">
            <w:pPr>
              <w:jc w:val="both"/>
              <w:rPr>
                <w:b/>
                <w:sz w:val="22"/>
                <w:szCs w:val="22"/>
              </w:rPr>
            </w:pPr>
            <w:r>
              <w:rPr>
                <w:b/>
                <w:sz w:val="22"/>
                <w:szCs w:val="22"/>
              </w:rPr>
              <w:t>Proposed m</w:t>
            </w:r>
            <w:r w:rsidR="008C6885">
              <w:rPr>
                <w:b/>
                <w:sz w:val="22"/>
                <w:szCs w:val="22"/>
              </w:rPr>
              <w:t xml:space="preserve">onitoring indicators </w:t>
            </w:r>
          </w:p>
        </w:tc>
      </w:tr>
      <w:tr w:rsidR="00252B38" w:rsidTr="002E01ED">
        <w:tc>
          <w:tcPr>
            <w:tcW w:w="10314" w:type="dxa"/>
            <w:gridSpan w:val="2"/>
            <w:shd w:val="clear" w:color="auto" w:fill="auto"/>
          </w:tcPr>
          <w:p w:rsidR="00252B38" w:rsidRDefault="008C6885">
            <w:pPr>
              <w:jc w:val="both"/>
              <w:rPr>
                <w:b/>
                <w:sz w:val="22"/>
                <w:szCs w:val="22"/>
              </w:rPr>
            </w:pPr>
            <w:r>
              <w:rPr>
                <w:b/>
                <w:sz w:val="22"/>
                <w:szCs w:val="22"/>
              </w:rPr>
              <w:t>TO2 - SUPPORT TO EDUCATION, RESEARCH, TECHNOLOGICAL DEVELOPMENT &amp; INNOVATION</w:t>
            </w:r>
          </w:p>
          <w:p w:rsidR="00252B38" w:rsidRDefault="008C6885">
            <w:pPr>
              <w:spacing w:before="60" w:after="60" w:line="288" w:lineRule="auto"/>
              <w:jc w:val="both"/>
            </w:pPr>
            <w:r>
              <w:rPr>
                <w:b/>
                <w:bCs/>
                <w:iCs/>
                <w:sz w:val="22"/>
                <w:szCs w:val="22"/>
                <w:lang w:val="en-GB"/>
              </w:rPr>
              <w:t xml:space="preserve">Objective 1:  </w:t>
            </w:r>
            <w:r w:rsidR="00FD633C" w:rsidRPr="002E01ED">
              <w:rPr>
                <w:rFonts w:eastAsia="SimSun" w:cs="Arial"/>
                <w:i/>
                <w:kern w:val="1"/>
                <w:sz w:val="22"/>
                <w:szCs w:val="22"/>
                <w:lang w:eastAsia="zh-CN" w:bidi="hi-IN"/>
              </w:rPr>
              <w:t>Develop education and</w:t>
            </w:r>
            <w:r w:rsidR="00FD633C" w:rsidRPr="002E01ED">
              <w:rPr>
                <w:rFonts w:eastAsia="SimSun" w:cs="Arial"/>
                <w:i/>
                <w:kern w:val="1"/>
                <w:sz w:val="22"/>
                <w:lang w:eastAsia="zh-CN" w:bidi="hi-IN"/>
              </w:rPr>
              <w:t xml:space="preserve"> </w:t>
            </w:r>
            <w:r w:rsidR="00FD633C" w:rsidRPr="002E01ED">
              <w:rPr>
                <w:rFonts w:eastAsia="SimSun" w:cs="Arial"/>
                <w:i/>
                <w:kern w:val="1"/>
                <w:sz w:val="22"/>
                <w:szCs w:val="22"/>
                <w:lang w:eastAsia="zh-CN" w:bidi="hi-IN"/>
              </w:rPr>
              <w:t>support research and innovation at the level of the Programme area by facilitating the cooperation at local, regional and central level</w:t>
            </w:r>
          </w:p>
        </w:tc>
      </w:tr>
      <w:tr w:rsidR="00252B38" w:rsidTr="002E01ED">
        <w:tc>
          <w:tcPr>
            <w:tcW w:w="10314" w:type="dxa"/>
            <w:gridSpan w:val="2"/>
            <w:shd w:val="clear" w:color="auto" w:fill="auto"/>
          </w:tcPr>
          <w:p w:rsidR="00252B38" w:rsidRDefault="008C6885">
            <w:pPr>
              <w:jc w:val="both"/>
            </w:pPr>
            <w:r>
              <w:rPr>
                <w:i/>
                <w:sz w:val="22"/>
                <w:szCs w:val="22"/>
              </w:rPr>
              <w:t>Priority 1.1Institutional cooperation in the educational field for increasing access to education and quality of education</w:t>
            </w:r>
          </w:p>
        </w:tc>
      </w:tr>
      <w:tr w:rsidR="00252B38" w:rsidTr="002E01ED">
        <w:tc>
          <w:tcPr>
            <w:tcW w:w="5495" w:type="dxa"/>
            <w:shd w:val="clear" w:color="auto" w:fill="auto"/>
          </w:tcPr>
          <w:p w:rsidR="00252B38" w:rsidRDefault="008C6885">
            <w:pPr>
              <w:jc w:val="both"/>
              <w:rPr>
                <w:sz w:val="22"/>
                <w:szCs w:val="22"/>
              </w:rPr>
            </w:pPr>
            <w:r>
              <w:rPr>
                <w:rFonts w:eastAsia="Calibri" w:cs="Arial"/>
                <w:sz w:val="22"/>
                <w:szCs w:val="22"/>
                <w:lang w:val="en-GB" w:eastAsia="en-US"/>
              </w:rPr>
              <w:t>Rehabilitation/modernization/ extension/ equipment procurement for the educational infrastructure to provide the necessary material preconditions of a quality educational process and increase the participation in the educational processes</w:t>
            </w:r>
          </w:p>
        </w:tc>
        <w:tc>
          <w:tcPr>
            <w:tcW w:w="4819" w:type="dxa"/>
            <w:shd w:val="clear" w:color="auto" w:fill="auto"/>
          </w:tcPr>
          <w:p w:rsidR="00252B38" w:rsidRPr="00FD633C" w:rsidRDefault="00FD633C">
            <w:pPr>
              <w:ind w:left="34"/>
              <w:rPr>
                <w:rFonts w:cs="Arial"/>
                <w:sz w:val="22"/>
                <w:szCs w:val="22"/>
              </w:rPr>
            </w:pPr>
            <w:r w:rsidRPr="002E01ED">
              <w:rPr>
                <w:rFonts w:cs="Arial"/>
                <w:color w:val="000000"/>
                <w:sz w:val="22"/>
                <w:szCs w:val="22"/>
              </w:rPr>
              <w:t>Number of  rehabilitated / modernized educational institutions</w:t>
            </w:r>
          </w:p>
        </w:tc>
      </w:tr>
      <w:tr w:rsidR="00252B38" w:rsidTr="002E01ED">
        <w:tc>
          <w:tcPr>
            <w:tcW w:w="10314" w:type="dxa"/>
            <w:gridSpan w:val="2"/>
            <w:shd w:val="clear" w:color="auto" w:fill="auto"/>
          </w:tcPr>
          <w:p w:rsidR="00252B38" w:rsidRDefault="008C6885">
            <w:pPr>
              <w:ind w:left="34"/>
              <w:jc w:val="both"/>
              <w:rPr>
                <w:sz w:val="22"/>
                <w:szCs w:val="22"/>
              </w:rPr>
            </w:pPr>
            <w:r>
              <w:rPr>
                <w:i/>
                <w:sz w:val="22"/>
                <w:szCs w:val="22"/>
              </w:rPr>
              <w:t>Priority 1.2 Promotion and support to research and innovation</w:t>
            </w:r>
          </w:p>
        </w:tc>
      </w:tr>
      <w:tr w:rsidR="00252B38" w:rsidTr="002E01ED">
        <w:tc>
          <w:tcPr>
            <w:tcW w:w="5495" w:type="dxa"/>
            <w:shd w:val="clear" w:color="auto" w:fill="auto"/>
          </w:tcPr>
          <w:p w:rsidR="00252B38" w:rsidRDefault="008C6885">
            <w:pPr>
              <w:jc w:val="both"/>
              <w:rPr>
                <w:rFonts w:eastAsia="Calibri" w:cs="Arial"/>
                <w:sz w:val="22"/>
                <w:szCs w:val="22"/>
                <w:lang w:val="en-GB" w:eastAsia="en-US"/>
              </w:rPr>
            </w:pPr>
            <w:r>
              <w:rPr>
                <w:rFonts w:eastAsia="Calibri" w:cs="Arial"/>
                <w:sz w:val="22"/>
                <w:szCs w:val="22"/>
                <w:lang w:val="en-GB" w:eastAsia="en-US"/>
              </w:rPr>
              <w:t>Promotion and support for research and innovation through rehabilitation/</w:t>
            </w:r>
          </w:p>
          <w:p w:rsidR="00252B38" w:rsidRDefault="008C6885">
            <w:pPr>
              <w:jc w:val="both"/>
              <w:rPr>
                <w:sz w:val="22"/>
                <w:szCs w:val="22"/>
              </w:rPr>
            </w:pPr>
            <w:r>
              <w:rPr>
                <w:rFonts w:eastAsia="Calibri" w:cs="Arial"/>
                <w:sz w:val="22"/>
                <w:szCs w:val="22"/>
                <w:lang w:val="en-GB" w:eastAsia="en-US"/>
              </w:rPr>
              <w:t>modernization/extension of the specific infrastructure including the procurement of related equipment.</w:t>
            </w:r>
          </w:p>
        </w:tc>
        <w:tc>
          <w:tcPr>
            <w:tcW w:w="4819" w:type="dxa"/>
            <w:shd w:val="clear" w:color="auto" w:fill="auto"/>
          </w:tcPr>
          <w:p w:rsidR="00252B38" w:rsidRPr="00FD633C" w:rsidRDefault="00FD633C">
            <w:pPr>
              <w:ind w:left="34"/>
              <w:rPr>
                <w:rFonts w:cs="Arial"/>
                <w:sz w:val="22"/>
                <w:szCs w:val="22"/>
              </w:rPr>
            </w:pPr>
            <w:r w:rsidRPr="002E01ED">
              <w:rPr>
                <w:rFonts w:cs="Arial"/>
                <w:bCs/>
                <w:color w:val="000000"/>
                <w:sz w:val="22"/>
                <w:szCs w:val="22"/>
              </w:rPr>
              <w:t>Number of institutions using programme support for cooperation in R&amp;D and support of innovation</w:t>
            </w:r>
          </w:p>
        </w:tc>
      </w:tr>
      <w:tr w:rsidR="00252B38" w:rsidTr="002E01ED">
        <w:tc>
          <w:tcPr>
            <w:tcW w:w="10314" w:type="dxa"/>
            <w:gridSpan w:val="2"/>
            <w:shd w:val="clear" w:color="auto" w:fill="auto"/>
          </w:tcPr>
          <w:p w:rsidR="00252B38" w:rsidRDefault="008C6885">
            <w:pPr>
              <w:spacing w:before="60" w:after="60" w:line="288" w:lineRule="auto"/>
              <w:jc w:val="both"/>
              <w:rPr>
                <w:b/>
                <w:sz w:val="22"/>
                <w:szCs w:val="22"/>
                <w:lang w:val="en-GB"/>
              </w:rPr>
            </w:pPr>
            <w:r>
              <w:rPr>
                <w:b/>
                <w:sz w:val="22"/>
                <w:szCs w:val="22"/>
                <w:lang w:val="en-GB"/>
              </w:rPr>
              <w:t>TO3 - PROMOTION OF THE LOCAL CULTURE AND PRESERVATION OF HISTORICAL HERITAGE</w:t>
            </w:r>
          </w:p>
          <w:p w:rsidR="00252B38" w:rsidRDefault="008C6885">
            <w:pPr>
              <w:spacing w:before="60" w:after="60" w:line="288" w:lineRule="auto"/>
              <w:jc w:val="both"/>
              <w:rPr>
                <w:bCs/>
                <w:i/>
                <w:sz w:val="22"/>
                <w:szCs w:val="22"/>
                <w:lang w:val="en-GB"/>
              </w:rPr>
            </w:pPr>
            <w:r>
              <w:rPr>
                <w:b/>
                <w:bCs/>
                <w:i/>
                <w:iCs/>
                <w:sz w:val="22"/>
                <w:szCs w:val="22"/>
                <w:lang w:val="en-GB"/>
              </w:rPr>
              <w:t xml:space="preserve">Objective 2:  </w:t>
            </w:r>
            <w:r w:rsidR="00FD633C" w:rsidRPr="001739C9">
              <w:rPr>
                <w:rFonts w:ascii="Times New Roman" w:hAnsi="Times New Roman"/>
                <w:bCs/>
                <w:i/>
                <w:sz w:val="22"/>
                <w:szCs w:val="22"/>
              </w:rPr>
              <w:t>Preservation of the cultural and historical heritage in the eligible area, support the developing of local culture, specific cultural identities and the cultural dialog</w:t>
            </w:r>
            <w:r w:rsidR="00FD633C">
              <w:rPr>
                <w:rFonts w:ascii="Times New Roman" w:hAnsi="Times New Roman"/>
                <w:bCs/>
                <w:i/>
                <w:sz w:val="22"/>
                <w:szCs w:val="22"/>
              </w:rPr>
              <w:t xml:space="preserve"> contributing to an enhanced attractiveness of the eligible area.</w:t>
            </w:r>
          </w:p>
          <w:p w:rsidR="00252B38" w:rsidRDefault="008C6885">
            <w:pPr>
              <w:jc w:val="both"/>
              <w:rPr>
                <w:sz w:val="22"/>
                <w:szCs w:val="22"/>
              </w:rPr>
            </w:pPr>
            <w:r>
              <w:rPr>
                <w:i/>
                <w:sz w:val="22"/>
                <w:szCs w:val="22"/>
              </w:rPr>
              <w:t xml:space="preserve">Priority 2.1 Preservation and promotion of the cultural and historical heritage  </w:t>
            </w:r>
          </w:p>
        </w:tc>
      </w:tr>
      <w:tr w:rsidR="00252B38" w:rsidTr="002E01ED">
        <w:tc>
          <w:tcPr>
            <w:tcW w:w="5495" w:type="dxa"/>
            <w:shd w:val="clear" w:color="auto" w:fill="auto"/>
          </w:tcPr>
          <w:p w:rsidR="00252B38" w:rsidRDefault="008C6885">
            <w:pPr>
              <w:jc w:val="both"/>
              <w:rPr>
                <w:sz w:val="22"/>
                <w:szCs w:val="22"/>
                <w:lang w:eastAsia="en-US"/>
              </w:rPr>
            </w:pPr>
            <w:r>
              <w:rPr>
                <w:rFonts w:eastAsia="EUAlbertina-Regular-Identity-H" w:cs="Arial"/>
                <w:bCs/>
                <w:sz w:val="22"/>
                <w:szCs w:val="22"/>
                <w:lang w:val="en-GB" w:eastAsia="en-US"/>
              </w:rPr>
              <w:t xml:space="preserve">Restoration, conservation, consolidation, protection, security of cultural and historical monuments (including the corresponding access roads), </w:t>
            </w:r>
            <w:r>
              <w:rPr>
                <w:rFonts w:eastAsia="EUAlbertina-Regular-Identity-H" w:cs="Arial"/>
                <w:bCs/>
                <w:sz w:val="22"/>
                <w:szCs w:val="22"/>
                <w:lang w:val="en-GB" w:eastAsia="en-US"/>
              </w:rPr>
              <w:lastRenderedPageBreak/>
              <w:t>museums, objects and art collections and their joint promotion based on relevant cross-border strategies/concepts</w:t>
            </w:r>
          </w:p>
        </w:tc>
        <w:tc>
          <w:tcPr>
            <w:tcW w:w="4819" w:type="dxa"/>
            <w:shd w:val="clear" w:color="auto" w:fill="auto"/>
          </w:tcPr>
          <w:p w:rsidR="00252B38" w:rsidRDefault="00FD633C">
            <w:pPr>
              <w:ind w:left="34"/>
              <w:rPr>
                <w:sz w:val="22"/>
                <w:szCs w:val="22"/>
              </w:rPr>
            </w:pPr>
            <w:r w:rsidRPr="002E01ED">
              <w:rPr>
                <w:rFonts w:cs="Arial"/>
                <w:bCs/>
                <w:color w:val="000000"/>
                <w:sz w:val="22"/>
                <w:szCs w:val="22"/>
              </w:rPr>
              <w:lastRenderedPageBreak/>
              <w:t>Number of improved cultural and historical sites</w:t>
            </w:r>
          </w:p>
        </w:tc>
      </w:tr>
      <w:tr w:rsidR="00252B38" w:rsidTr="002E01ED">
        <w:tc>
          <w:tcPr>
            <w:tcW w:w="5495" w:type="dxa"/>
            <w:shd w:val="clear" w:color="auto" w:fill="auto"/>
          </w:tcPr>
          <w:p w:rsidR="00252B38" w:rsidRDefault="008C6885">
            <w:pPr>
              <w:jc w:val="both"/>
              <w:rPr>
                <w:sz w:val="22"/>
                <w:szCs w:val="22"/>
                <w:lang w:eastAsia="en-US"/>
              </w:rPr>
            </w:pPr>
            <w:r>
              <w:rPr>
                <w:rFonts w:eastAsia="EUAlbertina-Regular-Identity-H" w:cs="Arial"/>
                <w:bCs/>
                <w:sz w:val="22"/>
                <w:szCs w:val="22"/>
                <w:lang w:val="en-GB" w:eastAsia="en-US"/>
              </w:rPr>
              <w:lastRenderedPageBreak/>
              <w:t>Preservation, security, and joint valorisation of cultural and historical monuments and objects</w:t>
            </w:r>
          </w:p>
        </w:tc>
        <w:tc>
          <w:tcPr>
            <w:tcW w:w="4819" w:type="dxa"/>
            <w:shd w:val="clear" w:color="auto" w:fill="auto"/>
          </w:tcPr>
          <w:p w:rsidR="00252B38" w:rsidRDefault="00FD633C">
            <w:pPr>
              <w:ind w:left="34"/>
              <w:jc w:val="both"/>
              <w:rPr>
                <w:sz w:val="22"/>
                <w:szCs w:val="22"/>
              </w:rPr>
            </w:pPr>
            <w:r w:rsidRPr="0088539B">
              <w:rPr>
                <w:rFonts w:cs="Arial"/>
                <w:bCs/>
                <w:color w:val="000000"/>
                <w:sz w:val="22"/>
                <w:szCs w:val="22"/>
              </w:rPr>
              <w:t>Number of improved cultural and historical sites</w:t>
            </w:r>
          </w:p>
        </w:tc>
      </w:tr>
      <w:tr w:rsidR="00252B38" w:rsidTr="002E01ED">
        <w:tc>
          <w:tcPr>
            <w:tcW w:w="10314" w:type="dxa"/>
            <w:gridSpan w:val="2"/>
            <w:shd w:val="clear" w:color="auto" w:fill="auto"/>
          </w:tcPr>
          <w:p w:rsidR="00252B38" w:rsidRDefault="008C6885">
            <w:pPr>
              <w:jc w:val="both"/>
              <w:rPr>
                <w:b/>
                <w:sz w:val="22"/>
                <w:szCs w:val="22"/>
              </w:rPr>
            </w:pPr>
            <w:r>
              <w:rPr>
                <w:b/>
                <w:sz w:val="22"/>
                <w:szCs w:val="22"/>
              </w:rPr>
              <w:t>TO7 - IMPROVEMENT OF ACCESSIBILITY TO THE REGIONS, DEVELOPMENT OF TRANSPORT AND COMMON NETWORKS AND SYSTEMS</w:t>
            </w:r>
          </w:p>
          <w:p w:rsidR="00252B38" w:rsidRDefault="008C6885">
            <w:pPr>
              <w:spacing w:before="60" w:after="60" w:line="288" w:lineRule="auto"/>
              <w:jc w:val="both"/>
              <w:rPr>
                <w:i/>
                <w:sz w:val="22"/>
                <w:szCs w:val="22"/>
                <w:lang w:val="en-GB"/>
              </w:rPr>
            </w:pPr>
            <w:r>
              <w:rPr>
                <w:b/>
                <w:bCs/>
                <w:i/>
                <w:iCs/>
                <w:sz w:val="22"/>
                <w:szCs w:val="22"/>
                <w:lang w:val="en-GB"/>
              </w:rPr>
              <w:t>Objective 3:</w:t>
            </w:r>
            <w:r>
              <w:rPr>
                <w:b/>
                <w:bCs/>
                <w:iCs/>
                <w:sz w:val="22"/>
                <w:szCs w:val="22"/>
                <w:lang w:val="en-GB"/>
              </w:rPr>
              <w:t xml:space="preserve"> </w:t>
            </w:r>
            <w:r>
              <w:rPr>
                <w:i/>
                <w:sz w:val="22"/>
                <w:szCs w:val="22"/>
                <w:lang w:val="en-GB"/>
              </w:rPr>
              <w:t>Improve public transport services, infrastructure and ITC cooperation and networking</w:t>
            </w:r>
          </w:p>
          <w:p w:rsidR="00252B38" w:rsidRDefault="008C6885">
            <w:pPr>
              <w:jc w:val="both"/>
              <w:rPr>
                <w:sz w:val="22"/>
                <w:szCs w:val="22"/>
              </w:rPr>
            </w:pPr>
            <w:r>
              <w:rPr>
                <w:i/>
                <w:sz w:val="22"/>
                <w:szCs w:val="22"/>
              </w:rPr>
              <w:t>Priority 3.1Development of cross border transport infrastructure and ICT tools</w:t>
            </w:r>
          </w:p>
        </w:tc>
      </w:tr>
      <w:tr w:rsidR="00252B38" w:rsidTr="002E01ED">
        <w:tc>
          <w:tcPr>
            <w:tcW w:w="5495" w:type="dxa"/>
            <w:shd w:val="clear" w:color="auto" w:fill="auto"/>
          </w:tcPr>
          <w:p w:rsidR="00252B38" w:rsidRDefault="008C6885">
            <w:pPr>
              <w:jc w:val="both"/>
              <w:rPr>
                <w:sz w:val="22"/>
                <w:szCs w:val="22"/>
                <w:lang w:eastAsia="en-US"/>
              </w:rPr>
            </w:pPr>
            <w:r>
              <w:rPr>
                <w:sz w:val="22"/>
                <w:szCs w:val="22"/>
                <w:lang w:eastAsia="en-US"/>
              </w:rPr>
              <w:t>Reconstruction, rehabilitation, modernization  of cross-border transport systems</w:t>
            </w:r>
          </w:p>
        </w:tc>
        <w:tc>
          <w:tcPr>
            <w:tcW w:w="4819" w:type="dxa"/>
            <w:shd w:val="clear" w:color="auto" w:fill="auto"/>
          </w:tcPr>
          <w:p w:rsidR="00252B38" w:rsidRDefault="00FD633C">
            <w:pPr>
              <w:ind w:left="34"/>
              <w:jc w:val="both"/>
              <w:rPr>
                <w:sz w:val="22"/>
                <w:szCs w:val="22"/>
              </w:rPr>
            </w:pPr>
            <w:r w:rsidRPr="002E01ED">
              <w:rPr>
                <w:rFonts w:cs="Arial"/>
                <w:bCs/>
                <w:color w:val="000000"/>
                <w:sz w:val="22"/>
                <w:szCs w:val="22"/>
              </w:rPr>
              <w:t>Total length of reconstructed or upgraded roads</w:t>
            </w:r>
          </w:p>
        </w:tc>
      </w:tr>
      <w:tr w:rsidR="00252B38" w:rsidTr="002E01ED">
        <w:tc>
          <w:tcPr>
            <w:tcW w:w="5495" w:type="dxa"/>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Development of environmentally friendly cross-border transport initiatives and innovative solutions</w:t>
            </w:r>
          </w:p>
        </w:tc>
        <w:tc>
          <w:tcPr>
            <w:tcW w:w="4819" w:type="dxa"/>
            <w:shd w:val="clear" w:color="auto" w:fill="auto"/>
          </w:tcPr>
          <w:p w:rsidR="00252B38" w:rsidRDefault="008C6885">
            <w:pPr>
              <w:ind w:left="34"/>
              <w:rPr>
                <w:sz w:val="22"/>
                <w:szCs w:val="22"/>
              </w:rPr>
            </w:pPr>
            <w:r>
              <w:rPr>
                <w:sz w:val="22"/>
                <w:szCs w:val="22"/>
              </w:rPr>
              <w:t>Number of transport initiatives developed with low environmental impact</w:t>
            </w:r>
          </w:p>
        </w:tc>
      </w:tr>
      <w:tr w:rsidR="00252B38" w:rsidTr="002E01ED">
        <w:tc>
          <w:tcPr>
            <w:tcW w:w="5495" w:type="dxa"/>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Improvements of multimode transport (road/water) facilities of cross-border interest</w:t>
            </w:r>
          </w:p>
        </w:tc>
        <w:tc>
          <w:tcPr>
            <w:tcW w:w="4819" w:type="dxa"/>
            <w:shd w:val="clear" w:color="auto" w:fill="auto"/>
          </w:tcPr>
          <w:p w:rsidR="00252B38" w:rsidRPr="00FD633C" w:rsidRDefault="00FD633C">
            <w:pPr>
              <w:ind w:left="34"/>
              <w:rPr>
                <w:rFonts w:cs="Arial"/>
                <w:sz w:val="22"/>
                <w:szCs w:val="22"/>
              </w:rPr>
            </w:pPr>
            <w:r w:rsidRPr="002E01ED">
              <w:rPr>
                <w:rFonts w:cs="Arial"/>
                <w:color w:val="000000"/>
                <w:sz w:val="22"/>
                <w:szCs w:val="22"/>
              </w:rPr>
              <w:t>Number of joint mechanisms to support improvement of cross-border infrastructure (joint planning documents, including: strategies, plans, action plans; multi-modal facilitation mechanisms) developed</w:t>
            </w:r>
          </w:p>
        </w:tc>
      </w:tr>
      <w:tr w:rsidR="00252B38" w:rsidTr="002E01ED">
        <w:tc>
          <w:tcPr>
            <w:tcW w:w="5495" w:type="dxa"/>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Reconstruction, rehabilitation, widening of cross-border (segments of) roads connecting settlements alongside the border with main road, which leads to the border</w:t>
            </w:r>
          </w:p>
        </w:tc>
        <w:tc>
          <w:tcPr>
            <w:tcW w:w="4819" w:type="dxa"/>
            <w:shd w:val="clear" w:color="auto" w:fill="auto"/>
          </w:tcPr>
          <w:p w:rsidR="00252B38" w:rsidRDefault="00FD633C">
            <w:pPr>
              <w:ind w:left="34"/>
              <w:rPr>
                <w:sz w:val="22"/>
                <w:szCs w:val="22"/>
              </w:rPr>
            </w:pPr>
            <w:r w:rsidRPr="0088539B">
              <w:rPr>
                <w:rFonts w:cs="Arial"/>
                <w:bCs/>
                <w:color w:val="000000"/>
                <w:sz w:val="22"/>
                <w:szCs w:val="22"/>
              </w:rPr>
              <w:t>Total length of reconstructed or upgraded roads</w:t>
            </w:r>
          </w:p>
        </w:tc>
      </w:tr>
      <w:tr w:rsidR="00252B38" w:rsidTr="002E01ED">
        <w:tc>
          <w:tcPr>
            <w:tcW w:w="5495" w:type="dxa"/>
            <w:shd w:val="clear" w:color="auto" w:fill="auto"/>
          </w:tcPr>
          <w:p w:rsidR="00252B38" w:rsidRDefault="008C6885">
            <w:pPr>
              <w:jc w:val="both"/>
              <w:rPr>
                <w:sz w:val="22"/>
                <w:szCs w:val="22"/>
                <w:lang w:eastAsia="en-US"/>
              </w:rPr>
            </w:pPr>
            <w:r>
              <w:rPr>
                <w:rFonts w:eastAsia="EUAlbertina-Regular-Identity-H" w:cs="Arial"/>
                <w:sz w:val="22"/>
                <w:szCs w:val="22"/>
                <w:lang w:val="en-GB" w:eastAsia="en-US"/>
              </w:rPr>
              <w:t>Improvement/restoration/construction of (segments of) access roads  to centres of cross-border interest</w:t>
            </w:r>
          </w:p>
        </w:tc>
        <w:tc>
          <w:tcPr>
            <w:tcW w:w="4819" w:type="dxa"/>
            <w:shd w:val="clear" w:color="auto" w:fill="auto"/>
          </w:tcPr>
          <w:p w:rsidR="00252B38" w:rsidRDefault="00FD633C">
            <w:pPr>
              <w:ind w:left="34"/>
              <w:rPr>
                <w:sz w:val="22"/>
                <w:szCs w:val="22"/>
              </w:rPr>
            </w:pPr>
            <w:r w:rsidRPr="0088539B">
              <w:rPr>
                <w:rFonts w:cs="Arial"/>
                <w:bCs/>
                <w:color w:val="000000"/>
                <w:sz w:val="22"/>
                <w:szCs w:val="22"/>
              </w:rPr>
              <w:t>Total length of reconstructed or upgraded roads</w:t>
            </w:r>
          </w:p>
        </w:tc>
      </w:tr>
      <w:tr w:rsidR="00252B38" w:rsidTr="002E01ED">
        <w:tc>
          <w:tcPr>
            <w:tcW w:w="10314" w:type="dxa"/>
            <w:gridSpan w:val="2"/>
            <w:shd w:val="clear" w:color="auto" w:fill="auto"/>
          </w:tcPr>
          <w:p w:rsidR="00252B38" w:rsidRDefault="008C6885">
            <w:pPr>
              <w:jc w:val="both"/>
              <w:rPr>
                <w:b/>
                <w:sz w:val="22"/>
                <w:szCs w:val="22"/>
              </w:rPr>
            </w:pPr>
            <w:r>
              <w:rPr>
                <w:b/>
                <w:sz w:val="22"/>
                <w:szCs w:val="22"/>
              </w:rPr>
              <w:t>TO8 - COMMON CHALLENGES IN THE FIELD OF SAFETY AND SECURITY</w:t>
            </w:r>
          </w:p>
          <w:p w:rsidR="00252B38" w:rsidRDefault="008C6885">
            <w:pPr>
              <w:jc w:val="both"/>
              <w:rPr>
                <w:sz w:val="22"/>
                <w:szCs w:val="22"/>
              </w:rPr>
            </w:pPr>
            <w:r>
              <w:rPr>
                <w:b/>
                <w:i/>
                <w:sz w:val="22"/>
                <w:szCs w:val="22"/>
              </w:rPr>
              <w:t xml:space="preserve">Objective 4: </w:t>
            </w:r>
            <w:r>
              <w:rPr>
                <w:sz w:val="22"/>
                <w:szCs w:val="22"/>
              </w:rPr>
              <w:t>Addressing common challenges in cross-border security, access to health, management of natural and anthropic risks and emergency situations through joint projects</w:t>
            </w:r>
          </w:p>
        </w:tc>
      </w:tr>
      <w:tr w:rsidR="00252B38" w:rsidTr="002E01ED">
        <w:tc>
          <w:tcPr>
            <w:tcW w:w="10314" w:type="dxa"/>
            <w:gridSpan w:val="2"/>
            <w:shd w:val="clear" w:color="auto" w:fill="auto"/>
          </w:tcPr>
          <w:p w:rsidR="00252B38" w:rsidRDefault="008C6885">
            <w:pPr>
              <w:jc w:val="both"/>
              <w:rPr>
                <w:sz w:val="22"/>
                <w:szCs w:val="22"/>
              </w:rPr>
            </w:pPr>
            <w:r>
              <w:rPr>
                <w:i/>
                <w:sz w:val="22"/>
                <w:szCs w:val="22"/>
              </w:rPr>
              <w:t>Priority 4.1 Support to the development of health services and access to health</w:t>
            </w:r>
          </w:p>
        </w:tc>
      </w:tr>
      <w:tr w:rsidR="00FD633C" w:rsidTr="002E01ED">
        <w:tc>
          <w:tcPr>
            <w:tcW w:w="5495" w:type="dxa"/>
            <w:shd w:val="clear" w:color="auto" w:fill="auto"/>
          </w:tcPr>
          <w:p w:rsidR="00FD633C" w:rsidRDefault="00FD633C">
            <w:pPr>
              <w:jc w:val="both"/>
              <w:rPr>
                <w:sz w:val="22"/>
                <w:szCs w:val="22"/>
              </w:rPr>
            </w:pPr>
            <w:r>
              <w:rPr>
                <w:rFonts w:eastAsia="Calibri" w:cs="Arial"/>
                <w:bCs/>
                <w:iCs/>
                <w:sz w:val="22"/>
                <w:szCs w:val="22"/>
                <w:lang w:val="en-GB" w:eastAsia="en-US"/>
              </w:rPr>
              <w:t>Joint activities meant to enhance the access to health in the border area through construction / rehabilitation / modernization of infrastructure of public health services (including through the use of renewable energy etc.)</w:t>
            </w:r>
          </w:p>
        </w:tc>
        <w:tc>
          <w:tcPr>
            <w:tcW w:w="4819" w:type="dxa"/>
            <w:shd w:val="clear" w:color="auto" w:fill="auto"/>
          </w:tcPr>
          <w:p w:rsidR="00FD633C" w:rsidRPr="00FD633C" w:rsidRDefault="00FD633C">
            <w:pPr>
              <w:rPr>
                <w:rFonts w:cs="Arial"/>
                <w:sz w:val="22"/>
                <w:szCs w:val="22"/>
              </w:rPr>
            </w:pPr>
            <w:r w:rsidRPr="002E01ED">
              <w:rPr>
                <w:rFonts w:cs="Arial"/>
                <w:bCs/>
                <w:color w:val="000000"/>
                <w:sz w:val="22"/>
                <w:szCs w:val="22"/>
              </w:rPr>
              <w:t>Population covered by improved health services as a direct consequence of programme support</w:t>
            </w:r>
          </w:p>
        </w:tc>
      </w:tr>
      <w:tr w:rsidR="00FD633C" w:rsidTr="002E01ED">
        <w:tc>
          <w:tcPr>
            <w:tcW w:w="5495" w:type="dxa"/>
            <w:shd w:val="clear" w:color="auto" w:fill="auto"/>
          </w:tcPr>
          <w:p w:rsidR="00FD633C" w:rsidRDefault="00FD633C">
            <w:pPr>
              <w:jc w:val="both"/>
              <w:rPr>
                <w:sz w:val="22"/>
                <w:szCs w:val="22"/>
                <w:lang w:eastAsia="en-US"/>
              </w:rPr>
            </w:pPr>
            <w:r>
              <w:rPr>
                <w:rFonts w:eastAsia="Calibri" w:cs="Arial"/>
                <w:bCs/>
                <w:iCs/>
                <w:sz w:val="22"/>
                <w:szCs w:val="22"/>
                <w:lang w:val="en-GB" w:eastAsia="en-US"/>
              </w:rPr>
              <w:t>Developing labs and mobile labs for screening / clinical monitoring of diseases and prevention of cross border epidemics</w:t>
            </w:r>
            <w:r>
              <w:rPr>
                <w:sz w:val="22"/>
                <w:szCs w:val="22"/>
                <w:lang w:eastAsia="en-US"/>
              </w:rPr>
              <w:t xml:space="preserve"> </w:t>
            </w:r>
          </w:p>
        </w:tc>
        <w:tc>
          <w:tcPr>
            <w:tcW w:w="4819" w:type="dxa"/>
            <w:shd w:val="clear" w:color="auto" w:fill="auto"/>
          </w:tcPr>
          <w:p w:rsidR="00FD633C" w:rsidRPr="00FD633C" w:rsidRDefault="00FD633C">
            <w:pPr>
              <w:jc w:val="both"/>
              <w:rPr>
                <w:rFonts w:cs="Arial"/>
                <w:sz w:val="22"/>
                <w:szCs w:val="22"/>
              </w:rPr>
            </w:pPr>
            <w:r w:rsidRPr="002E01ED">
              <w:rPr>
                <w:rFonts w:cs="Arial"/>
                <w:bCs/>
                <w:color w:val="000000"/>
                <w:sz w:val="22"/>
                <w:szCs w:val="22"/>
              </w:rPr>
              <w:t>Number of medical service infrastructure units improved</w:t>
            </w:r>
          </w:p>
        </w:tc>
      </w:tr>
      <w:tr w:rsidR="00FD633C" w:rsidTr="002E01ED">
        <w:tc>
          <w:tcPr>
            <w:tcW w:w="5495" w:type="dxa"/>
            <w:shd w:val="clear" w:color="auto" w:fill="auto"/>
          </w:tcPr>
          <w:p w:rsidR="00FD633C" w:rsidRDefault="00FD633C">
            <w:pPr>
              <w:jc w:val="both"/>
              <w:rPr>
                <w:sz w:val="22"/>
                <w:szCs w:val="22"/>
                <w:lang w:eastAsia="en-US"/>
              </w:rPr>
            </w:pPr>
            <w:r>
              <w:rPr>
                <w:rFonts w:eastAsia="Calibri" w:cs="Arial"/>
                <w:bCs/>
                <w:iCs/>
                <w:sz w:val="22"/>
                <w:szCs w:val="22"/>
                <w:lang w:val="en-GB" w:eastAsia="en-US"/>
              </w:rPr>
              <w:t>Equipping specific public medical service infrastructure (outpatient, emergency room facilities, medical centres, integrated social intervention, etc.)</w:t>
            </w:r>
          </w:p>
          <w:p w:rsidR="00FD633C" w:rsidRDefault="00FD633C">
            <w:pPr>
              <w:jc w:val="both"/>
              <w:rPr>
                <w:sz w:val="22"/>
                <w:szCs w:val="22"/>
                <w:lang w:eastAsia="en-US"/>
              </w:rPr>
            </w:pPr>
          </w:p>
        </w:tc>
        <w:tc>
          <w:tcPr>
            <w:tcW w:w="4819" w:type="dxa"/>
            <w:shd w:val="clear" w:color="auto" w:fill="auto"/>
          </w:tcPr>
          <w:p w:rsidR="00FD633C" w:rsidRPr="00FD633C" w:rsidRDefault="00FD633C">
            <w:pPr>
              <w:rPr>
                <w:rFonts w:cs="Arial"/>
                <w:sz w:val="22"/>
                <w:szCs w:val="22"/>
              </w:rPr>
            </w:pPr>
            <w:r w:rsidRPr="002E01ED">
              <w:rPr>
                <w:rFonts w:cs="Arial"/>
                <w:bCs/>
                <w:color w:val="000000"/>
                <w:sz w:val="22"/>
                <w:szCs w:val="22"/>
              </w:rPr>
              <w:t>Number of medical service infrastructure units improved</w:t>
            </w:r>
            <w:r w:rsidRPr="00FD633C" w:rsidDel="00673078">
              <w:rPr>
                <w:rFonts w:cs="Arial"/>
                <w:sz w:val="22"/>
                <w:szCs w:val="22"/>
              </w:rPr>
              <w:t xml:space="preserve"> </w:t>
            </w:r>
            <w:r w:rsidRPr="002E01ED">
              <w:rPr>
                <w:rFonts w:cs="Arial"/>
                <w:bCs/>
                <w:color w:val="000000"/>
                <w:sz w:val="22"/>
                <w:szCs w:val="22"/>
              </w:rPr>
              <w:t>Population covered by improved health services as a direct consequence of programme support</w:t>
            </w:r>
          </w:p>
        </w:tc>
      </w:tr>
      <w:tr w:rsidR="00252B38" w:rsidTr="002E01ED">
        <w:tc>
          <w:tcPr>
            <w:tcW w:w="10314" w:type="dxa"/>
            <w:gridSpan w:val="2"/>
            <w:shd w:val="clear" w:color="auto" w:fill="auto"/>
          </w:tcPr>
          <w:p w:rsidR="00252B38" w:rsidRDefault="008C6885">
            <w:pPr>
              <w:jc w:val="both"/>
              <w:rPr>
                <w:sz w:val="22"/>
                <w:szCs w:val="22"/>
              </w:rPr>
            </w:pPr>
            <w:r>
              <w:rPr>
                <w:bCs/>
                <w:i/>
                <w:iCs/>
                <w:sz w:val="22"/>
                <w:szCs w:val="22"/>
              </w:rPr>
              <w:t>Priority 4.2 Support to joint activities for the prevention of natural and man-made disasters as well as joint actions during emergency situations</w:t>
            </w:r>
          </w:p>
        </w:tc>
      </w:tr>
      <w:tr w:rsidR="00252B38" w:rsidTr="002E01ED">
        <w:tc>
          <w:tcPr>
            <w:tcW w:w="5495" w:type="dxa"/>
            <w:shd w:val="clear" w:color="auto" w:fill="auto"/>
          </w:tcPr>
          <w:p w:rsidR="00252B38" w:rsidRDefault="008C6885">
            <w:pPr>
              <w:jc w:val="both"/>
              <w:rPr>
                <w:sz w:val="22"/>
                <w:szCs w:val="22"/>
                <w:lang w:eastAsia="en-US"/>
              </w:rPr>
            </w:pPr>
            <w:r>
              <w:rPr>
                <w:rFonts w:eastAsia="Calibri" w:cs="Arial"/>
                <w:bCs/>
                <w:sz w:val="22"/>
                <w:szCs w:val="22"/>
                <w:lang w:val="en-GB" w:eastAsia="en-US"/>
              </w:rPr>
              <w:t>Common measures for preventing land slide and flooding of the cross border areas</w:t>
            </w:r>
          </w:p>
        </w:tc>
        <w:tc>
          <w:tcPr>
            <w:tcW w:w="4819" w:type="dxa"/>
            <w:shd w:val="clear" w:color="auto" w:fill="auto"/>
          </w:tcPr>
          <w:p w:rsidR="00252B38" w:rsidRDefault="008C6885">
            <w:pPr>
              <w:rPr>
                <w:sz w:val="22"/>
                <w:szCs w:val="22"/>
              </w:rPr>
            </w:pPr>
            <w:r>
              <w:rPr>
                <w:sz w:val="22"/>
                <w:szCs w:val="22"/>
              </w:rPr>
              <w:t>Population benefiting from flood protection measures</w:t>
            </w:r>
          </w:p>
          <w:p w:rsidR="00FD633C" w:rsidRDefault="00FD633C">
            <w:pPr>
              <w:rPr>
                <w:sz w:val="22"/>
                <w:szCs w:val="22"/>
              </w:rPr>
            </w:pPr>
            <w:r>
              <w:rPr>
                <w:sz w:val="22"/>
                <w:szCs w:val="22"/>
              </w:rPr>
              <w:t>Land surface affected by the implementation of the measures</w:t>
            </w:r>
            <w:r>
              <w:rPr>
                <w:rStyle w:val="FootnoteReference"/>
                <w:sz w:val="22"/>
                <w:szCs w:val="22"/>
              </w:rPr>
              <w:footnoteReference w:id="4"/>
            </w:r>
          </w:p>
        </w:tc>
      </w:tr>
      <w:tr w:rsidR="00252B38" w:rsidTr="002E01ED">
        <w:tc>
          <w:tcPr>
            <w:tcW w:w="5495" w:type="dxa"/>
            <w:shd w:val="clear" w:color="auto" w:fill="auto"/>
          </w:tcPr>
          <w:p w:rsidR="00252B38" w:rsidRDefault="008C6885">
            <w:pPr>
              <w:jc w:val="both"/>
              <w:rPr>
                <w:sz w:val="22"/>
                <w:szCs w:val="22"/>
                <w:lang w:eastAsia="en-US"/>
              </w:rPr>
            </w:pPr>
            <w:r>
              <w:rPr>
                <w:rFonts w:eastAsia="Calibri" w:cs="Arial"/>
                <w:bCs/>
                <w:sz w:val="22"/>
                <w:szCs w:val="22"/>
                <w:lang w:val="en-GB" w:eastAsia="en-US"/>
              </w:rPr>
              <w:t>Joint integrated systems for efficient monitoring and disaster prevention and for the mitigation of consequences</w:t>
            </w:r>
          </w:p>
        </w:tc>
        <w:tc>
          <w:tcPr>
            <w:tcW w:w="4819" w:type="dxa"/>
            <w:vMerge w:val="restart"/>
            <w:shd w:val="clear" w:color="auto" w:fill="auto"/>
          </w:tcPr>
          <w:p w:rsidR="00252B38" w:rsidRDefault="008C6885">
            <w:pPr>
              <w:rPr>
                <w:sz w:val="22"/>
                <w:szCs w:val="22"/>
              </w:rPr>
            </w:pPr>
            <w:r>
              <w:rPr>
                <w:sz w:val="22"/>
                <w:szCs w:val="22"/>
              </w:rPr>
              <w:t>Number of joint actions, including soft actions (exchanges of experience, training, study visits, joint planning session, new or updated maps, databases, systems / structures, purchased equipment, etc.) and joint infrastructure investments in emergency situations and disasters caused by man</w:t>
            </w:r>
          </w:p>
        </w:tc>
      </w:tr>
      <w:tr w:rsidR="00252B38" w:rsidTr="002E01ED">
        <w:tc>
          <w:tcPr>
            <w:tcW w:w="5495" w:type="dxa"/>
            <w:shd w:val="clear" w:color="auto" w:fill="auto"/>
          </w:tcPr>
          <w:p w:rsidR="00252B38" w:rsidRDefault="008C6885">
            <w:pPr>
              <w:jc w:val="both"/>
              <w:rPr>
                <w:sz w:val="22"/>
                <w:szCs w:val="22"/>
              </w:rPr>
            </w:pPr>
            <w:r>
              <w:rPr>
                <w:rFonts w:eastAsia="Calibri" w:cs="Arial"/>
                <w:bCs/>
                <w:sz w:val="22"/>
                <w:szCs w:val="22"/>
                <w:lang w:val="en-GB" w:eastAsia="en-US"/>
              </w:rPr>
              <w:t>Elaborating of joint detailed maps and databases (indicating natural and technological risks, and land use for regional planning authorities, environmental agencies and emergency services)</w:t>
            </w:r>
          </w:p>
        </w:tc>
        <w:tc>
          <w:tcPr>
            <w:tcW w:w="4819" w:type="dxa"/>
            <w:vMerge/>
            <w:shd w:val="clear" w:color="auto" w:fill="auto"/>
          </w:tcPr>
          <w:p w:rsidR="00252B38" w:rsidRDefault="00252B38">
            <w:pPr>
              <w:ind w:left="176"/>
              <w:jc w:val="both"/>
              <w:rPr>
                <w:sz w:val="22"/>
                <w:szCs w:val="22"/>
              </w:rPr>
            </w:pPr>
          </w:p>
        </w:tc>
      </w:tr>
      <w:tr w:rsidR="00252B38" w:rsidTr="002E01ED">
        <w:tc>
          <w:tcPr>
            <w:tcW w:w="5495" w:type="dxa"/>
            <w:shd w:val="clear" w:color="auto" w:fill="auto"/>
          </w:tcPr>
          <w:p w:rsidR="00252B38" w:rsidRDefault="008C6885">
            <w:pPr>
              <w:jc w:val="both"/>
              <w:rPr>
                <w:bCs/>
                <w:sz w:val="22"/>
                <w:szCs w:val="22"/>
              </w:rPr>
            </w:pPr>
            <w:r>
              <w:rPr>
                <w:rFonts w:eastAsia="Calibri" w:cs="Arial"/>
                <w:bCs/>
                <w:sz w:val="22"/>
                <w:szCs w:val="22"/>
                <w:lang w:val="en-GB" w:eastAsia="en-US"/>
              </w:rPr>
              <w:t>Investments and development of common, integrated, emergency management systems</w:t>
            </w:r>
          </w:p>
          <w:p w:rsidR="00252B38" w:rsidRDefault="00252B38">
            <w:pPr>
              <w:jc w:val="both"/>
              <w:rPr>
                <w:bCs/>
                <w:sz w:val="22"/>
                <w:szCs w:val="22"/>
              </w:rPr>
            </w:pPr>
          </w:p>
        </w:tc>
        <w:tc>
          <w:tcPr>
            <w:tcW w:w="4819" w:type="dxa"/>
            <w:vMerge/>
            <w:shd w:val="clear" w:color="auto" w:fill="auto"/>
          </w:tcPr>
          <w:p w:rsidR="00252B38" w:rsidRDefault="00252B38">
            <w:pPr>
              <w:ind w:left="176"/>
              <w:rPr>
                <w:sz w:val="22"/>
                <w:szCs w:val="22"/>
              </w:rPr>
            </w:pPr>
          </w:p>
        </w:tc>
      </w:tr>
      <w:tr w:rsidR="00252B38" w:rsidTr="002E01ED">
        <w:tc>
          <w:tcPr>
            <w:tcW w:w="10314" w:type="dxa"/>
            <w:gridSpan w:val="2"/>
            <w:shd w:val="clear" w:color="auto" w:fill="auto"/>
          </w:tcPr>
          <w:p w:rsidR="00252B38" w:rsidRDefault="008C6885">
            <w:pPr>
              <w:jc w:val="both"/>
              <w:rPr>
                <w:i/>
                <w:sz w:val="22"/>
                <w:szCs w:val="22"/>
              </w:rPr>
            </w:pPr>
            <w:r>
              <w:rPr>
                <w:i/>
                <w:sz w:val="22"/>
                <w:szCs w:val="22"/>
              </w:rPr>
              <w:lastRenderedPageBreak/>
              <w:t xml:space="preserve"> Priority 4.3 Prevention and fight against organised crime and police cooperation</w:t>
            </w:r>
          </w:p>
          <w:p w:rsidR="00252B38" w:rsidRDefault="00252B38">
            <w:pPr>
              <w:jc w:val="both"/>
              <w:rPr>
                <w:sz w:val="22"/>
                <w:szCs w:val="22"/>
              </w:rPr>
            </w:pPr>
          </w:p>
        </w:tc>
      </w:tr>
      <w:tr w:rsidR="00252B38" w:rsidTr="002E01ED">
        <w:tc>
          <w:tcPr>
            <w:tcW w:w="5495" w:type="dxa"/>
            <w:shd w:val="clear" w:color="auto" w:fill="auto"/>
          </w:tcPr>
          <w:p w:rsidR="00252B38" w:rsidRDefault="008C6885">
            <w:pPr>
              <w:jc w:val="both"/>
              <w:rPr>
                <w:sz w:val="22"/>
                <w:szCs w:val="22"/>
                <w:lang w:eastAsia="en-US"/>
              </w:rPr>
            </w:pPr>
            <w:r>
              <w:rPr>
                <w:sz w:val="22"/>
                <w:szCs w:val="22"/>
                <w:lang w:eastAsia="en-US"/>
              </w:rPr>
              <w:t xml:space="preserve"> </w:t>
            </w:r>
            <w:r>
              <w:rPr>
                <w:rFonts w:eastAsia="Calibri" w:cs="Arial"/>
                <w:bCs/>
                <w:sz w:val="22"/>
                <w:szCs w:val="22"/>
                <w:lang w:val="en-GB" w:eastAsia="en-US"/>
              </w:rPr>
              <w:t>Investment in construction, renovation or upgrading of police and border crossing infrastructure and related buildings</w:t>
            </w:r>
          </w:p>
        </w:tc>
        <w:tc>
          <w:tcPr>
            <w:tcW w:w="4819" w:type="dxa"/>
            <w:vMerge w:val="restart"/>
            <w:shd w:val="clear" w:color="auto" w:fill="auto"/>
          </w:tcPr>
          <w:p w:rsidR="00252B38" w:rsidRPr="00E85787" w:rsidRDefault="00E85787">
            <w:pPr>
              <w:rPr>
                <w:rFonts w:cs="Arial"/>
                <w:sz w:val="22"/>
                <w:szCs w:val="22"/>
              </w:rPr>
            </w:pPr>
            <w:r w:rsidRPr="002E01ED">
              <w:rPr>
                <w:rFonts w:cs="Arial"/>
                <w:bCs/>
                <w:color w:val="000000"/>
                <w:sz w:val="22"/>
                <w:szCs w:val="22"/>
              </w:rPr>
              <w:t>Number of modernized facilities of police, police border and custom services from the eligible area</w:t>
            </w:r>
          </w:p>
        </w:tc>
      </w:tr>
      <w:tr w:rsidR="00252B38" w:rsidTr="002E01ED">
        <w:tc>
          <w:tcPr>
            <w:tcW w:w="5495" w:type="dxa"/>
            <w:shd w:val="clear" w:color="auto" w:fill="auto"/>
          </w:tcPr>
          <w:p w:rsidR="00252B38" w:rsidRDefault="008C6885">
            <w:pPr>
              <w:jc w:val="both"/>
              <w:rPr>
                <w:sz w:val="22"/>
                <w:szCs w:val="22"/>
                <w:lang w:eastAsia="en-US"/>
              </w:rPr>
            </w:pPr>
            <w:r>
              <w:rPr>
                <w:sz w:val="22"/>
                <w:szCs w:val="22"/>
                <w:lang w:eastAsia="en-US"/>
              </w:rPr>
              <w:t xml:space="preserve"> </w:t>
            </w:r>
            <w:r>
              <w:rPr>
                <w:rFonts w:eastAsia="Calibri" w:cs="Arial"/>
                <w:bCs/>
                <w:sz w:val="22"/>
                <w:szCs w:val="22"/>
                <w:lang w:val="en-GB" w:eastAsia="en-US"/>
              </w:rPr>
              <w:t>Investments in operating equipment and facilities specific for the activity of police/customs/border police/gendarmerie (e.g. laboratories,  equipment, detection tools,  hardware and software, means of transport)</w:t>
            </w:r>
          </w:p>
        </w:tc>
        <w:tc>
          <w:tcPr>
            <w:tcW w:w="4819" w:type="dxa"/>
            <w:vMerge/>
            <w:shd w:val="clear" w:color="auto" w:fill="auto"/>
          </w:tcPr>
          <w:p w:rsidR="00252B38" w:rsidRDefault="00252B38">
            <w:pPr>
              <w:ind w:left="176"/>
              <w:jc w:val="both"/>
              <w:rPr>
                <w:sz w:val="22"/>
                <w:szCs w:val="22"/>
              </w:rPr>
            </w:pPr>
          </w:p>
        </w:tc>
      </w:tr>
      <w:tr w:rsidR="00252B38" w:rsidTr="002E01ED">
        <w:tc>
          <w:tcPr>
            <w:tcW w:w="10314" w:type="dxa"/>
            <w:gridSpan w:val="2"/>
            <w:shd w:val="clear" w:color="auto" w:fill="auto"/>
          </w:tcPr>
          <w:p w:rsidR="00252B38" w:rsidRDefault="008C6885">
            <w:pPr>
              <w:jc w:val="both"/>
              <w:rPr>
                <w:b/>
                <w:sz w:val="22"/>
                <w:szCs w:val="22"/>
              </w:rPr>
            </w:pPr>
            <w:r>
              <w:rPr>
                <w:b/>
                <w:sz w:val="22"/>
                <w:szCs w:val="22"/>
              </w:rPr>
              <w:t>Large Infrastructure projects</w:t>
            </w:r>
          </w:p>
        </w:tc>
      </w:tr>
      <w:tr w:rsidR="00E85787" w:rsidTr="002E01ED">
        <w:tc>
          <w:tcPr>
            <w:tcW w:w="5495" w:type="dxa"/>
            <w:shd w:val="clear" w:color="auto" w:fill="auto"/>
          </w:tcPr>
          <w:p w:rsidR="00E85787" w:rsidRDefault="00E85787">
            <w:pPr>
              <w:jc w:val="both"/>
              <w:rPr>
                <w:sz w:val="22"/>
                <w:szCs w:val="22"/>
              </w:rPr>
            </w:pPr>
            <w:r>
              <w:rPr>
                <w:rFonts w:eastAsia="Calibri" w:cs="Arial"/>
                <w:sz w:val="22"/>
                <w:szCs w:val="22"/>
                <w:lang w:val="en-GB" w:eastAsia="en-US"/>
              </w:rPr>
              <w:t>«Clean river» Dunărea</w:t>
            </w:r>
          </w:p>
        </w:tc>
        <w:tc>
          <w:tcPr>
            <w:tcW w:w="4819" w:type="dxa"/>
            <w:shd w:val="clear" w:color="auto" w:fill="auto"/>
          </w:tcPr>
          <w:p w:rsidR="00E85787" w:rsidRPr="00914233" w:rsidRDefault="00E85787" w:rsidP="00C7761C">
            <w:pPr>
              <w:ind w:left="34"/>
              <w:rPr>
                <w:sz w:val="22"/>
                <w:szCs w:val="22"/>
              </w:rPr>
            </w:pPr>
            <w:r w:rsidRPr="00914233">
              <w:rPr>
                <w:sz w:val="22"/>
                <w:szCs w:val="22"/>
              </w:rPr>
              <w:t xml:space="preserve">Population benefiting from flood protection measures </w:t>
            </w:r>
          </w:p>
          <w:p w:rsidR="00E85787" w:rsidRDefault="00E85787">
            <w:pPr>
              <w:ind w:left="34"/>
              <w:rPr>
                <w:sz w:val="22"/>
                <w:szCs w:val="22"/>
              </w:rPr>
            </w:pPr>
            <w:r w:rsidRPr="00914233">
              <w:rPr>
                <w:rFonts w:ascii="Times New Roman" w:hAnsi="Times New Roman"/>
                <w:color w:val="000000"/>
                <w:sz w:val="20"/>
                <w:szCs w:val="20"/>
              </w:rPr>
              <w:t>N</w:t>
            </w:r>
            <w:r w:rsidRPr="00914233">
              <w:rPr>
                <w:rFonts w:eastAsia="Calibri" w:cs="Arial"/>
                <w:bCs/>
                <w:iCs/>
                <w:sz w:val="22"/>
                <w:szCs w:val="22"/>
                <w:lang w:eastAsia="en-US"/>
              </w:rPr>
              <w:t>umber of joint actions, including soft operations (Including but not limiting to exchange experience; trainings; study visits; common planning sessions; newly developed: maps, data bases, systems/structures, aquisitioned equipments; etc.), as well as joint infrastructure investments in the field of emergency situations and the prevention of man-made disasters</w:t>
            </w:r>
          </w:p>
        </w:tc>
      </w:tr>
      <w:tr w:rsidR="00E85787" w:rsidTr="002E01ED">
        <w:tc>
          <w:tcPr>
            <w:tcW w:w="5495" w:type="dxa"/>
            <w:shd w:val="clear" w:color="auto" w:fill="auto"/>
          </w:tcPr>
          <w:p w:rsidR="00E85787" w:rsidRDefault="00E85787">
            <w:pPr>
              <w:jc w:val="both"/>
              <w:rPr>
                <w:sz w:val="22"/>
                <w:szCs w:val="22"/>
              </w:rPr>
            </w:pPr>
            <w:r>
              <w:rPr>
                <w:rFonts w:eastAsia="Calibri" w:cs="Arial"/>
                <w:color w:val="000000"/>
                <w:sz w:val="22"/>
                <w:szCs w:val="22"/>
                <w:u w:color="000000"/>
                <w:lang w:val="en-GB" w:eastAsia="en-US"/>
              </w:rPr>
              <w:t>Improving the cross-border infrastructure – opening the gate to Europe</w:t>
            </w:r>
            <w:r>
              <w:rPr>
                <w:sz w:val="22"/>
                <w:szCs w:val="22"/>
                <w:lang w:val="vi-VN"/>
              </w:rPr>
              <w:t xml:space="preserve"> </w:t>
            </w:r>
          </w:p>
        </w:tc>
        <w:tc>
          <w:tcPr>
            <w:tcW w:w="4819" w:type="dxa"/>
            <w:shd w:val="clear" w:color="auto" w:fill="auto"/>
          </w:tcPr>
          <w:p w:rsidR="00E85787" w:rsidRPr="00D73BA6" w:rsidRDefault="00E85787">
            <w:pPr>
              <w:tabs>
                <w:tab w:val="left" w:pos="176"/>
              </w:tabs>
              <w:ind w:left="34"/>
              <w:rPr>
                <w:rFonts w:cs="Arial"/>
                <w:sz w:val="22"/>
                <w:szCs w:val="22"/>
              </w:rPr>
            </w:pPr>
            <w:r w:rsidRPr="002E01ED">
              <w:rPr>
                <w:rFonts w:cs="Arial"/>
                <w:color w:val="000000"/>
                <w:sz w:val="22"/>
                <w:szCs w:val="22"/>
              </w:rPr>
              <w:t>Total length of reconstructed or upgraded roads</w:t>
            </w:r>
          </w:p>
        </w:tc>
      </w:tr>
      <w:tr w:rsidR="00E85787" w:rsidTr="002E01ED">
        <w:tc>
          <w:tcPr>
            <w:tcW w:w="5495" w:type="dxa"/>
            <w:shd w:val="clear" w:color="auto" w:fill="auto"/>
          </w:tcPr>
          <w:p w:rsidR="00E85787" w:rsidRDefault="00E85787">
            <w:pPr>
              <w:jc w:val="both"/>
              <w:rPr>
                <w:sz w:val="22"/>
                <w:szCs w:val="22"/>
              </w:rPr>
            </w:pPr>
            <w:r>
              <w:rPr>
                <w:rFonts w:eastAsia="Calibri" w:cs="Arial"/>
                <w:color w:val="000000"/>
                <w:sz w:val="22"/>
                <w:szCs w:val="22"/>
                <w:u w:color="000000"/>
                <w:lang w:val="en-GB" w:eastAsia="en-US"/>
              </w:rPr>
              <w:t>Regional Cooperation for Prevention and Fighting of Cross-border Crime between Romania-Ukraine</w:t>
            </w:r>
          </w:p>
        </w:tc>
        <w:tc>
          <w:tcPr>
            <w:tcW w:w="4819" w:type="dxa"/>
            <w:shd w:val="clear" w:color="auto" w:fill="auto"/>
          </w:tcPr>
          <w:p w:rsidR="00E85787" w:rsidRPr="00D73BA6" w:rsidRDefault="00E85787">
            <w:pPr>
              <w:tabs>
                <w:tab w:val="left" w:pos="176"/>
              </w:tabs>
              <w:ind w:left="34"/>
              <w:rPr>
                <w:rFonts w:cs="Arial"/>
                <w:sz w:val="22"/>
                <w:szCs w:val="22"/>
              </w:rPr>
            </w:pPr>
            <w:r w:rsidRPr="002E01ED">
              <w:rPr>
                <w:rFonts w:cs="Arial"/>
                <w:bCs/>
                <w:color w:val="000000"/>
                <w:sz w:val="22"/>
                <w:szCs w:val="22"/>
              </w:rPr>
              <w:t>Number of modernized facilities of police, police border and custom services from the eligible area</w:t>
            </w:r>
          </w:p>
        </w:tc>
      </w:tr>
      <w:tr w:rsidR="00E85787" w:rsidTr="002E01ED">
        <w:tc>
          <w:tcPr>
            <w:tcW w:w="5495" w:type="dxa"/>
            <w:shd w:val="clear" w:color="auto" w:fill="auto"/>
          </w:tcPr>
          <w:p w:rsidR="00E85787" w:rsidRDefault="00E85787">
            <w:pPr>
              <w:jc w:val="both"/>
              <w:rPr>
                <w:sz w:val="22"/>
                <w:szCs w:val="22"/>
              </w:rPr>
            </w:pPr>
            <w:r>
              <w:rPr>
                <w:rFonts w:eastAsia="Calibri" w:cs="Arial"/>
                <w:sz w:val="22"/>
                <w:szCs w:val="22"/>
                <w:lang w:val="en-GB" w:eastAsia="en-US"/>
              </w:rPr>
              <w:t>Improvement of the population safety and security level in the cross-border area by enhancing the joint training and cooperation actions in emergency management</w:t>
            </w:r>
          </w:p>
        </w:tc>
        <w:tc>
          <w:tcPr>
            <w:tcW w:w="4819" w:type="dxa"/>
            <w:shd w:val="clear" w:color="auto" w:fill="auto"/>
          </w:tcPr>
          <w:p w:rsidR="00E85787" w:rsidRDefault="00E85787">
            <w:pPr>
              <w:tabs>
                <w:tab w:val="left" w:pos="176"/>
              </w:tabs>
              <w:ind w:left="34"/>
              <w:jc w:val="both"/>
              <w:rPr>
                <w:sz w:val="22"/>
                <w:szCs w:val="22"/>
              </w:rPr>
            </w:pPr>
            <w:r w:rsidRPr="00914233">
              <w:rPr>
                <w:rFonts w:ascii="Times New Roman" w:hAnsi="Times New Roman"/>
                <w:color w:val="000000"/>
                <w:sz w:val="20"/>
                <w:szCs w:val="20"/>
              </w:rPr>
              <w:t>N</w:t>
            </w:r>
            <w:r w:rsidRPr="00914233">
              <w:rPr>
                <w:rFonts w:eastAsia="Calibri" w:cs="Arial"/>
                <w:bCs/>
                <w:iCs/>
                <w:sz w:val="22"/>
                <w:szCs w:val="22"/>
                <w:lang w:eastAsia="en-US"/>
              </w:rPr>
              <w:t>umber of joint actions, including soft operations (Including but not limiting to exchange experience; trainings; study visits; common planning sessions; newly developed: maps, data bases, systems/structures, aquisitioned equipments; etc.), as well as joint infrastructure investments in the field of emergency situations and the prevention of man-made disasters</w:t>
            </w:r>
          </w:p>
        </w:tc>
      </w:tr>
    </w:tbl>
    <w:p w:rsidR="00252B38" w:rsidRDefault="00252B38">
      <w:pPr>
        <w:spacing w:before="60" w:after="60" w:line="288" w:lineRule="auto"/>
        <w:ind w:firstLine="709"/>
        <w:jc w:val="both"/>
        <w:rPr>
          <w:rFonts w:eastAsia="Calibri" w:cs="Arial"/>
          <w:bCs/>
          <w:lang w:val="en" w:eastAsia="en-US"/>
        </w:rPr>
      </w:pPr>
    </w:p>
    <w:p w:rsidR="00252B38" w:rsidRDefault="008C6885">
      <w:pPr>
        <w:spacing w:before="60" w:after="60" w:line="288" w:lineRule="auto"/>
        <w:ind w:firstLine="709"/>
        <w:jc w:val="both"/>
        <w:rPr>
          <w:rFonts w:eastAsia="Calibri" w:cs="Arial"/>
          <w:bCs/>
          <w:lang w:eastAsia="en-US"/>
        </w:rPr>
      </w:pPr>
      <w:r>
        <w:rPr>
          <w:rFonts w:eastAsia="Calibri" w:cs="Arial"/>
          <w:bCs/>
          <w:lang w:eastAsia="en-US"/>
        </w:rPr>
        <w:t xml:space="preserve">Some of indicators proposed for monitoring the Programme effects on the environment were selected from indicators for monitoring achieving the program goals, that highlight the impact on environmental issues considered, and if this could not be relevant, new indicators were proposed or the Programme indicators were </w:t>
      </w:r>
      <w:r w:rsidR="00E85787">
        <w:rPr>
          <w:rFonts w:eastAsia="Calibri" w:cs="Arial"/>
          <w:bCs/>
          <w:lang w:eastAsia="en-US"/>
        </w:rPr>
        <w:t>adapted</w:t>
      </w:r>
      <w:r>
        <w:rPr>
          <w:rFonts w:eastAsia="Calibri" w:cs="Arial"/>
          <w:bCs/>
          <w:lang w:eastAsia="en-US"/>
        </w:rPr>
        <w:t>.</w:t>
      </w:r>
    </w:p>
    <w:p w:rsidR="00D73BA6" w:rsidRDefault="00D73BA6" w:rsidP="002E01ED">
      <w:pPr>
        <w:spacing w:before="60" w:after="60" w:line="288" w:lineRule="auto"/>
        <w:jc w:val="both"/>
        <w:rPr>
          <w:rFonts w:eastAsia="Calibri" w:cs="Arial"/>
          <w:bCs/>
          <w:lang w:val="en" w:eastAsia="en-US"/>
        </w:rPr>
      </w:pPr>
    </w:p>
    <w:p w:rsidR="00D73BA6" w:rsidRDefault="00D73BA6" w:rsidP="00D73BA6">
      <w:pPr>
        <w:autoSpaceDE w:val="0"/>
        <w:autoSpaceDN w:val="0"/>
        <w:adjustRightInd w:val="0"/>
        <w:spacing w:before="60" w:after="60" w:line="288" w:lineRule="auto"/>
        <w:ind w:firstLine="720"/>
        <w:contextualSpacing/>
        <w:jc w:val="both"/>
        <w:rPr>
          <w:rFonts w:cs="Arial"/>
          <w:bCs/>
          <w:color w:val="000000"/>
        </w:rPr>
      </w:pPr>
      <w:r>
        <w:rPr>
          <w:rFonts w:cs="Arial"/>
          <w:bCs/>
          <w:color w:val="000000"/>
        </w:rPr>
        <w:t>The monitoring indicators will be used for assessment of effects on environment for each project financed from the Programme. This data will be provided by the project beneficiaries thorugh the monitoring of activities and will be collected annually in order to be able to include them in the Annual Implmenting Report of the Programme submitted to the JMC. Authorities proposed to be involved in the monitoring of the effects on the environment are: project beneficiaries, JMC, MA (MRDPA).</w:t>
      </w:r>
    </w:p>
    <w:p w:rsidR="00252B38" w:rsidRDefault="00252B38">
      <w:pPr>
        <w:pStyle w:val="Subtitle"/>
        <w:rPr>
          <w:snapToGrid w:val="0"/>
          <w:lang w:val="en-GB"/>
        </w:rPr>
      </w:pPr>
    </w:p>
    <w:sectPr w:rsidR="00252B38">
      <w:headerReference w:type="default" r:id="rId88"/>
      <w:footerReference w:type="default" r:id="rId89"/>
      <w:pgSz w:w="11909" w:h="16834" w:code="9"/>
      <w:pgMar w:top="567" w:right="749" w:bottom="567" w:left="1134" w:header="284"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66DA" w:rsidRDefault="006966DA">
      <w:r>
        <w:separator/>
      </w:r>
    </w:p>
  </w:endnote>
  <w:endnote w:type="continuationSeparator" w:id="0">
    <w:p w:rsidR="006966DA" w:rsidRDefault="006966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variable"/>
    <w:sig w:usb0="800000AF" w:usb1="1001ECEA"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EUAlbertina-Regular-Identity-H">
    <w:altName w:val="MS Mincho"/>
    <w:panose1 w:val="00000000000000000000"/>
    <w:charset w:val="80"/>
    <w:family w:val="auto"/>
    <w:notTrueType/>
    <w:pitch w:val="default"/>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ntiqua">
    <w:altName w:val="Courier New"/>
    <w:charset w:val="00"/>
    <w:family w:val="swiss"/>
    <w:pitch w:val="variable"/>
    <w:sig w:usb0="00000203" w:usb1="00000000" w:usb2="00000000" w:usb3="00000000" w:csb0="00000005"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sig w:usb0="00000203" w:usb1="00000000" w:usb2="00000000" w:usb3="00000000" w:csb0="00000005" w:csb1="00000000"/>
  </w:font>
  <w:font w:name="TimesNewRoman">
    <w:altName w:val="MS Mincho"/>
    <w:panose1 w:val="00000000000000000000"/>
    <w:charset w:val="80"/>
    <w:family w:val="auto"/>
    <w:notTrueType/>
    <w:pitch w:val="default"/>
    <w:sig w:usb0="00000003" w:usb1="08070000" w:usb2="00000010" w:usb3="00000000" w:csb0="0002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framePr w:w="119" w:h="3045" w:hSpace="57" w:wrap="around" w:vAnchor="page" w:hAnchor="page" w:x="795" w:y="13155"/>
      <w:textDirection w:val="btLr"/>
      <w:rPr>
        <w:sz w:val="12"/>
      </w:rPr>
    </w:pPr>
    <w:r>
      <w:rPr>
        <w:sz w:val="12"/>
      </w:rPr>
      <w:t>Formular cod: FPM-03.01-01-02 Act.0</w:t>
    </w:r>
  </w:p>
  <w:p w:rsidR="002E01ED" w:rsidRDefault="002E01ED">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framePr w:w="119" w:h="3045" w:hSpace="57" w:wrap="around" w:vAnchor="page" w:hAnchor="page" w:x="791" w:y="12801"/>
      <w:textDirection w:val="btLr"/>
      <w:rPr>
        <w:sz w:val="12"/>
      </w:rPr>
    </w:pPr>
    <w:r>
      <w:rPr>
        <w:sz w:val="12"/>
      </w:rPr>
      <w:t>Formular cod: FPM-03.01-01-02 Act.0</w:t>
    </w:r>
  </w:p>
  <w:p w:rsidR="002E01ED" w:rsidRDefault="002E01ED">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framePr w:w="119" w:h="3045" w:hSpace="57" w:wrap="around" w:vAnchor="page" w:hAnchor="page" w:x="791" w:y="12801"/>
      <w:textDirection w:val="btLr"/>
      <w:rPr>
        <w:sz w:val="12"/>
      </w:rPr>
    </w:pPr>
    <w:r>
      <w:rPr>
        <w:sz w:val="12"/>
      </w:rPr>
      <w:t>Formular cod: FPM-03.01-01-02 Act.0</w:t>
    </w:r>
  </w:p>
  <w:p w:rsidR="002E01ED" w:rsidRDefault="002E01E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framePr w:w="119" w:h="3045" w:hSpace="57" w:wrap="around" w:vAnchor="page" w:hAnchor="page" w:x="795" w:y="13155"/>
      <w:textDirection w:val="btLr"/>
      <w:rPr>
        <w:sz w:val="12"/>
      </w:rPr>
    </w:pPr>
    <w:r>
      <w:rPr>
        <w:sz w:val="12"/>
      </w:rPr>
      <w:t>Formular cod: FPM-03.01-01-02 Act.0</w:t>
    </w:r>
  </w:p>
  <w:p w:rsidR="002E01ED" w:rsidRDefault="002E01E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framePr w:w="119" w:h="3045" w:hSpace="57" w:wrap="around" w:vAnchor="page" w:hAnchor="page" w:x="795" w:y="13155"/>
      <w:textDirection w:val="btLr"/>
      <w:rPr>
        <w:sz w:val="12"/>
      </w:rPr>
    </w:pPr>
    <w:r>
      <w:rPr>
        <w:sz w:val="12"/>
      </w:rPr>
      <w:t>Formular cod: FPM-03.01-01-02 Act.0</w:t>
    </w:r>
  </w:p>
  <w:p w:rsidR="002E01ED" w:rsidRDefault="002E01E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framePr w:w="119" w:h="3045" w:hSpace="57" w:wrap="around" w:vAnchor="page" w:hAnchor="page" w:x="795" w:y="13155"/>
      <w:textDirection w:val="btLr"/>
      <w:rPr>
        <w:sz w:val="12"/>
      </w:rPr>
    </w:pPr>
    <w:r>
      <w:rPr>
        <w:sz w:val="12"/>
      </w:rPr>
      <w:t>Formular cod: FPM-03.01-01-02 Act.0</w:t>
    </w:r>
  </w:p>
  <w:p w:rsidR="002E01ED" w:rsidRDefault="002E01E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framePr w:w="119" w:h="3045" w:hSpace="57" w:wrap="around" w:vAnchor="page" w:hAnchor="page" w:x="795" w:y="13155"/>
      <w:textDirection w:val="btLr"/>
      <w:rPr>
        <w:sz w:val="12"/>
      </w:rPr>
    </w:pPr>
    <w:r>
      <w:rPr>
        <w:sz w:val="12"/>
      </w:rPr>
      <w:t>Formular cod: FPM-03.01-01-02 Act.0</w:t>
    </w:r>
  </w:p>
  <w:p w:rsidR="002E01ED" w:rsidRDefault="002E01E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66DA" w:rsidRDefault="006966DA">
      <w:r>
        <w:separator/>
      </w:r>
    </w:p>
  </w:footnote>
  <w:footnote w:type="continuationSeparator" w:id="0">
    <w:p w:rsidR="006966DA" w:rsidRDefault="006966DA">
      <w:r>
        <w:continuationSeparator/>
      </w:r>
    </w:p>
  </w:footnote>
  <w:footnote w:id="1">
    <w:p w:rsidR="002E01ED" w:rsidRDefault="002E01ED" w:rsidP="003E2913">
      <w:pPr>
        <w:pStyle w:val="FootnoteText"/>
        <w:rPr>
          <w:lang w:val="ro-RO"/>
        </w:rPr>
      </w:pPr>
      <w:r>
        <w:rPr>
          <w:rStyle w:val="FootnoteReference"/>
        </w:rPr>
        <w:footnoteRef/>
      </w:r>
      <w:r>
        <w:t xml:space="preserve"> All measures of prevention and reduction of any possible adverse impact will be realized in compliance with specific environmental legislation as well as with relevant legislation related to the use of EU funds, including, but not limited to, those regarding sustainable development and public procurement.  </w:t>
      </w:r>
    </w:p>
    <w:p w:rsidR="002E01ED" w:rsidRDefault="002E01ED">
      <w:pPr>
        <w:pStyle w:val="FootnoteText"/>
      </w:pPr>
    </w:p>
  </w:footnote>
  <w:footnote w:id="2">
    <w:p w:rsidR="002E01ED" w:rsidRDefault="002E01ED" w:rsidP="0016267B">
      <w:pPr>
        <w:pStyle w:val="FootnoteText"/>
      </w:pPr>
      <w:r>
        <w:rPr>
          <w:rStyle w:val="FootnoteReference"/>
        </w:rPr>
        <w:footnoteRef/>
      </w:r>
      <w:r>
        <w:t xml:space="preserve"> Specific environment indicator</w:t>
      </w:r>
    </w:p>
  </w:footnote>
  <w:footnote w:id="3">
    <w:p w:rsidR="002E01ED" w:rsidRDefault="002E01ED">
      <w:pPr>
        <w:pStyle w:val="FootnoteText"/>
      </w:pPr>
      <w:r>
        <w:rPr>
          <w:rStyle w:val="FootnoteReference"/>
        </w:rPr>
        <w:footnoteRef/>
      </w:r>
      <w:r>
        <w:t xml:space="preserve"> Specific environment indicator</w:t>
      </w:r>
    </w:p>
  </w:footnote>
  <w:footnote w:id="4">
    <w:p w:rsidR="002E01ED" w:rsidRDefault="002E01ED">
      <w:pPr>
        <w:pStyle w:val="FootnoteText"/>
      </w:pPr>
      <w:r>
        <w:rPr>
          <w:rStyle w:val="FootnoteReference"/>
        </w:rPr>
        <w:footnoteRef/>
      </w:r>
      <w:r>
        <w:t xml:space="preserve"> Environment specific indicator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rPr>
      <w:tab/>
    </w:r>
  </w:p>
  <w:p w:rsidR="002E01ED" w:rsidRDefault="002E01ED">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rPr>
      <w:tab/>
    </w:r>
  </w:p>
  <w:p w:rsidR="002E01ED" w:rsidRDefault="002E01ED">
    <w:pPr>
      <w:pStyle w:val="Header"/>
      <w:ind w:right="72"/>
      <w:rPr>
        <w:rFonts w:cs="Arial"/>
      </w:rPr>
    </w:pPr>
    <w:r>
      <w:rPr>
        <w:rFonts w:cs="Arial"/>
        <w:noProof/>
        <w:lang w:val="en-US" w:eastAsia="en-US"/>
      </w:rPr>
      <mc:AlternateContent>
        <mc:Choice Requires="wps">
          <w:drawing>
            <wp:anchor distT="0" distB="0" distL="114300" distR="114300" simplePos="0" relativeHeight="251709440" behindDoc="0" locked="1" layoutInCell="1" allowOverlap="1" wp14:anchorId="542A9BA7" wp14:editId="01A23BF3">
              <wp:simplePos x="0" y="0"/>
              <wp:positionH relativeFrom="page">
                <wp:posOffset>414020</wp:posOffset>
              </wp:positionH>
              <wp:positionV relativeFrom="page">
                <wp:posOffset>501015</wp:posOffset>
              </wp:positionV>
              <wp:extent cx="1529080" cy="153670"/>
              <wp:effectExtent l="0" t="0" r="13970" b="1778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080" cy="1536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E01ED" w:rsidRDefault="002E01ED">
                          <w:pPr>
                            <w:rPr>
                              <w:sz w:val="12"/>
                              <w:szCs w:val="12"/>
                            </w:rPr>
                          </w:pPr>
                          <w:r>
                            <w:rPr>
                              <w:sz w:val="12"/>
                            </w:rPr>
                            <w:t>Formular cod: FPM-03.01-01-02 Act. 0</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32" style="position:absolute;margin-left:32.6pt;margin-top:39.45pt;width:120.4pt;height:12.1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" filled="f" stroked="f" strokeweight="0">
              <v:textbox inset="0,0,0,0">
                <w:txbxContent>
                  <w:p w:rsidR="002E01ED" w:rsidRDefault="002E01ED">
                    <w:pPr>
                      <w:rPr>
                        <w:sz w:val="12"/>
                        <w:szCs w:val="12"/>
                      </w:rPr>
                    </w:pPr>
                    <w:r>
                      <w:rPr>
                        <w:sz w:val="12"/>
                      </w:rPr>
                      <w:t>Formular cod: FPM-03.01-01-02 Act. 0</w:t>
                    </w:r>
                  </w:p>
                </w:txbxContent>
              </v:textbox>
              <w10:wrap anchorx="page" anchory="page"/>
              <w10:anchorlock/>
            </v:rect>
          </w:pict>
        </mc:Fallback>
      </mc:AlternateContent>
    </w:r>
    <w:r>
      <w:rPr>
        <w:rFonts w:cs="Arial"/>
        <w:noProof/>
        <w:lang w:val="en-US" w:eastAsia="en-US"/>
      </w:rPr>
      <mc:AlternateContent>
        <mc:Choice Requires="wps">
          <w:drawing>
            <wp:anchor distT="0" distB="0" distL="114300" distR="114300" simplePos="0" relativeHeight="251708416" behindDoc="0" locked="0" layoutInCell="1" allowOverlap="1" wp14:anchorId="47E28A6E" wp14:editId="58E57DCB">
              <wp:simplePos x="0" y="0"/>
              <wp:positionH relativeFrom="column">
                <wp:posOffset>9521825</wp:posOffset>
              </wp:positionH>
              <wp:positionV relativeFrom="paragraph">
                <wp:posOffset>1665605</wp:posOffset>
              </wp:positionV>
              <wp:extent cx="520065" cy="5264785"/>
              <wp:effectExtent l="0" t="0" r="0" b="381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526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8748B1">
                                  <w:rPr>
                                    <w:rFonts w:cs="Arial"/>
                                    <w:b/>
                                    <w:noProof/>
                                    <w:color w:val="000000"/>
                                    <w:spacing w:val="-10"/>
                                    <w:lang w:val="en-US"/>
                                  </w:rPr>
                                  <w:t>68</w:t>
                                </w:r>
                                <w:r>
                                  <w:rPr>
                                    <w:rFonts w:cs="Arial"/>
                                    <w:b/>
                                    <w:color w:val="000000"/>
                                    <w:spacing w:val="-10"/>
                                    <w:lang w:val="en-US"/>
                                  </w:rPr>
                                  <w:fldChar w:fldCharType="end"/>
                                </w:r>
                              </w:p>
                            </w:tc>
                          </w:tr>
                        </w:tbl>
                        <w:p w:rsidR="002E01ED" w:rsidRDefault="002E01ED">
                          <w:pPr>
                            <w:jc w:val="center"/>
                            <w:rPr>
                              <w:sz w:val="8"/>
                            </w:rPr>
                          </w:pP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4" o:spid="_x0000_s1033" type="#_x0000_t202" style="position:absolute;margin-left:749.75pt;margin-top:131.15pt;width:40.95pt;height:414.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" filled="f" stroked="f">
              <v:textbox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8748B1">
                            <w:rPr>
                              <w:rFonts w:cs="Arial"/>
                              <w:b/>
                              <w:noProof/>
                              <w:color w:val="000000"/>
                              <w:spacing w:val="-10"/>
                              <w:lang w:val="en-US"/>
                            </w:rPr>
                            <w:t>68</w:t>
                          </w:r>
                          <w:r>
                            <w:rPr>
                              <w:rFonts w:cs="Arial"/>
                              <w:b/>
                              <w:color w:val="000000"/>
                              <w:spacing w:val="-10"/>
                              <w:lang w:val="en-US"/>
                            </w:rPr>
                            <w:fldChar w:fldCharType="end"/>
                          </w:r>
                        </w:p>
                      </w:tc>
                    </w:tr>
                  </w:tbl>
                  <w:p w:rsidR="002E01ED" w:rsidRDefault="002E01ED">
                    <w:pPr>
                      <w:jc w:val="center"/>
                      <w:rPr>
                        <w:sz w:val="8"/>
                      </w:rPr>
                    </w:pPr>
                  </w:p>
                </w:txbxContent>
              </v:textbox>
            </v:shape>
          </w:pict>
        </mc:Fallback>
      </mc:AlternateContent>
    </w:r>
    <w:r>
      <w:rPr>
        <w:rFonts w:cs="Arial"/>
        <w:noProof/>
        <w:lang w:val="en-US" w:eastAsia="en-US"/>
      </w:rPr>
      <w:drawing>
        <wp:anchor distT="0" distB="0" distL="114300" distR="114300" simplePos="0" relativeHeight="251707392" behindDoc="0" locked="0" layoutInCell="1" allowOverlap="1" wp14:anchorId="7717C642" wp14:editId="661DD94C">
          <wp:simplePos x="0" y="0"/>
          <wp:positionH relativeFrom="column">
            <wp:posOffset>9467850</wp:posOffset>
          </wp:positionH>
          <wp:positionV relativeFrom="paragraph">
            <wp:posOffset>261620</wp:posOffset>
          </wp:positionV>
          <wp:extent cx="485775" cy="1403985"/>
          <wp:effectExtent l="0" t="0" r="9525" b="5715"/>
          <wp:wrapNone/>
          <wp:docPr id="73" name="Picture 73" descr="Sigla ISPE - V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igla ISPE - V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5775" cy="1403985"/>
                  </a:xfrm>
                  <a:prstGeom prst="rect">
                    <a:avLst/>
                  </a:prstGeom>
                  <a:noFill/>
                </pic:spPr>
              </pic:pic>
            </a:graphicData>
          </a:graphic>
          <wp14:sizeRelH relativeFrom="page">
            <wp14:pctWidth>0</wp14:pctWidth>
          </wp14:sizeRelH>
          <wp14:sizeRelV relativeFrom="page">
            <wp14:pctHeight>0</wp14:pctHeight>
          </wp14:sizeRelV>
        </wp:anchor>
      </w:drawing>
    </w:r>
  </w:p>
  <w:p w:rsidR="002E01ED" w:rsidRDefault="002E01ED">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noProof/>
        <w:lang w:val="en-US" w:eastAsia="en-US"/>
      </w:rPr>
      <w:drawing>
        <wp:anchor distT="0" distB="0" distL="114300" distR="114300" simplePos="0" relativeHeight="251712512" behindDoc="0" locked="0" layoutInCell="1" allowOverlap="1" wp14:anchorId="17F7E597" wp14:editId="1C2F94B2">
          <wp:simplePos x="0" y="0"/>
          <wp:positionH relativeFrom="column">
            <wp:posOffset>0</wp:posOffset>
          </wp:positionH>
          <wp:positionV relativeFrom="paragraph">
            <wp:posOffset>160655</wp:posOffset>
          </wp:positionV>
          <wp:extent cx="1406525" cy="486410"/>
          <wp:effectExtent l="0" t="0" r="3175" b="8890"/>
          <wp:wrapNone/>
          <wp:docPr id="72" name="Picture 72" descr="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igla ISPE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6525" cy="486410"/>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ab/>
    </w:r>
  </w:p>
  <w:tbl>
    <w:tblPr>
      <w:tblW w:w="7902"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050"/>
    </w:tblGrid>
    <w:tr w:rsidR="002E01ED">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2E01ED" w:rsidRDefault="002E01ED">
          <w:pPr>
            <w:shd w:val="clear" w:color="auto" w:fill="FFFFFF"/>
            <w:ind w:left="-182" w:firstLine="182"/>
            <w:rPr>
              <w:rFonts w:cs="Arial"/>
              <w:sz w:val="18"/>
              <w:szCs w:val="18"/>
            </w:rPr>
          </w:pPr>
          <w:r>
            <w:rPr>
              <w:rFonts w:cs="Arial"/>
              <w:color w:val="000000"/>
              <w:spacing w:val="-3"/>
              <w:sz w:val="18"/>
              <w:szCs w:val="18"/>
              <w:lang w:val="en-US"/>
            </w:rPr>
            <w:t>Cod document:</w:t>
          </w:r>
        </w:p>
      </w:tc>
      <w:tc>
        <w:tcPr>
          <w:tcW w:w="4320" w:type="dxa"/>
          <w:tcBorders>
            <w:top w:val="single" w:sz="6" w:space="0" w:color="auto"/>
            <w:left w:val="nil"/>
            <w:bottom w:val="single" w:sz="6" w:space="0" w:color="auto"/>
            <w:right w:val="single" w:sz="6" w:space="0" w:color="auto"/>
          </w:tcBorders>
          <w:shd w:val="clear" w:color="auto" w:fill="FFFFFF"/>
          <w:vAlign w:val="center"/>
        </w:tcPr>
        <w:p w:rsidR="002E01ED" w:rsidRDefault="002E01ED">
          <w:pPr>
            <w:shd w:val="clear" w:color="auto" w:fill="FFFFFF"/>
            <w:ind w:left="130"/>
            <w:rPr>
              <w:rFonts w:cs="Arial"/>
              <w:b/>
            </w:rPr>
          </w:pPr>
          <w:r>
            <w:rPr>
              <w:rFonts w:cs="Arial"/>
              <w:b/>
            </w:rPr>
            <w:t>8017/2014-2-S0081014-NO</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c>
        <w:tcPr>
          <w:tcW w:w="105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Pr>
              <w:rFonts w:cs="Arial"/>
              <w:b/>
              <w:noProof/>
              <w:color w:val="000000"/>
              <w:spacing w:val="-10"/>
              <w:lang w:val="en-US"/>
            </w:rPr>
            <w:t>72</w:t>
          </w:r>
          <w:r>
            <w:rPr>
              <w:rFonts w:cs="Arial"/>
              <w:b/>
              <w:color w:val="000000"/>
              <w:spacing w:val="-10"/>
              <w:lang w:val="en-US"/>
            </w:rPr>
            <w:fldChar w:fldCharType="end"/>
          </w:r>
        </w:p>
      </w:tc>
    </w:tr>
  </w:tbl>
  <w:p w:rsidR="002E01ED" w:rsidRDefault="002E01ED">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rPr>
      <w:tab/>
    </w:r>
  </w:p>
  <w:p w:rsidR="002E01ED" w:rsidRDefault="002E01ED">
    <w:pPr>
      <w:pStyle w:val="Header"/>
      <w:ind w:right="72"/>
      <w:rPr>
        <w:rFonts w:cs="Arial"/>
      </w:rPr>
    </w:pPr>
    <w:r>
      <w:rPr>
        <w:rFonts w:cs="Arial"/>
        <w:noProof/>
        <w:lang w:val="en-US" w:eastAsia="en-US"/>
      </w:rPr>
      <mc:AlternateContent>
        <mc:Choice Requires="wps">
          <w:drawing>
            <wp:anchor distT="0" distB="0" distL="114300" distR="114300" simplePos="0" relativeHeight="251715584" behindDoc="0" locked="1" layoutInCell="1" allowOverlap="1" wp14:anchorId="68682509" wp14:editId="7E61C932">
              <wp:simplePos x="0" y="0"/>
              <wp:positionH relativeFrom="page">
                <wp:posOffset>414020</wp:posOffset>
              </wp:positionH>
              <wp:positionV relativeFrom="page">
                <wp:posOffset>501015</wp:posOffset>
              </wp:positionV>
              <wp:extent cx="1529080" cy="153670"/>
              <wp:effectExtent l="0" t="0" r="13970" b="1778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080" cy="1536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E01ED" w:rsidRDefault="002E01ED">
                          <w:pPr>
                            <w:rPr>
                              <w:sz w:val="12"/>
                              <w:szCs w:val="12"/>
                            </w:rPr>
                          </w:pPr>
                          <w:r>
                            <w:rPr>
                              <w:sz w:val="12"/>
                            </w:rPr>
                            <w:t>Formular cod: FPM-03.01-01-02 Act. 0</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34" style="position:absolute;margin-left:32.6pt;margin-top:39.45pt;width:120.4pt;height:12.1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" filled="f" stroked="f" strokeweight="0">
              <v:textbox inset="0,0,0,0">
                <w:txbxContent>
                  <w:p w:rsidR="002E01ED" w:rsidRDefault="002E01ED">
                    <w:pPr>
                      <w:rPr>
                        <w:sz w:val="12"/>
                        <w:szCs w:val="12"/>
                      </w:rPr>
                    </w:pPr>
                    <w:r>
                      <w:rPr>
                        <w:sz w:val="12"/>
                      </w:rPr>
                      <w:t>Formular cod: FPM-03.01-01-02 Act. 0</w:t>
                    </w:r>
                  </w:p>
                </w:txbxContent>
              </v:textbox>
              <w10:wrap anchorx="page" anchory="page"/>
              <w10:anchorlock/>
            </v:rect>
          </w:pict>
        </mc:Fallback>
      </mc:AlternateContent>
    </w:r>
    <w:r>
      <w:rPr>
        <w:rFonts w:cs="Arial"/>
        <w:noProof/>
        <w:lang w:val="en-US" w:eastAsia="en-US"/>
      </w:rPr>
      <mc:AlternateContent>
        <mc:Choice Requires="wps">
          <w:drawing>
            <wp:anchor distT="0" distB="0" distL="114300" distR="114300" simplePos="0" relativeHeight="251714560" behindDoc="0" locked="0" layoutInCell="1" allowOverlap="1" wp14:anchorId="087077D5" wp14:editId="5DB1D2CF">
              <wp:simplePos x="0" y="0"/>
              <wp:positionH relativeFrom="column">
                <wp:posOffset>9521825</wp:posOffset>
              </wp:positionH>
              <wp:positionV relativeFrom="paragraph">
                <wp:posOffset>1665605</wp:posOffset>
              </wp:positionV>
              <wp:extent cx="520065" cy="5264785"/>
              <wp:effectExtent l="0" t="0" r="0" b="381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526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Pr>
                                    <w:rFonts w:cs="Arial"/>
                                    <w:b/>
                                    <w:noProof/>
                                    <w:color w:val="000000"/>
                                    <w:spacing w:val="-10"/>
                                    <w:lang w:val="en-US"/>
                                  </w:rPr>
                                  <w:t>73</w:t>
                                </w:r>
                                <w:r>
                                  <w:rPr>
                                    <w:rFonts w:cs="Arial"/>
                                    <w:b/>
                                    <w:color w:val="000000"/>
                                    <w:spacing w:val="-10"/>
                                    <w:lang w:val="en-US"/>
                                  </w:rPr>
                                  <w:fldChar w:fldCharType="end"/>
                                </w:r>
                              </w:p>
                            </w:tc>
                          </w:tr>
                        </w:tbl>
                        <w:p w:rsidR="002E01ED" w:rsidRDefault="002E01ED">
                          <w:pPr>
                            <w:jc w:val="center"/>
                            <w:rPr>
                              <w:sz w:val="8"/>
                            </w:rPr>
                          </w:pP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0" o:spid="_x0000_s1035" type="#_x0000_t202" style="position:absolute;margin-left:749.75pt;margin-top:131.15pt;width:40.95pt;height:414.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" filled="f" stroked="f">
              <v:textbox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Pr>
                              <w:rFonts w:cs="Arial"/>
                              <w:b/>
                              <w:noProof/>
                              <w:color w:val="000000"/>
                              <w:spacing w:val="-10"/>
                              <w:lang w:val="en-US"/>
                            </w:rPr>
                            <w:t>73</w:t>
                          </w:r>
                          <w:r>
                            <w:rPr>
                              <w:rFonts w:cs="Arial"/>
                              <w:b/>
                              <w:color w:val="000000"/>
                              <w:spacing w:val="-10"/>
                              <w:lang w:val="en-US"/>
                            </w:rPr>
                            <w:fldChar w:fldCharType="end"/>
                          </w:r>
                        </w:p>
                      </w:tc>
                    </w:tr>
                  </w:tbl>
                  <w:p w:rsidR="002E01ED" w:rsidRDefault="002E01ED">
                    <w:pPr>
                      <w:jc w:val="center"/>
                      <w:rPr>
                        <w:sz w:val="8"/>
                      </w:rPr>
                    </w:pPr>
                  </w:p>
                </w:txbxContent>
              </v:textbox>
            </v:shape>
          </w:pict>
        </mc:Fallback>
      </mc:AlternateContent>
    </w:r>
    <w:r>
      <w:rPr>
        <w:rFonts w:cs="Arial"/>
        <w:noProof/>
        <w:lang w:val="en-US" w:eastAsia="en-US"/>
      </w:rPr>
      <w:drawing>
        <wp:anchor distT="0" distB="0" distL="114300" distR="114300" simplePos="0" relativeHeight="251713536" behindDoc="0" locked="0" layoutInCell="1" allowOverlap="1" wp14:anchorId="09F14464" wp14:editId="07D9671B">
          <wp:simplePos x="0" y="0"/>
          <wp:positionH relativeFrom="column">
            <wp:posOffset>9467850</wp:posOffset>
          </wp:positionH>
          <wp:positionV relativeFrom="paragraph">
            <wp:posOffset>261620</wp:posOffset>
          </wp:positionV>
          <wp:extent cx="485775" cy="1403985"/>
          <wp:effectExtent l="0" t="0" r="9525" b="5715"/>
          <wp:wrapNone/>
          <wp:docPr id="69" name="Picture 69" descr="Sigla ISPE - V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igla ISPE - V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5775" cy="1403985"/>
                  </a:xfrm>
                  <a:prstGeom prst="rect">
                    <a:avLst/>
                  </a:prstGeom>
                  <a:noFill/>
                </pic:spPr>
              </pic:pic>
            </a:graphicData>
          </a:graphic>
          <wp14:sizeRelH relativeFrom="page">
            <wp14:pctWidth>0</wp14:pctWidth>
          </wp14:sizeRelH>
          <wp14:sizeRelV relativeFrom="page">
            <wp14:pctHeight>0</wp14:pctHeight>
          </wp14:sizeRelV>
        </wp:anchor>
      </w:drawing>
    </w:r>
  </w:p>
  <w:p w:rsidR="002E01ED" w:rsidRDefault="002E01ED">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noProof/>
        <w:lang w:val="en-US" w:eastAsia="en-US"/>
      </w:rPr>
      <w:drawing>
        <wp:anchor distT="0" distB="0" distL="114300" distR="114300" simplePos="0" relativeHeight="251711488" behindDoc="0" locked="0" layoutInCell="1" allowOverlap="1" wp14:anchorId="3A5521D1" wp14:editId="6EFF32CD">
          <wp:simplePos x="0" y="0"/>
          <wp:positionH relativeFrom="column">
            <wp:posOffset>0</wp:posOffset>
          </wp:positionH>
          <wp:positionV relativeFrom="paragraph">
            <wp:posOffset>160655</wp:posOffset>
          </wp:positionV>
          <wp:extent cx="1406525" cy="486410"/>
          <wp:effectExtent l="0" t="0" r="3175" b="8890"/>
          <wp:wrapNone/>
          <wp:docPr id="8" name="Picture 8" descr="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gla ISPE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6525" cy="486410"/>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ab/>
    </w:r>
  </w:p>
  <w:tbl>
    <w:tblPr>
      <w:tblW w:w="8080"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228"/>
    </w:tblGrid>
    <w:tr w:rsidR="002E01ED">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2E01ED" w:rsidRDefault="002E01ED">
          <w:pPr>
            <w:shd w:val="clear" w:color="auto" w:fill="FFFFFF"/>
            <w:ind w:left="-182" w:firstLine="182"/>
            <w:rPr>
              <w:rFonts w:cs="Arial"/>
              <w:sz w:val="18"/>
              <w:szCs w:val="18"/>
            </w:rPr>
          </w:pPr>
          <w:r>
            <w:rPr>
              <w:rFonts w:cs="Arial"/>
              <w:color w:val="000000"/>
              <w:spacing w:val="-3"/>
              <w:sz w:val="18"/>
              <w:szCs w:val="18"/>
              <w:lang w:val="en-US"/>
            </w:rPr>
            <w:t>Cod document:</w:t>
          </w:r>
        </w:p>
      </w:tc>
      <w:tc>
        <w:tcPr>
          <w:tcW w:w="4320" w:type="dxa"/>
          <w:tcBorders>
            <w:top w:val="single" w:sz="6" w:space="0" w:color="auto"/>
            <w:left w:val="nil"/>
            <w:bottom w:val="single" w:sz="6" w:space="0" w:color="auto"/>
            <w:right w:val="single" w:sz="6" w:space="0" w:color="auto"/>
          </w:tcBorders>
          <w:shd w:val="clear" w:color="auto" w:fill="FFFFFF"/>
          <w:vAlign w:val="center"/>
        </w:tcPr>
        <w:p w:rsidR="002E01ED" w:rsidRDefault="002E01ED">
          <w:pPr>
            <w:shd w:val="clear" w:color="auto" w:fill="FFFFFF"/>
            <w:ind w:left="130"/>
            <w:rPr>
              <w:rFonts w:cs="Arial"/>
              <w:b/>
            </w:rPr>
          </w:pPr>
          <w:r>
            <w:rPr>
              <w:rFonts w:cs="Arial"/>
              <w:b/>
            </w:rPr>
            <w:t>8017/2014-2-S0081014-NO</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c>
        <w:tcPr>
          <w:tcW w:w="1228"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8748B1">
            <w:rPr>
              <w:rFonts w:cs="Arial"/>
              <w:b/>
              <w:noProof/>
              <w:color w:val="000000"/>
              <w:spacing w:val="-10"/>
              <w:lang w:val="en-US"/>
            </w:rPr>
            <w:t>102</w:t>
          </w:r>
          <w:r>
            <w:rPr>
              <w:rFonts w:cs="Arial"/>
              <w:b/>
              <w:color w:val="000000"/>
              <w:spacing w:val="-10"/>
              <w:lang w:val="en-US"/>
            </w:rPr>
            <w:fldChar w:fldCharType="end"/>
          </w:r>
        </w:p>
      </w:tc>
    </w:tr>
  </w:tbl>
  <w:p w:rsidR="002E01ED" w:rsidRDefault="002E01ED">
    <w:pPr>
      <w:pStyle w:val="Header"/>
      <w:rPr>
        <w:rFonts w:cs="Arial"/>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noProof/>
        <w:lang w:val="en-US" w:eastAsia="en-US"/>
      </w:rPr>
      <mc:AlternateContent>
        <mc:Choice Requires="wps">
          <w:drawing>
            <wp:anchor distT="0" distB="0" distL="114300" distR="114300" simplePos="0" relativeHeight="251653120" behindDoc="0" locked="1" layoutInCell="1" allowOverlap="1" wp14:anchorId="4F4CE78B" wp14:editId="545BB01D">
              <wp:simplePos x="0" y="0"/>
              <wp:positionH relativeFrom="page">
                <wp:posOffset>414020</wp:posOffset>
              </wp:positionH>
              <wp:positionV relativeFrom="page">
                <wp:posOffset>501015</wp:posOffset>
              </wp:positionV>
              <wp:extent cx="1529080" cy="153670"/>
              <wp:effectExtent l="0" t="0" r="13970" b="17780"/>
              <wp:wrapNone/>
              <wp:docPr id="3"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080" cy="1536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E01ED" w:rsidRDefault="002E01ED">
                          <w:pPr>
                            <w:rPr>
                              <w:sz w:val="12"/>
                              <w:szCs w:val="12"/>
                            </w:rPr>
                          </w:pPr>
                          <w:r>
                            <w:rPr>
                              <w:sz w:val="12"/>
                            </w:rPr>
                            <w:t>Formular cod: FPM-03.01-01-02 Act. 0</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6" o:spid="_x0000_s1036" style="position:absolute;margin-left:32.6pt;margin-top:39.45pt;width:120.4pt;height:12.1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" filled="f" stroked="f" strokeweight="0">
              <v:textbox inset="0,0,0,0">
                <w:txbxContent>
                  <w:p w:rsidR="002E01ED" w:rsidRDefault="002E01ED">
                    <w:pPr>
                      <w:rPr>
                        <w:sz w:val="12"/>
                        <w:szCs w:val="12"/>
                      </w:rPr>
                    </w:pPr>
                    <w:r>
                      <w:rPr>
                        <w:sz w:val="12"/>
                      </w:rPr>
                      <w:t>Formular cod: FPM-03.01-01-02 Act. 0</w:t>
                    </w:r>
                  </w:p>
                </w:txbxContent>
              </v:textbox>
              <w10:wrap anchorx="page" anchory="page"/>
              <w10:anchorlock/>
            </v:rect>
          </w:pict>
        </mc:Fallback>
      </mc:AlternateContent>
    </w:r>
    <w:r>
      <w:rPr>
        <w:rFonts w:cs="Arial"/>
        <w:noProof/>
        <w:lang w:val="en-US" w:eastAsia="en-US"/>
      </w:rPr>
      <mc:AlternateContent>
        <mc:Choice Requires="wps">
          <w:drawing>
            <wp:anchor distT="0" distB="0" distL="114300" distR="114300" simplePos="0" relativeHeight="251652096" behindDoc="0" locked="0" layoutInCell="1" allowOverlap="1" wp14:anchorId="5C802299" wp14:editId="3ABC2E29">
              <wp:simplePos x="0" y="0"/>
              <wp:positionH relativeFrom="column">
                <wp:posOffset>9521825</wp:posOffset>
              </wp:positionH>
              <wp:positionV relativeFrom="paragraph">
                <wp:posOffset>1665605</wp:posOffset>
              </wp:positionV>
              <wp:extent cx="520065" cy="5264785"/>
              <wp:effectExtent l="0" t="0" r="0" b="3810"/>
              <wp:wrapNone/>
              <wp:docPr id="1"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526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8748B1">
                                  <w:rPr>
                                    <w:rFonts w:cs="Arial"/>
                                    <w:b/>
                                    <w:noProof/>
                                    <w:color w:val="000000"/>
                                    <w:spacing w:val="-10"/>
                                    <w:lang w:val="en-US"/>
                                  </w:rPr>
                                  <w:t>108</w:t>
                                </w:r>
                                <w:r>
                                  <w:rPr>
                                    <w:rFonts w:cs="Arial"/>
                                    <w:b/>
                                    <w:color w:val="000000"/>
                                    <w:spacing w:val="-10"/>
                                    <w:lang w:val="en-US"/>
                                  </w:rPr>
                                  <w:fldChar w:fldCharType="end"/>
                                </w:r>
                              </w:p>
                            </w:tc>
                          </w:tr>
                        </w:tbl>
                        <w:p w:rsidR="002E01ED" w:rsidRDefault="002E01ED">
                          <w:pPr>
                            <w:jc w:val="center"/>
                            <w:rPr>
                              <w:sz w:val="8"/>
                            </w:rPr>
                          </w:pP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setă text 2" o:spid="_x0000_s1037" type="#_x0000_t202" style="position:absolute;margin-left:749.75pt;margin-top:131.15pt;width:40.95pt;height:414.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" filled="f" stroked="f">
              <v:textbox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8748B1">
                            <w:rPr>
                              <w:rFonts w:cs="Arial"/>
                              <w:b/>
                              <w:noProof/>
                              <w:color w:val="000000"/>
                              <w:spacing w:val="-10"/>
                              <w:lang w:val="en-US"/>
                            </w:rPr>
                            <w:t>108</w:t>
                          </w:r>
                          <w:r>
                            <w:rPr>
                              <w:rFonts w:cs="Arial"/>
                              <w:b/>
                              <w:color w:val="000000"/>
                              <w:spacing w:val="-10"/>
                              <w:lang w:val="en-US"/>
                            </w:rPr>
                            <w:fldChar w:fldCharType="end"/>
                          </w:r>
                        </w:p>
                      </w:tc>
                    </w:tr>
                  </w:tbl>
                  <w:p w:rsidR="002E01ED" w:rsidRDefault="002E01ED">
                    <w:pPr>
                      <w:jc w:val="center"/>
                      <w:rPr>
                        <w:sz w:val="8"/>
                      </w:rPr>
                    </w:pPr>
                  </w:p>
                </w:txbxContent>
              </v:textbox>
            </v:shape>
          </w:pict>
        </mc:Fallback>
      </mc:AlternateContent>
    </w:r>
    <w:r>
      <w:rPr>
        <w:rFonts w:cs="Arial"/>
        <w:noProof/>
        <w:lang w:val="en-US" w:eastAsia="en-US"/>
      </w:rPr>
      <w:drawing>
        <wp:anchor distT="0" distB="0" distL="114300" distR="114300" simplePos="0" relativeHeight="251651072" behindDoc="0" locked="0" layoutInCell="1" allowOverlap="1" wp14:anchorId="6043A7EB" wp14:editId="1E8DD816">
          <wp:simplePos x="0" y="0"/>
          <wp:positionH relativeFrom="column">
            <wp:posOffset>9467850</wp:posOffset>
          </wp:positionH>
          <wp:positionV relativeFrom="paragraph">
            <wp:posOffset>261620</wp:posOffset>
          </wp:positionV>
          <wp:extent cx="485775" cy="1403985"/>
          <wp:effectExtent l="0" t="0" r="9525" b="5715"/>
          <wp:wrapNone/>
          <wp:docPr id="19" name="Imagine 11" descr="J:\MM\MM\MM documents\Lucru 2014\Sigla ISPE - V - 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1" descr="J:\MM\MM\MM documents\Lucru 2014\Sigla ISPE - V - 2014.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5775" cy="1403985"/>
                  </a:xfrm>
                  <a:prstGeom prst="rect">
                    <a:avLst/>
                  </a:prstGeom>
                  <a:noFill/>
                </pic:spPr>
              </pic:pic>
            </a:graphicData>
          </a:graphic>
          <wp14:sizeRelH relativeFrom="page">
            <wp14:pctWidth>0</wp14:pctWidth>
          </wp14:sizeRelH>
          <wp14:sizeRelV relativeFrom="page">
            <wp14:pctHeight>0</wp14:pctHeight>
          </wp14:sizeRelV>
        </wp:anchor>
      </w:drawing>
    </w:r>
  </w:p>
  <w:p w:rsidR="002E01ED" w:rsidRDefault="002E01ED">
    <w:pPr>
      <w:pStyle w:val="Header"/>
      <w:rPr>
        <w:rFonts w:cs="Arial"/>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noProof/>
        <w:lang w:val="en-US" w:eastAsia="en-US"/>
      </w:rPr>
      <w:drawing>
        <wp:anchor distT="0" distB="0" distL="114300" distR="114300" simplePos="0" relativeHeight="251650048" behindDoc="0" locked="0" layoutInCell="1" allowOverlap="1" wp14:anchorId="28B8362C" wp14:editId="3E02F7D9">
          <wp:simplePos x="0" y="0"/>
          <wp:positionH relativeFrom="column">
            <wp:posOffset>0</wp:posOffset>
          </wp:positionH>
          <wp:positionV relativeFrom="paragraph">
            <wp:posOffset>160655</wp:posOffset>
          </wp:positionV>
          <wp:extent cx="1406525" cy="486410"/>
          <wp:effectExtent l="0" t="0" r="3175" b="8890"/>
          <wp:wrapNone/>
          <wp:docPr id="17" name="Picture 17" descr="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igla ISPE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6525" cy="486410"/>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ab/>
    </w:r>
  </w:p>
  <w:tbl>
    <w:tblPr>
      <w:tblW w:w="8080"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228"/>
    </w:tblGrid>
    <w:tr w:rsidR="002E01ED">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2E01ED" w:rsidRDefault="002E01ED">
          <w:pPr>
            <w:shd w:val="clear" w:color="auto" w:fill="FFFFFF"/>
            <w:ind w:left="-182" w:firstLine="182"/>
            <w:rPr>
              <w:rFonts w:cs="Arial"/>
              <w:sz w:val="18"/>
              <w:szCs w:val="18"/>
            </w:rPr>
          </w:pPr>
          <w:r>
            <w:rPr>
              <w:rFonts w:cs="Arial"/>
              <w:color w:val="000000"/>
              <w:spacing w:val="-3"/>
              <w:sz w:val="18"/>
              <w:szCs w:val="18"/>
              <w:lang w:val="en-US"/>
            </w:rPr>
            <w:t>Cod document:</w:t>
          </w:r>
        </w:p>
      </w:tc>
      <w:tc>
        <w:tcPr>
          <w:tcW w:w="4320" w:type="dxa"/>
          <w:tcBorders>
            <w:top w:val="single" w:sz="6" w:space="0" w:color="auto"/>
            <w:left w:val="nil"/>
            <w:bottom w:val="single" w:sz="6" w:space="0" w:color="auto"/>
            <w:right w:val="single" w:sz="6" w:space="0" w:color="auto"/>
          </w:tcBorders>
          <w:shd w:val="clear" w:color="auto" w:fill="FFFFFF"/>
          <w:vAlign w:val="center"/>
        </w:tcPr>
        <w:p w:rsidR="002E01ED" w:rsidRDefault="002E01ED">
          <w:pPr>
            <w:shd w:val="clear" w:color="auto" w:fill="FFFFFF"/>
            <w:ind w:left="130"/>
            <w:rPr>
              <w:rFonts w:cs="Arial"/>
              <w:b/>
            </w:rPr>
          </w:pPr>
          <w:r>
            <w:rPr>
              <w:rFonts w:cs="Arial"/>
              <w:b/>
            </w:rPr>
            <w:t>8017/2014-2-S0081014-NO</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c>
        <w:tcPr>
          <w:tcW w:w="1228"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8748B1">
            <w:rPr>
              <w:rFonts w:cs="Arial"/>
              <w:b/>
              <w:noProof/>
              <w:color w:val="000000"/>
              <w:spacing w:val="-10"/>
              <w:lang w:val="en-US"/>
            </w:rPr>
            <w:t>140</w:t>
          </w:r>
          <w:r>
            <w:rPr>
              <w:rFonts w:cs="Arial"/>
              <w:b/>
              <w:color w:val="000000"/>
              <w:spacing w:val="-10"/>
              <w:lang w:val="en-US"/>
            </w:rPr>
            <w:fldChar w:fldCharType="end"/>
          </w:r>
        </w:p>
      </w:tc>
    </w:tr>
  </w:tbl>
  <w:p w:rsidR="002E01ED" w:rsidRDefault="002E01ED">
    <w:pPr>
      <w:pStyle w:val="Header"/>
      <w:rPr>
        <w:rFonts w:cs="Aria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noProof/>
        <w:lang w:val="en-US" w:eastAsia="en-US"/>
      </w:rPr>
      <w:drawing>
        <wp:anchor distT="0" distB="0" distL="114300" distR="114300" simplePos="0" relativeHeight="251644928" behindDoc="0" locked="0" layoutInCell="1" allowOverlap="1" wp14:anchorId="746D0FEF" wp14:editId="1709489A">
          <wp:simplePos x="0" y="0"/>
          <wp:positionH relativeFrom="page">
            <wp:posOffset>629920</wp:posOffset>
          </wp:positionH>
          <wp:positionV relativeFrom="page">
            <wp:posOffset>298450</wp:posOffset>
          </wp:positionV>
          <wp:extent cx="1676400" cy="579755"/>
          <wp:effectExtent l="0" t="0" r="0" b="0"/>
          <wp:wrapNone/>
          <wp:docPr id="21" name="Picture 12" descr="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gla ISPE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6400" cy="579755"/>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ab/>
    </w:r>
  </w:p>
  <w:p w:rsidR="002E01ED" w:rsidRDefault="002E01ED">
    <w:pPr>
      <w:jc w:val="right"/>
      <w:rPr>
        <w:snapToGrid w:val="0"/>
        <w:color w:val="000080"/>
        <w:position w:val="-6"/>
        <w:sz w:val="16"/>
      </w:rPr>
    </w:pPr>
    <w:r>
      <w:rPr>
        <w:noProof/>
        <w:lang w:val="en-US" w:eastAsia="en-US"/>
      </w:rPr>
      <w:drawing>
        <wp:anchor distT="0" distB="0" distL="114300" distR="114300" simplePos="0" relativeHeight="251645952" behindDoc="0" locked="0" layoutInCell="1" allowOverlap="1" wp14:anchorId="5A32EA53" wp14:editId="6E545CB3">
          <wp:simplePos x="0" y="0"/>
          <wp:positionH relativeFrom="column">
            <wp:posOffset>6105525</wp:posOffset>
          </wp:positionH>
          <wp:positionV relativeFrom="paragraph">
            <wp:posOffset>-5080</wp:posOffset>
          </wp:positionV>
          <wp:extent cx="471805" cy="575945"/>
          <wp:effectExtent l="0" t="0" r="4445" b="0"/>
          <wp:wrapNone/>
          <wp:docPr id="20" name="Picture 13" descr="Sigla TUV Rheinlan (2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igla TUV Rheinlan (2014-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1805" cy="575945"/>
                  </a:xfrm>
                  <a:prstGeom prst="rect">
                    <a:avLst/>
                  </a:prstGeom>
                  <a:noFill/>
                </pic:spPr>
              </pic:pic>
            </a:graphicData>
          </a:graphic>
          <wp14:sizeRelH relativeFrom="page">
            <wp14:pctWidth>0</wp14:pctWidth>
          </wp14:sizeRelH>
          <wp14:sizeRelV relativeFrom="page">
            <wp14:pctHeight>0</wp14:pctHeight>
          </wp14:sizeRelV>
        </wp:anchor>
      </w:drawing>
    </w:r>
    <w:r>
      <w:rPr>
        <w:b/>
        <w:snapToGrid w:val="0"/>
        <w:color w:val="000080"/>
        <w:position w:val="-6"/>
        <w:sz w:val="16"/>
      </w:rPr>
      <w:t>Institute for Studies and Power Engineering S.A.</w:t>
    </w:r>
    <w:r>
      <w:rPr>
        <w:snapToGrid w:val="0"/>
        <w:color w:val="000080"/>
        <w:position w:val="-6"/>
        <w:sz w:val="16"/>
      </w:rPr>
      <w:t>.</w:t>
    </w:r>
  </w:p>
  <w:p w:rsidR="002E01ED" w:rsidRDefault="002E01ED">
    <w:pPr>
      <w:jc w:val="center"/>
      <w:rPr>
        <w:snapToGrid w:val="0"/>
        <w:color w:val="000080"/>
        <w:position w:val="-6"/>
        <w:sz w:val="16"/>
      </w:rPr>
    </w:pPr>
    <w:r>
      <w:rPr>
        <w:snapToGrid w:val="0"/>
        <w:color w:val="000080"/>
        <w:position w:val="-6"/>
        <w:sz w:val="16"/>
      </w:rPr>
      <w:tab/>
    </w:r>
    <w:r>
      <w:rPr>
        <w:snapToGrid w:val="0"/>
        <w:color w:val="000080"/>
        <w:position w:val="-6"/>
        <w:sz w:val="16"/>
      </w:rPr>
      <w:tab/>
    </w:r>
    <w:r>
      <w:rPr>
        <w:snapToGrid w:val="0"/>
        <w:color w:val="000080"/>
        <w:position w:val="-6"/>
        <w:sz w:val="16"/>
      </w:rPr>
      <w:tab/>
    </w:r>
    <w:r>
      <w:rPr>
        <w:snapToGrid w:val="0"/>
        <w:color w:val="000080"/>
        <w:position w:val="-6"/>
        <w:sz w:val="16"/>
      </w:rPr>
      <w:tab/>
    </w:r>
    <w:r>
      <w:rPr>
        <w:snapToGrid w:val="0"/>
        <w:color w:val="000080"/>
        <w:position w:val="-6"/>
        <w:sz w:val="16"/>
      </w:rPr>
      <w:tab/>
    </w:r>
    <w:r>
      <w:rPr>
        <w:snapToGrid w:val="0"/>
        <w:color w:val="000080"/>
        <w:position w:val="-6"/>
        <w:sz w:val="16"/>
      </w:rPr>
      <w:tab/>
    </w:r>
    <w:r>
      <w:rPr>
        <w:snapToGrid w:val="0"/>
        <w:color w:val="000080"/>
        <w:position w:val="-6"/>
        <w:sz w:val="16"/>
      </w:rPr>
      <w:tab/>
    </w:r>
    <w:r>
      <w:rPr>
        <w:snapToGrid w:val="0"/>
        <w:color w:val="000080"/>
        <w:position w:val="-6"/>
        <w:sz w:val="16"/>
      </w:rPr>
      <w:tab/>
      <w:t xml:space="preserve">                         VAT Registration Number:R08630885</w:t>
    </w:r>
  </w:p>
  <w:p w:rsidR="002E01ED" w:rsidRDefault="002E01ED">
    <w:pPr>
      <w:jc w:val="right"/>
      <w:rPr>
        <w:snapToGrid w:val="0"/>
        <w:color w:val="000080"/>
        <w:position w:val="-6"/>
        <w:sz w:val="16"/>
      </w:rPr>
    </w:pPr>
    <w:r>
      <w:rPr>
        <w:snapToGrid w:val="0"/>
        <w:color w:val="000080"/>
        <w:position w:val="-6"/>
        <w:sz w:val="16"/>
      </w:rPr>
      <w:t>1-3 Lacul Tei blvd, P.O.B. 30-33, Bucharest 020371, Romania</w:t>
    </w:r>
    <w:r>
      <w:rPr>
        <w:noProof/>
        <w:color w:val="000080"/>
        <w:position w:val="-6"/>
        <w:sz w:val="16"/>
        <w:lang w:val="en-US" w:eastAsia="en-US"/>
      </w:rPr>
      <mc:AlternateContent>
        <mc:Choice Requires="wps">
          <w:drawing>
            <wp:anchor distT="0" distB="0" distL="114300" distR="114300" simplePos="0" relativeHeight="251649024" behindDoc="0" locked="1" layoutInCell="0" allowOverlap="1" wp14:anchorId="3575241B" wp14:editId="69F6FAFE">
              <wp:simplePos x="0" y="0"/>
              <wp:positionH relativeFrom="page">
                <wp:posOffset>7283450</wp:posOffset>
              </wp:positionH>
              <wp:positionV relativeFrom="page">
                <wp:posOffset>1282065</wp:posOffset>
              </wp:positionV>
              <wp:extent cx="635" cy="9236075"/>
              <wp:effectExtent l="15875" t="15240" r="12065" b="16510"/>
              <wp:wrapNone/>
              <wp:docPr id="18" name="Line 16"/>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a:off x="0" y="0"/>
                        <a:ext cx="635" cy="9236075"/>
                      </a:xfrm>
                      <a:prstGeom prst="line">
                        <a:avLst/>
                      </a:prstGeom>
                      <a:noFill/>
                      <a:ln w="17907">
                        <a:solidFill>
                          <a:srgbClr val="FF66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line w14:anchorId="5C819245" id="Line 16" o:spid="_x0000_s1026" style="position:absolute;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73.5pt,100.95pt" to="573.55pt,8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" o:allowincell="f" strokecolor="#f60" strokeweight="1.41pt">
              <o:lock v:ext="edit" aspectratio="t"/>
              <w10:wrap anchorx="page" anchory="page"/>
              <w10:anchorlock/>
            </v:line>
          </w:pict>
        </mc:Fallback>
      </mc:AlternateContent>
    </w:r>
    <w:r>
      <w:rPr>
        <w:noProof/>
        <w:color w:val="000080"/>
        <w:position w:val="-6"/>
        <w:sz w:val="16"/>
        <w:lang w:val="en-US" w:eastAsia="en-US"/>
      </w:rPr>
      <mc:AlternateContent>
        <mc:Choice Requires="wps">
          <w:drawing>
            <wp:anchor distT="0" distB="0" distL="114300" distR="114300" simplePos="0" relativeHeight="251648000" behindDoc="0" locked="1" layoutInCell="0" allowOverlap="1" wp14:anchorId="4307E4A6" wp14:editId="20DB903E">
              <wp:simplePos x="0" y="0"/>
              <wp:positionH relativeFrom="page">
                <wp:posOffset>0</wp:posOffset>
              </wp:positionH>
              <wp:positionV relativeFrom="page">
                <wp:posOffset>1306830</wp:posOffset>
              </wp:positionV>
              <wp:extent cx="7282815" cy="0"/>
              <wp:effectExtent l="28575" t="30480" r="32385" b="26670"/>
              <wp:wrapNone/>
              <wp:docPr id="16" name="Line 15"/>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a:off x="0" y="0"/>
                        <a:ext cx="7282815" cy="0"/>
                      </a:xfrm>
                      <a:prstGeom prst="line">
                        <a:avLst/>
                      </a:prstGeom>
                      <a:noFill/>
                      <a:ln w="50800">
                        <a:solidFill>
                          <a:srgbClr val="FF66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line w14:anchorId="5F8894F5" id="Line 15" o:spid="_x0000_s1026" style="position:absolute;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102.9pt" to="573.45pt,10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" o:allowincell="f" strokecolor="#f60" strokeweight="4pt">
              <o:lock v:ext="edit" aspectratio="t"/>
              <w10:wrap anchorx="page" anchory="page"/>
              <w10:anchorlock/>
            </v:line>
          </w:pict>
        </mc:Fallback>
      </mc:AlternateContent>
    </w:r>
    <w:r>
      <w:rPr>
        <w:noProof/>
        <w:color w:val="000080"/>
        <w:position w:val="-6"/>
        <w:sz w:val="16"/>
        <w:lang w:val="en-US" w:eastAsia="en-US"/>
      </w:rPr>
      <mc:AlternateContent>
        <mc:Choice Requires="wps">
          <w:drawing>
            <wp:anchor distT="0" distB="0" distL="114300" distR="114300" simplePos="0" relativeHeight="251646976" behindDoc="0" locked="1" layoutInCell="1" allowOverlap="1" wp14:anchorId="22396F7F" wp14:editId="10770DDE">
              <wp:simplePos x="0" y="0"/>
              <wp:positionH relativeFrom="page">
                <wp:posOffset>737235</wp:posOffset>
              </wp:positionH>
              <wp:positionV relativeFrom="page">
                <wp:posOffset>10518140</wp:posOffset>
              </wp:positionV>
              <wp:extent cx="6562725" cy="635"/>
              <wp:effectExtent l="13335" t="12065" r="15240" b="15875"/>
              <wp:wrapNone/>
              <wp:docPr id="15" name="Line 14"/>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flipH="1">
                        <a:off x="0" y="0"/>
                        <a:ext cx="6562725" cy="635"/>
                      </a:xfrm>
                      <a:prstGeom prst="line">
                        <a:avLst/>
                      </a:prstGeom>
                      <a:noFill/>
                      <a:ln w="17907">
                        <a:solidFill>
                          <a:srgbClr val="FF66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line w14:anchorId="5F11DDD3" id="Line 14" o:spid="_x0000_s1026" style="position:absolute;flip:x;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05pt,828.2pt" to="574.8pt,8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" strokecolor="#f60" strokeweight="1.41pt">
              <o:lock v:ext="edit" aspectratio="t"/>
              <w10:wrap anchorx="page" anchory="page"/>
              <w10:anchorlock/>
            </v:line>
          </w:pict>
        </mc:Fallback>
      </mc:AlternateContent>
    </w:r>
  </w:p>
  <w:p w:rsidR="002E01ED" w:rsidRDefault="002E01ED">
    <w:pPr>
      <w:pStyle w:val="Header"/>
      <w:jc w:val="right"/>
    </w:pPr>
    <w:r>
      <w:rPr>
        <w:snapToGrid w:val="0"/>
        <w:color w:val="000080"/>
        <w:position w:val="-6"/>
        <w:sz w:val="16"/>
      </w:rPr>
      <w:t xml:space="preserve">ph: 021 210.70.80, fax: 021 210.36.20, office@ispe.ro, </w:t>
    </w:r>
    <w:r>
      <w:rPr>
        <w:snapToGrid w:val="0"/>
        <w:color w:val="FF0000"/>
        <w:position w:val="-6"/>
        <w:sz w:val="16"/>
      </w:rPr>
      <w:t>www.ispe.ro</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noProof/>
        <w:lang w:val="en-US" w:eastAsia="en-US"/>
      </w:rPr>
      <w:drawing>
        <wp:anchor distT="0" distB="0" distL="114300" distR="114300" simplePos="0" relativeHeight="251643904" behindDoc="0" locked="0" layoutInCell="1" allowOverlap="1" wp14:anchorId="1C144A63" wp14:editId="51768657">
          <wp:simplePos x="0" y="0"/>
          <wp:positionH relativeFrom="column">
            <wp:posOffset>0</wp:posOffset>
          </wp:positionH>
          <wp:positionV relativeFrom="paragraph">
            <wp:posOffset>160655</wp:posOffset>
          </wp:positionV>
          <wp:extent cx="1406525" cy="486410"/>
          <wp:effectExtent l="0" t="0" r="3175" b="8890"/>
          <wp:wrapNone/>
          <wp:docPr id="14" name="Picture 11" descr="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gla ISPE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6525" cy="486410"/>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ab/>
    </w:r>
  </w:p>
  <w:tbl>
    <w:tblPr>
      <w:tblW w:w="7902"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050"/>
    </w:tblGrid>
    <w:tr w:rsidR="002E01ED">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2E01ED" w:rsidRDefault="002E01ED">
          <w:pPr>
            <w:shd w:val="clear" w:color="auto" w:fill="FFFFFF"/>
            <w:ind w:left="-182" w:firstLine="182"/>
            <w:rPr>
              <w:rFonts w:cs="Arial"/>
              <w:sz w:val="18"/>
              <w:szCs w:val="18"/>
            </w:rPr>
          </w:pPr>
          <w:r>
            <w:rPr>
              <w:rFonts w:cs="Arial"/>
              <w:color w:val="000000"/>
              <w:spacing w:val="-3"/>
              <w:sz w:val="18"/>
              <w:szCs w:val="18"/>
              <w:lang w:val="en-US"/>
            </w:rPr>
            <w:t>Cod document:</w:t>
          </w:r>
        </w:p>
      </w:tc>
      <w:tc>
        <w:tcPr>
          <w:tcW w:w="4320" w:type="dxa"/>
          <w:tcBorders>
            <w:top w:val="single" w:sz="6" w:space="0" w:color="auto"/>
            <w:left w:val="nil"/>
            <w:bottom w:val="single" w:sz="6" w:space="0" w:color="auto"/>
            <w:right w:val="single" w:sz="6" w:space="0" w:color="auto"/>
          </w:tcBorders>
          <w:shd w:val="clear" w:color="auto" w:fill="FFFFFF"/>
          <w:vAlign w:val="center"/>
        </w:tcPr>
        <w:p w:rsidR="002E01ED" w:rsidRDefault="002E01ED">
          <w:pPr>
            <w:shd w:val="clear" w:color="auto" w:fill="FFFFFF"/>
            <w:ind w:left="130"/>
            <w:rPr>
              <w:rFonts w:cs="Arial"/>
              <w:b/>
            </w:rPr>
          </w:pPr>
          <w:r>
            <w:rPr>
              <w:rFonts w:cs="Arial"/>
              <w:b/>
            </w:rPr>
            <w:t>8017/2014-2-S0081014-NO</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c>
        <w:tcPr>
          <w:tcW w:w="105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8748B1">
            <w:rPr>
              <w:rFonts w:cs="Arial"/>
              <w:b/>
              <w:noProof/>
              <w:color w:val="000000"/>
              <w:spacing w:val="-10"/>
              <w:lang w:val="en-US"/>
            </w:rPr>
            <w:t>53</w:t>
          </w:r>
          <w:r>
            <w:rPr>
              <w:rFonts w:cs="Arial"/>
              <w:b/>
              <w:color w:val="000000"/>
              <w:spacing w:val="-10"/>
              <w:lang w:val="en-US"/>
            </w:rPr>
            <w:fldChar w:fldCharType="end"/>
          </w:r>
        </w:p>
      </w:tc>
    </w:tr>
  </w:tbl>
  <w:p w:rsidR="002E01ED" w:rsidRDefault="002E01E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rPr>
      <w:tab/>
    </w:r>
  </w:p>
  <w:p w:rsidR="002E01ED" w:rsidRDefault="002E01ED">
    <w:pPr>
      <w:pStyle w:val="Header"/>
      <w:ind w:right="72"/>
      <w:rPr>
        <w:rFonts w:cs="Arial"/>
      </w:rPr>
    </w:pPr>
    <w:r>
      <w:rPr>
        <w:rFonts w:cs="Arial"/>
        <w:noProof/>
        <w:lang w:val="en-US" w:eastAsia="en-US"/>
      </w:rPr>
      <mc:AlternateContent>
        <mc:Choice Requires="wps">
          <w:drawing>
            <wp:anchor distT="0" distB="0" distL="114300" distR="114300" simplePos="0" relativeHeight="251698176" behindDoc="0" locked="1" layoutInCell="1" allowOverlap="1" wp14:anchorId="442AD832" wp14:editId="3AB4D852">
              <wp:simplePos x="0" y="0"/>
              <wp:positionH relativeFrom="page">
                <wp:posOffset>414020</wp:posOffset>
              </wp:positionH>
              <wp:positionV relativeFrom="page">
                <wp:posOffset>501015</wp:posOffset>
              </wp:positionV>
              <wp:extent cx="1529080" cy="153670"/>
              <wp:effectExtent l="0" t="0" r="13970" b="17780"/>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080" cy="1536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E01ED" w:rsidRDefault="002E01ED">
                          <w:pPr>
                            <w:rPr>
                              <w:sz w:val="12"/>
                              <w:szCs w:val="12"/>
                            </w:rPr>
                          </w:pPr>
                          <w:r>
                            <w:rPr>
                              <w:sz w:val="12"/>
                            </w:rPr>
                            <w:t>Formular cod: FPM-03.01-01-02 Act. 0</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7" o:spid="_x0000_s1026" style="position:absolute;margin-left:32.6pt;margin-top:39.45pt;width:120.4pt;height:12.1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" filled="f" stroked="f" strokeweight="0">
              <v:textbox inset="0,0,0,0">
                <w:txbxContent>
                  <w:p w:rsidR="002E01ED" w:rsidRDefault="002E01ED">
                    <w:pPr>
                      <w:rPr>
                        <w:sz w:val="12"/>
                        <w:szCs w:val="12"/>
                      </w:rPr>
                    </w:pPr>
                    <w:r>
                      <w:rPr>
                        <w:sz w:val="12"/>
                      </w:rPr>
                      <w:t>Formular cod: FPM-03.01-01-02 Act. 0</w:t>
                    </w:r>
                  </w:p>
                </w:txbxContent>
              </v:textbox>
              <w10:wrap anchorx="page" anchory="page"/>
              <w10:anchorlock/>
            </v:rect>
          </w:pict>
        </mc:Fallback>
      </mc:AlternateContent>
    </w:r>
    <w:r>
      <w:rPr>
        <w:rFonts w:cs="Arial"/>
        <w:noProof/>
        <w:lang w:val="en-US" w:eastAsia="en-US"/>
      </w:rPr>
      <mc:AlternateContent>
        <mc:Choice Requires="wps">
          <w:drawing>
            <wp:anchor distT="0" distB="0" distL="114300" distR="114300" simplePos="0" relativeHeight="251697152" behindDoc="0" locked="0" layoutInCell="1" allowOverlap="1" wp14:anchorId="46DB99AE" wp14:editId="71A38485">
              <wp:simplePos x="0" y="0"/>
              <wp:positionH relativeFrom="column">
                <wp:posOffset>9521825</wp:posOffset>
              </wp:positionH>
              <wp:positionV relativeFrom="paragraph">
                <wp:posOffset>1665605</wp:posOffset>
              </wp:positionV>
              <wp:extent cx="520065" cy="5264785"/>
              <wp:effectExtent l="0" t="0" r="0" b="381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526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8748B1">
                                  <w:rPr>
                                    <w:rFonts w:cs="Arial"/>
                                    <w:b/>
                                    <w:noProof/>
                                    <w:color w:val="000000"/>
                                    <w:spacing w:val="-10"/>
                                    <w:lang w:val="en-US"/>
                                  </w:rPr>
                                  <w:t>54</w:t>
                                </w:r>
                                <w:r>
                                  <w:rPr>
                                    <w:rFonts w:cs="Arial"/>
                                    <w:b/>
                                    <w:color w:val="000000"/>
                                    <w:spacing w:val="-10"/>
                                    <w:lang w:val="en-US"/>
                                  </w:rPr>
                                  <w:fldChar w:fldCharType="end"/>
                                </w:r>
                              </w:p>
                            </w:tc>
                          </w:tr>
                        </w:tbl>
                        <w:p w:rsidR="002E01ED" w:rsidRDefault="002E01ED">
                          <w:pPr>
                            <w:jc w:val="center"/>
                            <w:rPr>
                              <w:sz w:val="8"/>
                            </w:rPr>
                          </w:pP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6" o:spid="_x0000_s1027" type="#_x0000_t202" style="position:absolute;margin-left:749.75pt;margin-top:131.15pt;width:40.95pt;height:41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" filled="f" stroked="f">
              <v:textbox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8748B1">
                            <w:rPr>
                              <w:rFonts w:cs="Arial"/>
                              <w:b/>
                              <w:noProof/>
                              <w:color w:val="000000"/>
                              <w:spacing w:val="-10"/>
                              <w:lang w:val="en-US"/>
                            </w:rPr>
                            <w:t>54</w:t>
                          </w:r>
                          <w:r>
                            <w:rPr>
                              <w:rFonts w:cs="Arial"/>
                              <w:b/>
                              <w:color w:val="000000"/>
                              <w:spacing w:val="-10"/>
                              <w:lang w:val="en-US"/>
                            </w:rPr>
                            <w:fldChar w:fldCharType="end"/>
                          </w:r>
                        </w:p>
                      </w:tc>
                    </w:tr>
                  </w:tbl>
                  <w:p w:rsidR="002E01ED" w:rsidRDefault="002E01ED">
                    <w:pPr>
                      <w:jc w:val="center"/>
                      <w:rPr>
                        <w:sz w:val="8"/>
                      </w:rPr>
                    </w:pPr>
                  </w:p>
                </w:txbxContent>
              </v:textbox>
            </v:shape>
          </w:pict>
        </mc:Fallback>
      </mc:AlternateContent>
    </w:r>
    <w:r>
      <w:rPr>
        <w:rFonts w:cs="Arial"/>
        <w:noProof/>
        <w:lang w:val="en-US" w:eastAsia="en-US"/>
      </w:rPr>
      <w:drawing>
        <wp:anchor distT="0" distB="0" distL="114300" distR="114300" simplePos="0" relativeHeight="251696128" behindDoc="0" locked="0" layoutInCell="1" allowOverlap="1" wp14:anchorId="291FDA21" wp14:editId="45FFE88C">
          <wp:simplePos x="0" y="0"/>
          <wp:positionH relativeFrom="column">
            <wp:posOffset>9467850</wp:posOffset>
          </wp:positionH>
          <wp:positionV relativeFrom="paragraph">
            <wp:posOffset>261620</wp:posOffset>
          </wp:positionV>
          <wp:extent cx="485775" cy="1403985"/>
          <wp:effectExtent l="0" t="0" r="9525" b="5715"/>
          <wp:wrapNone/>
          <wp:docPr id="85" name="Picture 85" descr="Sigla ISPE - V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igla ISPE - V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5775" cy="1403985"/>
                  </a:xfrm>
                  <a:prstGeom prst="rect">
                    <a:avLst/>
                  </a:prstGeom>
                  <a:noFill/>
                </pic:spPr>
              </pic:pic>
            </a:graphicData>
          </a:graphic>
          <wp14:sizeRelH relativeFrom="page">
            <wp14:pctWidth>0</wp14:pctWidth>
          </wp14:sizeRelH>
          <wp14:sizeRelV relativeFrom="page">
            <wp14:pctHeight>0</wp14:pctHeight>
          </wp14:sizeRelV>
        </wp:anchor>
      </w:drawing>
    </w:r>
  </w:p>
  <w:p w:rsidR="002E01ED" w:rsidRDefault="002E01E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noProof/>
        <w:lang w:val="en-US" w:eastAsia="en-US"/>
      </w:rPr>
      <w:drawing>
        <wp:anchor distT="0" distB="0" distL="114300" distR="114300" simplePos="0" relativeHeight="251695104" behindDoc="0" locked="0" layoutInCell="1" allowOverlap="1" wp14:anchorId="754D85F1" wp14:editId="3A185547">
          <wp:simplePos x="0" y="0"/>
          <wp:positionH relativeFrom="column">
            <wp:posOffset>0</wp:posOffset>
          </wp:positionH>
          <wp:positionV relativeFrom="paragraph">
            <wp:posOffset>160655</wp:posOffset>
          </wp:positionV>
          <wp:extent cx="1406525" cy="486410"/>
          <wp:effectExtent l="0" t="0" r="3175" b="8890"/>
          <wp:wrapNone/>
          <wp:docPr id="84" name="Picture 84" descr="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igla ISPE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6525" cy="486410"/>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ab/>
    </w:r>
  </w:p>
  <w:tbl>
    <w:tblPr>
      <w:tblW w:w="7902"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050"/>
    </w:tblGrid>
    <w:tr w:rsidR="002E01ED">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2E01ED" w:rsidRDefault="002E01ED">
          <w:pPr>
            <w:shd w:val="clear" w:color="auto" w:fill="FFFFFF"/>
            <w:ind w:left="-182" w:firstLine="182"/>
            <w:rPr>
              <w:rFonts w:cs="Arial"/>
              <w:sz w:val="18"/>
              <w:szCs w:val="18"/>
            </w:rPr>
          </w:pPr>
          <w:r>
            <w:rPr>
              <w:rFonts w:cs="Arial"/>
              <w:color w:val="000000"/>
              <w:spacing w:val="-3"/>
              <w:sz w:val="18"/>
              <w:szCs w:val="18"/>
              <w:lang w:val="en-US"/>
            </w:rPr>
            <w:t>Cod document:</w:t>
          </w:r>
        </w:p>
      </w:tc>
      <w:tc>
        <w:tcPr>
          <w:tcW w:w="4320" w:type="dxa"/>
          <w:tcBorders>
            <w:top w:val="single" w:sz="6" w:space="0" w:color="auto"/>
            <w:left w:val="nil"/>
            <w:bottom w:val="single" w:sz="6" w:space="0" w:color="auto"/>
            <w:right w:val="single" w:sz="6" w:space="0" w:color="auto"/>
          </w:tcBorders>
          <w:shd w:val="clear" w:color="auto" w:fill="FFFFFF"/>
          <w:vAlign w:val="center"/>
        </w:tcPr>
        <w:p w:rsidR="002E01ED" w:rsidRDefault="002E01ED">
          <w:pPr>
            <w:shd w:val="clear" w:color="auto" w:fill="FFFFFF"/>
            <w:ind w:left="130"/>
            <w:rPr>
              <w:rFonts w:cs="Arial"/>
              <w:b/>
            </w:rPr>
          </w:pPr>
          <w:r>
            <w:rPr>
              <w:rFonts w:cs="Arial"/>
              <w:b/>
            </w:rPr>
            <w:t>8017/2014-2-S0081014-NO</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c>
        <w:tcPr>
          <w:tcW w:w="105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8748B1">
            <w:rPr>
              <w:rFonts w:cs="Arial"/>
              <w:b/>
              <w:noProof/>
              <w:color w:val="000000"/>
              <w:spacing w:val="-10"/>
              <w:lang w:val="en-US"/>
            </w:rPr>
            <w:t>59</w:t>
          </w:r>
          <w:r>
            <w:rPr>
              <w:rFonts w:cs="Arial"/>
              <w:b/>
              <w:color w:val="000000"/>
              <w:spacing w:val="-10"/>
              <w:lang w:val="en-US"/>
            </w:rPr>
            <w:fldChar w:fldCharType="end"/>
          </w:r>
        </w:p>
      </w:tc>
    </w:tr>
  </w:tbl>
  <w:p w:rsidR="002E01ED" w:rsidRDefault="002E01ED">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rPr>
      <w:tab/>
    </w:r>
  </w:p>
  <w:p w:rsidR="002E01ED" w:rsidRDefault="002E01ED">
    <w:pPr>
      <w:pStyle w:val="Header"/>
      <w:ind w:right="72"/>
      <w:rPr>
        <w:rFonts w:cs="Arial"/>
      </w:rPr>
    </w:pPr>
    <w:r>
      <w:rPr>
        <w:rFonts w:cs="Arial"/>
        <w:noProof/>
        <w:lang w:val="en-US" w:eastAsia="en-US"/>
      </w:rPr>
      <mc:AlternateContent>
        <mc:Choice Requires="wps">
          <w:drawing>
            <wp:anchor distT="0" distB="0" distL="114300" distR="114300" simplePos="0" relativeHeight="251702272" behindDoc="0" locked="1" layoutInCell="1" allowOverlap="1" wp14:anchorId="0A2B5174" wp14:editId="3AE0816B">
              <wp:simplePos x="0" y="0"/>
              <wp:positionH relativeFrom="page">
                <wp:posOffset>414020</wp:posOffset>
              </wp:positionH>
              <wp:positionV relativeFrom="page">
                <wp:posOffset>501015</wp:posOffset>
              </wp:positionV>
              <wp:extent cx="1529080" cy="153670"/>
              <wp:effectExtent l="0" t="0" r="13970" b="17780"/>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080" cy="1536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E01ED" w:rsidRDefault="002E01ED">
                          <w:pPr>
                            <w:rPr>
                              <w:sz w:val="12"/>
                              <w:szCs w:val="12"/>
                            </w:rPr>
                          </w:pPr>
                          <w:r>
                            <w:rPr>
                              <w:sz w:val="12"/>
                            </w:rPr>
                            <w:t>Formular cod: FPM-03.01-01-02 Act. 0</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3" o:spid="_x0000_s1028" style="position:absolute;margin-left:32.6pt;margin-top:39.45pt;width:120.4pt;height:12.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" filled="f" stroked="f" strokeweight="0">
              <v:textbox inset="0,0,0,0">
                <w:txbxContent>
                  <w:p w:rsidR="002E01ED" w:rsidRDefault="002E01ED">
                    <w:pPr>
                      <w:rPr>
                        <w:sz w:val="12"/>
                        <w:szCs w:val="12"/>
                      </w:rPr>
                    </w:pPr>
                    <w:r>
                      <w:rPr>
                        <w:sz w:val="12"/>
                      </w:rPr>
                      <w:t>Formular cod: FPM-03.01-01-02 Act. 0</w:t>
                    </w:r>
                  </w:p>
                </w:txbxContent>
              </v:textbox>
              <w10:wrap anchorx="page" anchory="page"/>
              <w10:anchorlock/>
            </v:rect>
          </w:pict>
        </mc:Fallback>
      </mc:AlternateContent>
    </w:r>
    <w:r>
      <w:rPr>
        <w:rFonts w:cs="Arial"/>
        <w:noProof/>
        <w:lang w:val="en-US" w:eastAsia="en-US"/>
      </w:rPr>
      <mc:AlternateContent>
        <mc:Choice Requires="wps">
          <w:drawing>
            <wp:anchor distT="0" distB="0" distL="114300" distR="114300" simplePos="0" relativeHeight="251701248" behindDoc="0" locked="0" layoutInCell="1" allowOverlap="1" wp14:anchorId="51D1BB24" wp14:editId="760522AD">
              <wp:simplePos x="0" y="0"/>
              <wp:positionH relativeFrom="column">
                <wp:posOffset>9521825</wp:posOffset>
              </wp:positionH>
              <wp:positionV relativeFrom="paragraph">
                <wp:posOffset>1665605</wp:posOffset>
              </wp:positionV>
              <wp:extent cx="520065" cy="5264785"/>
              <wp:effectExtent l="0" t="0" r="0" b="381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526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Pr>
                                    <w:rFonts w:cs="Arial"/>
                                    <w:b/>
                                    <w:noProof/>
                                    <w:color w:val="000000"/>
                                    <w:spacing w:val="-10"/>
                                    <w:lang w:val="en-US"/>
                                  </w:rPr>
                                  <w:t>60</w:t>
                                </w:r>
                                <w:r>
                                  <w:rPr>
                                    <w:rFonts w:cs="Arial"/>
                                    <w:b/>
                                    <w:color w:val="000000"/>
                                    <w:spacing w:val="-10"/>
                                    <w:lang w:val="en-US"/>
                                  </w:rPr>
                                  <w:fldChar w:fldCharType="end"/>
                                </w:r>
                              </w:p>
                            </w:tc>
                          </w:tr>
                        </w:tbl>
                        <w:p w:rsidR="002E01ED" w:rsidRDefault="002E01ED">
                          <w:pPr>
                            <w:jc w:val="center"/>
                            <w:rPr>
                              <w:sz w:val="8"/>
                            </w:rPr>
                          </w:pP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2" o:spid="_x0000_s1029" type="#_x0000_t202" style="position:absolute;margin-left:749.75pt;margin-top:131.15pt;width:40.95pt;height:41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" filled="f" stroked="f">
              <v:textbox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Pr>
                              <w:rFonts w:cs="Arial"/>
                              <w:b/>
                              <w:noProof/>
                              <w:color w:val="000000"/>
                              <w:spacing w:val="-10"/>
                              <w:lang w:val="en-US"/>
                            </w:rPr>
                            <w:t>60</w:t>
                          </w:r>
                          <w:r>
                            <w:rPr>
                              <w:rFonts w:cs="Arial"/>
                              <w:b/>
                              <w:color w:val="000000"/>
                              <w:spacing w:val="-10"/>
                              <w:lang w:val="en-US"/>
                            </w:rPr>
                            <w:fldChar w:fldCharType="end"/>
                          </w:r>
                        </w:p>
                      </w:tc>
                    </w:tr>
                  </w:tbl>
                  <w:p w:rsidR="002E01ED" w:rsidRDefault="002E01ED">
                    <w:pPr>
                      <w:jc w:val="center"/>
                      <w:rPr>
                        <w:sz w:val="8"/>
                      </w:rPr>
                    </w:pPr>
                  </w:p>
                </w:txbxContent>
              </v:textbox>
            </v:shape>
          </w:pict>
        </mc:Fallback>
      </mc:AlternateContent>
    </w:r>
    <w:r>
      <w:rPr>
        <w:rFonts w:cs="Arial"/>
        <w:noProof/>
        <w:lang w:val="en-US" w:eastAsia="en-US"/>
      </w:rPr>
      <w:drawing>
        <wp:anchor distT="0" distB="0" distL="114300" distR="114300" simplePos="0" relativeHeight="251700224" behindDoc="0" locked="0" layoutInCell="1" allowOverlap="1" wp14:anchorId="3E103571" wp14:editId="0EDF0DCA">
          <wp:simplePos x="0" y="0"/>
          <wp:positionH relativeFrom="column">
            <wp:posOffset>9467850</wp:posOffset>
          </wp:positionH>
          <wp:positionV relativeFrom="paragraph">
            <wp:posOffset>261620</wp:posOffset>
          </wp:positionV>
          <wp:extent cx="485775" cy="1403985"/>
          <wp:effectExtent l="0" t="0" r="9525" b="5715"/>
          <wp:wrapNone/>
          <wp:docPr id="81" name="Picture 81" descr="Sigla ISPE - V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igla ISPE - V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5775" cy="1403985"/>
                  </a:xfrm>
                  <a:prstGeom prst="rect">
                    <a:avLst/>
                  </a:prstGeom>
                  <a:noFill/>
                </pic:spPr>
              </pic:pic>
            </a:graphicData>
          </a:graphic>
          <wp14:sizeRelH relativeFrom="page">
            <wp14:pctWidth>0</wp14:pctWidth>
          </wp14:sizeRelH>
          <wp14:sizeRelV relativeFrom="page">
            <wp14:pctHeight>0</wp14:pctHeight>
          </wp14:sizeRelV>
        </wp:anchor>
      </w:drawing>
    </w:r>
  </w:p>
  <w:p w:rsidR="002E01ED" w:rsidRDefault="002E01E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noProof/>
        <w:lang w:val="en-US" w:eastAsia="en-US"/>
      </w:rPr>
      <w:drawing>
        <wp:anchor distT="0" distB="0" distL="114300" distR="114300" simplePos="0" relativeHeight="251699200" behindDoc="0" locked="0" layoutInCell="1" allowOverlap="1" wp14:anchorId="13434985" wp14:editId="17684093">
          <wp:simplePos x="0" y="0"/>
          <wp:positionH relativeFrom="column">
            <wp:posOffset>0</wp:posOffset>
          </wp:positionH>
          <wp:positionV relativeFrom="paragraph">
            <wp:posOffset>160655</wp:posOffset>
          </wp:positionV>
          <wp:extent cx="1406525" cy="486410"/>
          <wp:effectExtent l="0" t="0" r="3175" b="8890"/>
          <wp:wrapNone/>
          <wp:docPr id="80" name="Picture 80" descr="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igla ISPE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6525" cy="486410"/>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ab/>
    </w:r>
  </w:p>
  <w:tbl>
    <w:tblPr>
      <w:tblW w:w="7902"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050"/>
    </w:tblGrid>
    <w:tr w:rsidR="002E01ED">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2E01ED" w:rsidRDefault="002E01ED">
          <w:pPr>
            <w:shd w:val="clear" w:color="auto" w:fill="FFFFFF"/>
            <w:ind w:left="-182" w:firstLine="182"/>
            <w:rPr>
              <w:rFonts w:cs="Arial"/>
              <w:sz w:val="18"/>
              <w:szCs w:val="18"/>
            </w:rPr>
          </w:pPr>
          <w:r>
            <w:rPr>
              <w:rFonts w:cs="Arial"/>
              <w:color w:val="000000"/>
              <w:spacing w:val="-3"/>
              <w:sz w:val="18"/>
              <w:szCs w:val="18"/>
              <w:lang w:val="en-US"/>
            </w:rPr>
            <w:t>Cod document:</w:t>
          </w:r>
        </w:p>
      </w:tc>
      <w:tc>
        <w:tcPr>
          <w:tcW w:w="4320" w:type="dxa"/>
          <w:tcBorders>
            <w:top w:val="single" w:sz="6" w:space="0" w:color="auto"/>
            <w:left w:val="nil"/>
            <w:bottom w:val="single" w:sz="6" w:space="0" w:color="auto"/>
            <w:right w:val="single" w:sz="6" w:space="0" w:color="auto"/>
          </w:tcBorders>
          <w:shd w:val="clear" w:color="auto" w:fill="FFFFFF"/>
          <w:vAlign w:val="center"/>
        </w:tcPr>
        <w:p w:rsidR="002E01ED" w:rsidRDefault="002E01ED">
          <w:pPr>
            <w:shd w:val="clear" w:color="auto" w:fill="FFFFFF"/>
            <w:ind w:left="130"/>
            <w:rPr>
              <w:rFonts w:cs="Arial"/>
              <w:b/>
            </w:rPr>
          </w:pPr>
          <w:r>
            <w:rPr>
              <w:rFonts w:cs="Arial"/>
              <w:b/>
            </w:rPr>
            <w:t>8017/2014-2-S0081014-NO</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c>
        <w:tcPr>
          <w:tcW w:w="105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Pr>
              <w:rFonts w:cs="Arial"/>
              <w:b/>
              <w:noProof/>
              <w:color w:val="000000"/>
              <w:spacing w:val="-10"/>
              <w:lang w:val="en-US"/>
            </w:rPr>
            <w:t>61</w:t>
          </w:r>
          <w:r>
            <w:rPr>
              <w:rFonts w:cs="Arial"/>
              <w:b/>
              <w:color w:val="000000"/>
              <w:spacing w:val="-10"/>
              <w:lang w:val="en-US"/>
            </w:rPr>
            <w:fldChar w:fldCharType="end"/>
          </w:r>
        </w:p>
      </w:tc>
    </w:tr>
  </w:tbl>
  <w:p w:rsidR="002E01ED" w:rsidRDefault="002E01ED">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rPr>
      <w:tab/>
    </w:r>
  </w:p>
  <w:p w:rsidR="002E01ED" w:rsidRDefault="002E01ED">
    <w:pPr>
      <w:pStyle w:val="Header"/>
      <w:ind w:right="72"/>
      <w:rPr>
        <w:rFonts w:cs="Arial"/>
      </w:rPr>
    </w:pPr>
    <w:r>
      <w:rPr>
        <w:rFonts w:cs="Arial"/>
        <w:noProof/>
        <w:lang w:val="en-US" w:eastAsia="en-US"/>
      </w:rPr>
      <mc:AlternateContent>
        <mc:Choice Requires="wps">
          <w:drawing>
            <wp:anchor distT="0" distB="0" distL="114300" distR="114300" simplePos="0" relativeHeight="251706368" behindDoc="0" locked="1" layoutInCell="1" allowOverlap="1" wp14:anchorId="3A0A5497" wp14:editId="395C04D7">
              <wp:simplePos x="0" y="0"/>
              <wp:positionH relativeFrom="page">
                <wp:posOffset>414020</wp:posOffset>
              </wp:positionH>
              <wp:positionV relativeFrom="page">
                <wp:posOffset>501015</wp:posOffset>
              </wp:positionV>
              <wp:extent cx="1529080" cy="153670"/>
              <wp:effectExtent l="0" t="0" r="13970" b="17780"/>
              <wp:wrapNone/>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080" cy="1536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E01ED" w:rsidRDefault="002E01ED">
                          <w:pPr>
                            <w:rPr>
                              <w:sz w:val="12"/>
                              <w:szCs w:val="12"/>
                            </w:rPr>
                          </w:pPr>
                          <w:r>
                            <w:rPr>
                              <w:sz w:val="12"/>
                            </w:rPr>
                            <w:t>Formular cod: FPM-03.01-01-02 Act. 0</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79" o:spid="_x0000_s1030" style="position:absolute;margin-left:32.6pt;margin-top:39.45pt;width:120.4pt;height:12.1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" filled="f" stroked="f" strokeweight="0">
              <v:textbox inset="0,0,0,0">
                <w:txbxContent>
                  <w:p w:rsidR="002E01ED" w:rsidRDefault="002E01ED">
                    <w:pPr>
                      <w:rPr>
                        <w:sz w:val="12"/>
                        <w:szCs w:val="12"/>
                      </w:rPr>
                    </w:pPr>
                    <w:r>
                      <w:rPr>
                        <w:sz w:val="12"/>
                      </w:rPr>
                      <w:t>Formular cod: FPM-03.01-01-02 Act. 0</w:t>
                    </w:r>
                  </w:p>
                </w:txbxContent>
              </v:textbox>
              <w10:wrap anchorx="page" anchory="page"/>
              <w10:anchorlock/>
            </v:rect>
          </w:pict>
        </mc:Fallback>
      </mc:AlternateContent>
    </w:r>
    <w:r>
      <w:rPr>
        <w:rFonts w:cs="Arial"/>
        <w:noProof/>
        <w:lang w:val="en-US" w:eastAsia="en-US"/>
      </w:rPr>
      <mc:AlternateContent>
        <mc:Choice Requires="wps">
          <w:drawing>
            <wp:anchor distT="0" distB="0" distL="114300" distR="114300" simplePos="0" relativeHeight="251705344" behindDoc="0" locked="0" layoutInCell="1" allowOverlap="1" wp14:anchorId="1A3279BC" wp14:editId="1D74DBAB">
              <wp:simplePos x="0" y="0"/>
              <wp:positionH relativeFrom="column">
                <wp:posOffset>9521825</wp:posOffset>
              </wp:positionH>
              <wp:positionV relativeFrom="paragraph">
                <wp:posOffset>1665605</wp:posOffset>
              </wp:positionV>
              <wp:extent cx="520065" cy="5264785"/>
              <wp:effectExtent l="0" t="0" r="0" b="381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526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Pr>
                                    <w:rFonts w:cs="Arial"/>
                                    <w:b/>
                                    <w:noProof/>
                                    <w:color w:val="000000"/>
                                    <w:spacing w:val="-10"/>
                                    <w:lang w:val="en-US"/>
                                  </w:rPr>
                                  <w:t>62</w:t>
                                </w:r>
                                <w:r>
                                  <w:rPr>
                                    <w:rFonts w:cs="Arial"/>
                                    <w:b/>
                                    <w:color w:val="000000"/>
                                    <w:spacing w:val="-10"/>
                                    <w:lang w:val="en-US"/>
                                  </w:rPr>
                                  <w:fldChar w:fldCharType="end"/>
                                </w:r>
                              </w:p>
                            </w:tc>
                          </w:tr>
                        </w:tbl>
                        <w:p w:rsidR="002E01ED" w:rsidRDefault="002E01ED">
                          <w:pPr>
                            <w:jc w:val="center"/>
                            <w:rPr>
                              <w:sz w:val="8"/>
                            </w:rPr>
                          </w:pP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8" o:spid="_x0000_s1031" type="#_x0000_t202" style="position:absolute;margin-left:749.75pt;margin-top:131.15pt;width:40.95pt;height:414.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" filled="f" stroked="f">
              <v:textbox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2E01ED">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2E01ED" w:rsidRDefault="002E01ED">
                          <w:pPr>
                            <w:ind w:left="-90" w:right="113"/>
                            <w:jc w:val="center"/>
                          </w:pPr>
                          <w:r>
                            <w:rPr>
                              <w:rFonts w:cs="Arial"/>
                              <w:color w:val="000000"/>
                              <w:spacing w:val="-3"/>
                              <w:sz w:val="18"/>
                              <w:szCs w:val="18"/>
                              <w:lang w:val="en-US"/>
                            </w:rPr>
                            <w:t>Cod document</w:t>
                          </w:r>
                        </w:p>
                      </w:tc>
                    </w:tr>
                    <w:tr w:rsidR="002E01ED">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130" w:right="113"/>
                            <w:jc w:val="center"/>
                            <w:rPr>
                              <w:rFonts w:cs="Arial"/>
                              <w:b/>
                            </w:rPr>
                          </w:pPr>
                          <w:r>
                            <w:rPr>
                              <w:rFonts w:cs="Arial"/>
                              <w:b/>
                            </w:rPr>
                            <w:t>8017/2014-2-S0081014-NO</w:t>
                          </w:r>
                        </w:p>
                      </w:tc>
                    </w:tr>
                    <w:tr w:rsidR="002E01ED">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r>
                    <w:tr w:rsidR="002E01ED">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2E01ED" w:rsidRDefault="002E01ED">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Pr>
                              <w:rFonts w:cs="Arial"/>
                              <w:b/>
                              <w:noProof/>
                              <w:color w:val="000000"/>
                              <w:spacing w:val="-10"/>
                              <w:lang w:val="en-US"/>
                            </w:rPr>
                            <w:t>62</w:t>
                          </w:r>
                          <w:r>
                            <w:rPr>
                              <w:rFonts w:cs="Arial"/>
                              <w:b/>
                              <w:color w:val="000000"/>
                              <w:spacing w:val="-10"/>
                              <w:lang w:val="en-US"/>
                            </w:rPr>
                            <w:fldChar w:fldCharType="end"/>
                          </w:r>
                        </w:p>
                      </w:tc>
                    </w:tr>
                  </w:tbl>
                  <w:p w:rsidR="002E01ED" w:rsidRDefault="002E01ED">
                    <w:pPr>
                      <w:jc w:val="center"/>
                      <w:rPr>
                        <w:sz w:val="8"/>
                      </w:rPr>
                    </w:pPr>
                  </w:p>
                </w:txbxContent>
              </v:textbox>
            </v:shape>
          </w:pict>
        </mc:Fallback>
      </mc:AlternateContent>
    </w:r>
    <w:r>
      <w:rPr>
        <w:rFonts w:cs="Arial"/>
        <w:noProof/>
        <w:lang w:val="en-US" w:eastAsia="en-US"/>
      </w:rPr>
      <w:drawing>
        <wp:anchor distT="0" distB="0" distL="114300" distR="114300" simplePos="0" relativeHeight="251704320" behindDoc="0" locked="0" layoutInCell="1" allowOverlap="1" wp14:anchorId="271BF5B5" wp14:editId="76ADD846">
          <wp:simplePos x="0" y="0"/>
          <wp:positionH relativeFrom="column">
            <wp:posOffset>9467850</wp:posOffset>
          </wp:positionH>
          <wp:positionV relativeFrom="paragraph">
            <wp:posOffset>261620</wp:posOffset>
          </wp:positionV>
          <wp:extent cx="485775" cy="1403985"/>
          <wp:effectExtent l="0" t="0" r="9525" b="5715"/>
          <wp:wrapNone/>
          <wp:docPr id="77" name="Picture 77" descr="Sigla ISPE - V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igla ISPE - V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5775" cy="1403985"/>
                  </a:xfrm>
                  <a:prstGeom prst="rect">
                    <a:avLst/>
                  </a:prstGeom>
                  <a:noFill/>
                </pic:spPr>
              </pic:pic>
            </a:graphicData>
          </a:graphic>
          <wp14:sizeRelH relativeFrom="page">
            <wp14:pctWidth>0</wp14:pctWidth>
          </wp14:sizeRelH>
          <wp14:sizeRelV relativeFrom="page">
            <wp14:pctHeight>0</wp14:pctHeight>
          </wp14:sizeRelV>
        </wp:anchor>
      </w:drawing>
    </w:r>
  </w:p>
  <w:p w:rsidR="002E01ED" w:rsidRDefault="002E01ED">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1ED" w:rsidRDefault="002E01ED">
    <w:pPr>
      <w:pStyle w:val="Header"/>
      <w:ind w:right="72"/>
      <w:rPr>
        <w:rFonts w:cs="Arial"/>
      </w:rPr>
    </w:pPr>
    <w:r>
      <w:rPr>
        <w:rFonts w:cs="Arial"/>
        <w:noProof/>
        <w:lang w:val="en-US" w:eastAsia="en-US"/>
      </w:rPr>
      <w:drawing>
        <wp:anchor distT="0" distB="0" distL="114300" distR="114300" simplePos="0" relativeHeight="251703296" behindDoc="0" locked="0" layoutInCell="1" allowOverlap="1" wp14:anchorId="6C2BBE97" wp14:editId="653B8856">
          <wp:simplePos x="0" y="0"/>
          <wp:positionH relativeFrom="column">
            <wp:posOffset>0</wp:posOffset>
          </wp:positionH>
          <wp:positionV relativeFrom="paragraph">
            <wp:posOffset>160655</wp:posOffset>
          </wp:positionV>
          <wp:extent cx="1406525" cy="486410"/>
          <wp:effectExtent l="0" t="0" r="3175" b="8890"/>
          <wp:wrapNone/>
          <wp:docPr id="76" name="Picture 76" descr="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igla ISPE -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6525" cy="486410"/>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ab/>
    </w:r>
  </w:p>
  <w:tbl>
    <w:tblPr>
      <w:tblW w:w="7902"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050"/>
    </w:tblGrid>
    <w:tr w:rsidR="002E01ED">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2E01ED" w:rsidRDefault="002E01ED">
          <w:pPr>
            <w:shd w:val="clear" w:color="auto" w:fill="FFFFFF"/>
            <w:ind w:left="-182" w:firstLine="182"/>
            <w:rPr>
              <w:rFonts w:cs="Arial"/>
              <w:sz w:val="18"/>
              <w:szCs w:val="18"/>
            </w:rPr>
          </w:pPr>
          <w:r>
            <w:rPr>
              <w:rFonts w:cs="Arial"/>
              <w:color w:val="000000"/>
              <w:spacing w:val="-3"/>
              <w:sz w:val="18"/>
              <w:szCs w:val="18"/>
              <w:lang w:val="en-US"/>
            </w:rPr>
            <w:t>Cod document:</w:t>
          </w:r>
        </w:p>
      </w:tc>
      <w:tc>
        <w:tcPr>
          <w:tcW w:w="4320" w:type="dxa"/>
          <w:tcBorders>
            <w:top w:val="single" w:sz="6" w:space="0" w:color="auto"/>
            <w:left w:val="nil"/>
            <w:bottom w:val="single" w:sz="6" w:space="0" w:color="auto"/>
            <w:right w:val="single" w:sz="6" w:space="0" w:color="auto"/>
          </w:tcBorders>
          <w:shd w:val="clear" w:color="auto" w:fill="FFFFFF"/>
          <w:vAlign w:val="center"/>
        </w:tcPr>
        <w:p w:rsidR="002E01ED" w:rsidRDefault="002E01ED">
          <w:pPr>
            <w:shd w:val="clear" w:color="auto" w:fill="FFFFFF"/>
            <w:ind w:left="130"/>
            <w:rPr>
              <w:rFonts w:cs="Arial"/>
              <w:b/>
            </w:rPr>
          </w:pPr>
          <w:r>
            <w:rPr>
              <w:rFonts w:cs="Arial"/>
              <w:b/>
            </w:rPr>
            <w:t>8017/2014-2-S0081014-NO</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c>
        <w:tcPr>
          <w:tcW w:w="1050" w:type="dxa"/>
          <w:tcBorders>
            <w:top w:val="single" w:sz="6" w:space="0" w:color="auto"/>
            <w:left w:val="single" w:sz="6" w:space="0" w:color="auto"/>
            <w:bottom w:val="single" w:sz="6" w:space="0" w:color="auto"/>
            <w:right w:val="single" w:sz="6" w:space="0" w:color="auto"/>
          </w:tcBorders>
          <w:shd w:val="clear" w:color="auto" w:fill="FFFFFF"/>
          <w:vAlign w:val="center"/>
        </w:tcPr>
        <w:p w:rsidR="002E01ED" w:rsidRDefault="002E01ED">
          <w:pPr>
            <w:shd w:val="clear" w:color="auto" w:fill="FFFFFF"/>
            <w:jc w:val="center"/>
            <w:rPr>
              <w:rFonts w:cs="Arial"/>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8748B1">
            <w:rPr>
              <w:rFonts w:cs="Arial"/>
              <w:b/>
              <w:noProof/>
              <w:color w:val="000000"/>
              <w:spacing w:val="-10"/>
              <w:lang w:val="en-US"/>
            </w:rPr>
            <w:t>67</w:t>
          </w:r>
          <w:r>
            <w:rPr>
              <w:rFonts w:cs="Arial"/>
              <w:b/>
              <w:color w:val="000000"/>
              <w:spacing w:val="-10"/>
              <w:lang w:val="en-US"/>
            </w:rPr>
            <w:fldChar w:fldCharType="end"/>
          </w:r>
        </w:p>
      </w:tc>
    </w:tr>
  </w:tbl>
  <w:p w:rsidR="002E01ED" w:rsidRDefault="002E01E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3pt;height:11.3pt" o:bullet="t">
        <v:imagedata r:id="rId1" o:title="BD10298_"/>
      </v:shape>
    </w:pict>
  </w:numPicBullet>
  <w:abstractNum w:abstractNumId="0">
    <w:nsid w:val="FFFFFF1D"/>
    <w:multiLevelType w:val="multilevel"/>
    <w:tmpl w:val="FB208AA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3"/>
    <w:multiLevelType w:val="multilevel"/>
    <w:tmpl w:val="0000000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nsid w:val="02355A92"/>
    <w:multiLevelType w:val="hybridMultilevel"/>
    <w:tmpl w:val="C032CC6C"/>
    <w:lvl w:ilvl="0" w:tplc="04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
    <w:nsid w:val="02A35F37"/>
    <w:multiLevelType w:val="hybridMultilevel"/>
    <w:tmpl w:val="A87AC1DC"/>
    <w:lvl w:ilvl="0" w:tplc="0418000B">
      <w:start w:val="1"/>
      <w:numFmt w:val="bullet"/>
      <w:lvlText w:val=""/>
      <w:lvlJc w:val="left"/>
      <w:pPr>
        <w:ind w:left="117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nsid w:val="03630AAB"/>
    <w:multiLevelType w:val="hybridMultilevel"/>
    <w:tmpl w:val="E4B45602"/>
    <w:lvl w:ilvl="0" w:tplc="4702A734">
      <w:start w:val="1"/>
      <w:numFmt w:val="upperRoman"/>
      <w:lvlText w:val="%1."/>
      <w:lvlJc w:val="left"/>
      <w:pPr>
        <w:ind w:left="1080" w:hanging="72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
    <w:nsid w:val="03FA3566"/>
    <w:multiLevelType w:val="hybridMultilevel"/>
    <w:tmpl w:val="8ECC9238"/>
    <w:lvl w:ilvl="0" w:tplc="6EF40A84">
      <w:start w:val="1"/>
      <w:numFmt w:val="bullet"/>
      <w:lvlText w:val=""/>
      <w:lvlJc w:val="left"/>
      <w:pPr>
        <w:ind w:left="720" w:hanging="360"/>
      </w:pPr>
      <w:rPr>
        <w:rFonts w:ascii="Cambria" w:hAnsi="Cambria" w:hint="default"/>
        <w:color w:val="000000"/>
      </w:rPr>
    </w:lvl>
    <w:lvl w:ilvl="1" w:tplc="04090001">
      <w:start w:val="1"/>
      <w:numFmt w:val="bullet"/>
      <w:lvlText w:val=""/>
      <w:lvlJc w:val="left"/>
      <w:pPr>
        <w:ind w:left="1440" w:hanging="360"/>
      </w:pPr>
      <w:rPr>
        <w:rFonts w:ascii="Symbol" w:hAnsi="Symbol" w:hint="default"/>
        <w:sz w:val="16"/>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51053BB"/>
    <w:multiLevelType w:val="hybridMultilevel"/>
    <w:tmpl w:val="CEA09082"/>
    <w:lvl w:ilvl="0" w:tplc="04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7">
    <w:nsid w:val="059F5244"/>
    <w:multiLevelType w:val="hybridMultilevel"/>
    <w:tmpl w:val="75328050"/>
    <w:lvl w:ilvl="0" w:tplc="0409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08705FDC"/>
    <w:multiLevelType w:val="hybridMultilevel"/>
    <w:tmpl w:val="A8DA1F16"/>
    <w:lvl w:ilvl="0" w:tplc="04090015">
      <w:start w:val="1"/>
      <w:numFmt w:val="upperLetter"/>
      <w:lvlText w:val="%1."/>
      <w:lvlJc w:val="left"/>
      <w:pPr>
        <w:ind w:left="1440" w:hanging="360"/>
      </w:pPr>
      <w:rPr>
        <w:rFont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9">
    <w:nsid w:val="08863CB5"/>
    <w:multiLevelType w:val="hybridMultilevel"/>
    <w:tmpl w:val="4B94EB86"/>
    <w:lvl w:ilvl="0" w:tplc="0409000B">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0">
    <w:nsid w:val="09010DB3"/>
    <w:multiLevelType w:val="hybridMultilevel"/>
    <w:tmpl w:val="6D082388"/>
    <w:lvl w:ilvl="0" w:tplc="6EF40A84">
      <w:start w:val="1"/>
      <w:numFmt w:val="bullet"/>
      <w:lvlText w:val=""/>
      <w:lvlJc w:val="left"/>
      <w:pPr>
        <w:ind w:left="720" w:hanging="360"/>
      </w:pPr>
      <w:rPr>
        <w:rFonts w:ascii="Cambria" w:hAnsi="Cambria" w:hint="default"/>
        <w:color w:val="000000"/>
      </w:rPr>
    </w:lvl>
    <w:lvl w:ilvl="1" w:tplc="04090001">
      <w:start w:val="1"/>
      <w:numFmt w:val="bullet"/>
      <w:lvlText w:val=""/>
      <w:lvlJc w:val="left"/>
      <w:pPr>
        <w:ind w:left="1440" w:hanging="360"/>
      </w:pPr>
      <w:rPr>
        <w:rFonts w:ascii="Symbol" w:hAnsi="Symbol" w:hint="default"/>
        <w:sz w:val="16"/>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09E96315"/>
    <w:multiLevelType w:val="hybridMultilevel"/>
    <w:tmpl w:val="ADE26574"/>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nsid w:val="09EA156D"/>
    <w:multiLevelType w:val="hybridMultilevel"/>
    <w:tmpl w:val="727C6A16"/>
    <w:lvl w:ilvl="0" w:tplc="0BA4F9AA">
      <w:start w:val="4"/>
      <w:numFmt w:val="bullet"/>
      <w:lvlText w:val="-"/>
      <w:lvlJc w:val="left"/>
      <w:pPr>
        <w:ind w:left="1065" w:hanging="360"/>
      </w:pPr>
      <w:rPr>
        <w:rFonts w:ascii="Arial" w:eastAsia="Times New Roman" w:hAnsi="Arial" w:cs="Arial" w:hint="default"/>
        <w:sz w:val="24"/>
      </w:rPr>
    </w:lvl>
    <w:lvl w:ilvl="1" w:tplc="04090019">
      <w:start w:val="1"/>
      <w:numFmt w:val="lowerLetter"/>
      <w:lvlText w:val="%2."/>
      <w:lvlJc w:val="left"/>
      <w:pPr>
        <w:ind w:left="1785" w:hanging="360"/>
      </w:pPr>
    </w:lvl>
    <w:lvl w:ilvl="2" w:tplc="0409001B">
      <w:start w:val="1"/>
      <w:numFmt w:val="lowerRoman"/>
      <w:lvlText w:val="%3."/>
      <w:lvlJc w:val="right"/>
      <w:pPr>
        <w:ind w:left="2505" w:hanging="180"/>
      </w:pPr>
    </w:lvl>
    <w:lvl w:ilvl="3" w:tplc="0409000F">
      <w:start w:val="1"/>
      <w:numFmt w:val="decimal"/>
      <w:lvlText w:val="%4."/>
      <w:lvlJc w:val="left"/>
      <w:pPr>
        <w:ind w:left="3225" w:hanging="360"/>
      </w:pPr>
    </w:lvl>
    <w:lvl w:ilvl="4" w:tplc="04090019">
      <w:start w:val="1"/>
      <w:numFmt w:val="lowerLetter"/>
      <w:lvlText w:val="%5."/>
      <w:lvlJc w:val="left"/>
      <w:pPr>
        <w:ind w:left="3945" w:hanging="360"/>
      </w:pPr>
    </w:lvl>
    <w:lvl w:ilvl="5" w:tplc="0409001B">
      <w:start w:val="1"/>
      <w:numFmt w:val="lowerRoman"/>
      <w:lvlText w:val="%6."/>
      <w:lvlJc w:val="right"/>
      <w:pPr>
        <w:ind w:left="4665" w:hanging="180"/>
      </w:pPr>
    </w:lvl>
    <w:lvl w:ilvl="6" w:tplc="0409000F">
      <w:start w:val="1"/>
      <w:numFmt w:val="decimal"/>
      <w:lvlText w:val="%7."/>
      <w:lvlJc w:val="left"/>
      <w:pPr>
        <w:ind w:left="5385" w:hanging="360"/>
      </w:pPr>
    </w:lvl>
    <w:lvl w:ilvl="7" w:tplc="04090019">
      <w:start w:val="1"/>
      <w:numFmt w:val="lowerLetter"/>
      <w:lvlText w:val="%8."/>
      <w:lvlJc w:val="left"/>
      <w:pPr>
        <w:ind w:left="6105" w:hanging="360"/>
      </w:pPr>
    </w:lvl>
    <w:lvl w:ilvl="8" w:tplc="0409001B">
      <w:start w:val="1"/>
      <w:numFmt w:val="lowerRoman"/>
      <w:lvlText w:val="%9."/>
      <w:lvlJc w:val="right"/>
      <w:pPr>
        <w:ind w:left="6825" w:hanging="180"/>
      </w:pPr>
    </w:lvl>
  </w:abstractNum>
  <w:abstractNum w:abstractNumId="13">
    <w:nsid w:val="0A103530"/>
    <w:multiLevelType w:val="hybridMultilevel"/>
    <w:tmpl w:val="FE12841A"/>
    <w:lvl w:ilvl="0" w:tplc="04180011">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
    <w:nsid w:val="0B045663"/>
    <w:multiLevelType w:val="hybridMultilevel"/>
    <w:tmpl w:val="9EC8CFAC"/>
    <w:lvl w:ilvl="0" w:tplc="0418000B">
      <w:start w:val="1"/>
      <w:numFmt w:val="bullet"/>
      <w:lvlText w:val=""/>
      <w:lvlJc w:val="left"/>
      <w:pPr>
        <w:ind w:left="1428" w:hanging="360"/>
      </w:pPr>
      <w:rPr>
        <w:rFonts w:ascii="Wingdings" w:hAnsi="Wingdings"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15">
    <w:nsid w:val="0B4F7870"/>
    <w:multiLevelType w:val="hybridMultilevel"/>
    <w:tmpl w:val="5BF8AFE4"/>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nsid w:val="0B601E2C"/>
    <w:multiLevelType w:val="hybridMultilevel"/>
    <w:tmpl w:val="5866C80C"/>
    <w:lvl w:ilvl="0" w:tplc="0BA4F9AA">
      <w:start w:val="4"/>
      <w:numFmt w:val="bullet"/>
      <w:lvlText w:val="-"/>
      <w:lvlJc w:val="left"/>
      <w:pPr>
        <w:ind w:left="1785" w:hanging="360"/>
      </w:pPr>
      <w:rPr>
        <w:rFonts w:ascii="Arial" w:eastAsia="Times New Roman" w:hAnsi="Arial" w:cs="Arial" w:hint="default"/>
        <w:sz w:val="24"/>
      </w:rPr>
    </w:lvl>
    <w:lvl w:ilvl="1" w:tplc="04180003" w:tentative="1">
      <w:start w:val="1"/>
      <w:numFmt w:val="bullet"/>
      <w:lvlText w:val="o"/>
      <w:lvlJc w:val="left"/>
      <w:pPr>
        <w:ind w:left="2505" w:hanging="360"/>
      </w:pPr>
      <w:rPr>
        <w:rFonts w:ascii="Courier New" w:hAnsi="Courier New" w:cs="Courier New" w:hint="default"/>
      </w:rPr>
    </w:lvl>
    <w:lvl w:ilvl="2" w:tplc="04180005" w:tentative="1">
      <w:start w:val="1"/>
      <w:numFmt w:val="bullet"/>
      <w:lvlText w:val=""/>
      <w:lvlJc w:val="left"/>
      <w:pPr>
        <w:ind w:left="3225" w:hanging="360"/>
      </w:pPr>
      <w:rPr>
        <w:rFonts w:ascii="Wingdings" w:hAnsi="Wingdings" w:hint="default"/>
      </w:rPr>
    </w:lvl>
    <w:lvl w:ilvl="3" w:tplc="04180001" w:tentative="1">
      <w:start w:val="1"/>
      <w:numFmt w:val="bullet"/>
      <w:lvlText w:val=""/>
      <w:lvlJc w:val="left"/>
      <w:pPr>
        <w:ind w:left="3945" w:hanging="360"/>
      </w:pPr>
      <w:rPr>
        <w:rFonts w:ascii="Symbol" w:hAnsi="Symbol" w:hint="default"/>
      </w:rPr>
    </w:lvl>
    <w:lvl w:ilvl="4" w:tplc="04180003" w:tentative="1">
      <w:start w:val="1"/>
      <w:numFmt w:val="bullet"/>
      <w:lvlText w:val="o"/>
      <w:lvlJc w:val="left"/>
      <w:pPr>
        <w:ind w:left="4665" w:hanging="360"/>
      </w:pPr>
      <w:rPr>
        <w:rFonts w:ascii="Courier New" w:hAnsi="Courier New" w:cs="Courier New" w:hint="default"/>
      </w:rPr>
    </w:lvl>
    <w:lvl w:ilvl="5" w:tplc="04180005" w:tentative="1">
      <w:start w:val="1"/>
      <w:numFmt w:val="bullet"/>
      <w:lvlText w:val=""/>
      <w:lvlJc w:val="left"/>
      <w:pPr>
        <w:ind w:left="5385" w:hanging="360"/>
      </w:pPr>
      <w:rPr>
        <w:rFonts w:ascii="Wingdings" w:hAnsi="Wingdings" w:hint="default"/>
      </w:rPr>
    </w:lvl>
    <w:lvl w:ilvl="6" w:tplc="04180001" w:tentative="1">
      <w:start w:val="1"/>
      <w:numFmt w:val="bullet"/>
      <w:lvlText w:val=""/>
      <w:lvlJc w:val="left"/>
      <w:pPr>
        <w:ind w:left="6105" w:hanging="360"/>
      </w:pPr>
      <w:rPr>
        <w:rFonts w:ascii="Symbol" w:hAnsi="Symbol" w:hint="default"/>
      </w:rPr>
    </w:lvl>
    <w:lvl w:ilvl="7" w:tplc="04180003" w:tentative="1">
      <w:start w:val="1"/>
      <w:numFmt w:val="bullet"/>
      <w:lvlText w:val="o"/>
      <w:lvlJc w:val="left"/>
      <w:pPr>
        <w:ind w:left="6825" w:hanging="360"/>
      </w:pPr>
      <w:rPr>
        <w:rFonts w:ascii="Courier New" w:hAnsi="Courier New" w:cs="Courier New" w:hint="default"/>
      </w:rPr>
    </w:lvl>
    <w:lvl w:ilvl="8" w:tplc="04180005" w:tentative="1">
      <w:start w:val="1"/>
      <w:numFmt w:val="bullet"/>
      <w:lvlText w:val=""/>
      <w:lvlJc w:val="left"/>
      <w:pPr>
        <w:ind w:left="7545" w:hanging="360"/>
      </w:pPr>
      <w:rPr>
        <w:rFonts w:ascii="Wingdings" w:hAnsi="Wingdings" w:hint="default"/>
      </w:rPr>
    </w:lvl>
  </w:abstractNum>
  <w:abstractNum w:abstractNumId="17">
    <w:nsid w:val="0B88027E"/>
    <w:multiLevelType w:val="hybridMultilevel"/>
    <w:tmpl w:val="983A8004"/>
    <w:lvl w:ilvl="0" w:tplc="0409000F">
      <w:start w:val="1"/>
      <w:numFmt w:val="decimal"/>
      <w:lvlText w:val="%1."/>
      <w:lvlJc w:val="left"/>
      <w:pPr>
        <w:ind w:left="720" w:hanging="360"/>
      </w:pPr>
      <w:rPr>
        <w:rFont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nsid w:val="0BC535CC"/>
    <w:multiLevelType w:val="hybridMultilevel"/>
    <w:tmpl w:val="E4B45602"/>
    <w:lvl w:ilvl="0" w:tplc="4702A734">
      <w:start w:val="1"/>
      <w:numFmt w:val="upperRoman"/>
      <w:lvlText w:val="%1."/>
      <w:lvlJc w:val="left"/>
      <w:pPr>
        <w:ind w:left="1080" w:hanging="72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
    <w:nsid w:val="0D507AC0"/>
    <w:multiLevelType w:val="hybridMultilevel"/>
    <w:tmpl w:val="D8A2826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102B742A"/>
    <w:multiLevelType w:val="hybridMultilevel"/>
    <w:tmpl w:val="9C026C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1D24CA4"/>
    <w:multiLevelType w:val="hybridMultilevel"/>
    <w:tmpl w:val="D0DC3D0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20F0526"/>
    <w:multiLevelType w:val="hybridMultilevel"/>
    <w:tmpl w:val="870091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236684A"/>
    <w:multiLevelType w:val="hybridMultilevel"/>
    <w:tmpl w:val="ACB8793C"/>
    <w:lvl w:ilvl="0" w:tplc="04090001">
      <w:start w:val="1"/>
      <w:numFmt w:val="bullet"/>
      <w:lvlText w:val=""/>
      <w:lvlJc w:val="left"/>
      <w:pPr>
        <w:ind w:left="1508" w:hanging="360"/>
      </w:pPr>
      <w:rPr>
        <w:rFonts w:ascii="Symbol" w:hAnsi="Symbol" w:hint="default"/>
      </w:rPr>
    </w:lvl>
    <w:lvl w:ilvl="1" w:tplc="04180003" w:tentative="1">
      <w:start w:val="1"/>
      <w:numFmt w:val="bullet"/>
      <w:lvlText w:val="o"/>
      <w:lvlJc w:val="left"/>
      <w:pPr>
        <w:ind w:left="2228" w:hanging="360"/>
      </w:pPr>
      <w:rPr>
        <w:rFonts w:ascii="Courier New" w:hAnsi="Courier New" w:cs="Courier New" w:hint="default"/>
      </w:rPr>
    </w:lvl>
    <w:lvl w:ilvl="2" w:tplc="04180005" w:tentative="1">
      <w:start w:val="1"/>
      <w:numFmt w:val="bullet"/>
      <w:lvlText w:val=""/>
      <w:lvlJc w:val="left"/>
      <w:pPr>
        <w:ind w:left="2948" w:hanging="360"/>
      </w:pPr>
      <w:rPr>
        <w:rFonts w:ascii="Wingdings" w:hAnsi="Wingdings" w:hint="default"/>
      </w:rPr>
    </w:lvl>
    <w:lvl w:ilvl="3" w:tplc="04180001" w:tentative="1">
      <w:start w:val="1"/>
      <w:numFmt w:val="bullet"/>
      <w:lvlText w:val=""/>
      <w:lvlJc w:val="left"/>
      <w:pPr>
        <w:ind w:left="3668" w:hanging="360"/>
      </w:pPr>
      <w:rPr>
        <w:rFonts w:ascii="Symbol" w:hAnsi="Symbol" w:hint="default"/>
      </w:rPr>
    </w:lvl>
    <w:lvl w:ilvl="4" w:tplc="04180003" w:tentative="1">
      <w:start w:val="1"/>
      <w:numFmt w:val="bullet"/>
      <w:lvlText w:val="o"/>
      <w:lvlJc w:val="left"/>
      <w:pPr>
        <w:ind w:left="4388" w:hanging="360"/>
      </w:pPr>
      <w:rPr>
        <w:rFonts w:ascii="Courier New" w:hAnsi="Courier New" w:cs="Courier New" w:hint="default"/>
      </w:rPr>
    </w:lvl>
    <w:lvl w:ilvl="5" w:tplc="04180005" w:tentative="1">
      <w:start w:val="1"/>
      <w:numFmt w:val="bullet"/>
      <w:lvlText w:val=""/>
      <w:lvlJc w:val="left"/>
      <w:pPr>
        <w:ind w:left="5108" w:hanging="360"/>
      </w:pPr>
      <w:rPr>
        <w:rFonts w:ascii="Wingdings" w:hAnsi="Wingdings" w:hint="default"/>
      </w:rPr>
    </w:lvl>
    <w:lvl w:ilvl="6" w:tplc="04180001" w:tentative="1">
      <w:start w:val="1"/>
      <w:numFmt w:val="bullet"/>
      <w:lvlText w:val=""/>
      <w:lvlJc w:val="left"/>
      <w:pPr>
        <w:ind w:left="5828" w:hanging="360"/>
      </w:pPr>
      <w:rPr>
        <w:rFonts w:ascii="Symbol" w:hAnsi="Symbol" w:hint="default"/>
      </w:rPr>
    </w:lvl>
    <w:lvl w:ilvl="7" w:tplc="04180003" w:tentative="1">
      <w:start w:val="1"/>
      <w:numFmt w:val="bullet"/>
      <w:lvlText w:val="o"/>
      <w:lvlJc w:val="left"/>
      <w:pPr>
        <w:ind w:left="6548" w:hanging="360"/>
      </w:pPr>
      <w:rPr>
        <w:rFonts w:ascii="Courier New" w:hAnsi="Courier New" w:cs="Courier New" w:hint="default"/>
      </w:rPr>
    </w:lvl>
    <w:lvl w:ilvl="8" w:tplc="04180005" w:tentative="1">
      <w:start w:val="1"/>
      <w:numFmt w:val="bullet"/>
      <w:lvlText w:val=""/>
      <w:lvlJc w:val="left"/>
      <w:pPr>
        <w:ind w:left="7268" w:hanging="360"/>
      </w:pPr>
      <w:rPr>
        <w:rFonts w:ascii="Wingdings" w:hAnsi="Wingdings" w:hint="default"/>
      </w:rPr>
    </w:lvl>
  </w:abstractNum>
  <w:abstractNum w:abstractNumId="24">
    <w:nsid w:val="12755897"/>
    <w:multiLevelType w:val="hybridMultilevel"/>
    <w:tmpl w:val="4D669956"/>
    <w:lvl w:ilvl="0" w:tplc="0409000B">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5812C1D"/>
    <w:multiLevelType w:val="hybridMultilevel"/>
    <w:tmpl w:val="FDEAC35A"/>
    <w:lvl w:ilvl="0" w:tplc="0409000B">
      <w:start w:val="1"/>
      <w:numFmt w:val="bullet"/>
      <w:lvlText w:val=""/>
      <w:lvlJc w:val="left"/>
      <w:pPr>
        <w:tabs>
          <w:tab w:val="num" w:pos="720"/>
        </w:tabs>
        <w:ind w:left="720" w:hanging="360"/>
      </w:pPr>
      <w:rPr>
        <w:rFonts w:ascii="Wingdings" w:hAnsi="Wingdings" w:hint="default"/>
        <w:color w:val="000000"/>
      </w:rPr>
    </w:lvl>
    <w:lvl w:ilvl="1" w:tplc="7E04C064">
      <w:start w:val="1"/>
      <w:numFmt w:val="bullet"/>
      <w:lvlText w:val="•"/>
      <w:lvlJc w:val="left"/>
      <w:pPr>
        <w:tabs>
          <w:tab w:val="num" w:pos="1440"/>
        </w:tabs>
        <w:ind w:left="1440" w:hanging="360"/>
      </w:pPr>
      <w:rPr>
        <w:rFonts w:ascii="Arial" w:hAnsi="Arial" w:hint="default"/>
      </w:rPr>
    </w:lvl>
    <w:lvl w:ilvl="2" w:tplc="53BA8C96" w:tentative="1">
      <w:start w:val="1"/>
      <w:numFmt w:val="bullet"/>
      <w:lvlText w:val="•"/>
      <w:lvlJc w:val="left"/>
      <w:pPr>
        <w:tabs>
          <w:tab w:val="num" w:pos="2160"/>
        </w:tabs>
        <w:ind w:left="2160" w:hanging="360"/>
      </w:pPr>
      <w:rPr>
        <w:rFonts w:ascii="Arial" w:hAnsi="Arial" w:hint="default"/>
      </w:rPr>
    </w:lvl>
    <w:lvl w:ilvl="3" w:tplc="E462278C" w:tentative="1">
      <w:start w:val="1"/>
      <w:numFmt w:val="bullet"/>
      <w:lvlText w:val="•"/>
      <w:lvlJc w:val="left"/>
      <w:pPr>
        <w:tabs>
          <w:tab w:val="num" w:pos="2880"/>
        </w:tabs>
        <w:ind w:left="2880" w:hanging="360"/>
      </w:pPr>
      <w:rPr>
        <w:rFonts w:ascii="Arial" w:hAnsi="Arial" w:hint="default"/>
      </w:rPr>
    </w:lvl>
    <w:lvl w:ilvl="4" w:tplc="961091BC" w:tentative="1">
      <w:start w:val="1"/>
      <w:numFmt w:val="bullet"/>
      <w:lvlText w:val="•"/>
      <w:lvlJc w:val="left"/>
      <w:pPr>
        <w:tabs>
          <w:tab w:val="num" w:pos="3600"/>
        </w:tabs>
        <w:ind w:left="3600" w:hanging="360"/>
      </w:pPr>
      <w:rPr>
        <w:rFonts w:ascii="Arial" w:hAnsi="Arial" w:hint="default"/>
      </w:rPr>
    </w:lvl>
    <w:lvl w:ilvl="5" w:tplc="5786479A" w:tentative="1">
      <w:start w:val="1"/>
      <w:numFmt w:val="bullet"/>
      <w:lvlText w:val="•"/>
      <w:lvlJc w:val="left"/>
      <w:pPr>
        <w:tabs>
          <w:tab w:val="num" w:pos="4320"/>
        </w:tabs>
        <w:ind w:left="4320" w:hanging="360"/>
      </w:pPr>
      <w:rPr>
        <w:rFonts w:ascii="Arial" w:hAnsi="Arial" w:hint="default"/>
      </w:rPr>
    </w:lvl>
    <w:lvl w:ilvl="6" w:tplc="639023EE" w:tentative="1">
      <w:start w:val="1"/>
      <w:numFmt w:val="bullet"/>
      <w:lvlText w:val="•"/>
      <w:lvlJc w:val="left"/>
      <w:pPr>
        <w:tabs>
          <w:tab w:val="num" w:pos="5040"/>
        </w:tabs>
        <w:ind w:left="5040" w:hanging="360"/>
      </w:pPr>
      <w:rPr>
        <w:rFonts w:ascii="Arial" w:hAnsi="Arial" w:hint="default"/>
      </w:rPr>
    </w:lvl>
    <w:lvl w:ilvl="7" w:tplc="DC1E1F2C" w:tentative="1">
      <w:start w:val="1"/>
      <w:numFmt w:val="bullet"/>
      <w:lvlText w:val="•"/>
      <w:lvlJc w:val="left"/>
      <w:pPr>
        <w:tabs>
          <w:tab w:val="num" w:pos="5760"/>
        </w:tabs>
        <w:ind w:left="5760" w:hanging="360"/>
      </w:pPr>
      <w:rPr>
        <w:rFonts w:ascii="Arial" w:hAnsi="Arial" w:hint="default"/>
      </w:rPr>
    </w:lvl>
    <w:lvl w:ilvl="8" w:tplc="4426D69E" w:tentative="1">
      <w:start w:val="1"/>
      <w:numFmt w:val="bullet"/>
      <w:lvlText w:val="•"/>
      <w:lvlJc w:val="left"/>
      <w:pPr>
        <w:tabs>
          <w:tab w:val="num" w:pos="6480"/>
        </w:tabs>
        <w:ind w:left="6480" w:hanging="360"/>
      </w:pPr>
      <w:rPr>
        <w:rFonts w:ascii="Arial" w:hAnsi="Arial" w:hint="default"/>
      </w:rPr>
    </w:lvl>
  </w:abstractNum>
  <w:abstractNum w:abstractNumId="26">
    <w:nsid w:val="166F4AA7"/>
    <w:multiLevelType w:val="hybridMultilevel"/>
    <w:tmpl w:val="7690F4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6B4196C"/>
    <w:multiLevelType w:val="hybridMultilevel"/>
    <w:tmpl w:val="FB5EF92C"/>
    <w:lvl w:ilvl="0" w:tplc="0409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28">
    <w:nsid w:val="171A00D8"/>
    <w:multiLevelType w:val="hybridMultilevel"/>
    <w:tmpl w:val="16B4594E"/>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nsid w:val="1893709D"/>
    <w:multiLevelType w:val="hybridMultilevel"/>
    <w:tmpl w:val="1644AF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9592B69"/>
    <w:multiLevelType w:val="hybridMultilevel"/>
    <w:tmpl w:val="7CF66D5A"/>
    <w:lvl w:ilvl="0" w:tplc="0BA4F9AA">
      <w:start w:val="4"/>
      <w:numFmt w:val="bullet"/>
      <w:lvlText w:val="-"/>
      <w:lvlJc w:val="left"/>
      <w:pPr>
        <w:ind w:left="720" w:hanging="360"/>
      </w:pPr>
      <w:rPr>
        <w:rFonts w:ascii="Arial" w:eastAsia="Times New Roman" w:hAnsi="Arial" w:cs="Arial" w:hint="default"/>
        <w:sz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nsid w:val="1ACD4E45"/>
    <w:multiLevelType w:val="hybridMultilevel"/>
    <w:tmpl w:val="F0045260"/>
    <w:lvl w:ilvl="0" w:tplc="04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2">
    <w:nsid w:val="1BA1194C"/>
    <w:multiLevelType w:val="hybridMultilevel"/>
    <w:tmpl w:val="3B8A811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nsid w:val="1BD01FEA"/>
    <w:multiLevelType w:val="hybridMultilevel"/>
    <w:tmpl w:val="05A61CA2"/>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nsid w:val="1C0E7726"/>
    <w:multiLevelType w:val="hybridMultilevel"/>
    <w:tmpl w:val="96C8083A"/>
    <w:lvl w:ilvl="0" w:tplc="4702A734">
      <w:start w:val="1"/>
      <w:numFmt w:val="upperRoman"/>
      <w:lvlText w:val="%1."/>
      <w:lvlJc w:val="left"/>
      <w:pPr>
        <w:ind w:left="1080" w:hanging="72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5">
    <w:nsid w:val="1D6A2990"/>
    <w:multiLevelType w:val="hybridMultilevel"/>
    <w:tmpl w:val="6A407EE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D9F1F15"/>
    <w:multiLevelType w:val="hybridMultilevel"/>
    <w:tmpl w:val="3966553E"/>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E705BF3"/>
    <w:multiLevelType w:val="hybridMultilevel"/>
    <w:tmpl w:val="96F494A2"/>
    <w:lvl w:ilvl="0" w:tplc="0409000B">
      <w:start w:val="1"/>
      <w:numFmt w:val="bullet"/>
      <w:lvlText w:val=""/>
      <w:lvlJc w:val="left"/>
      <w:pPr>
        <w:ind w:left="1429" w:hanging="360"/>
      </w:pPr>
      <w:rPr>
        <w:rFonts w:ascii="Wingdings" w:hAnsi="Wingdings" w:hint="default"/>
      </w:rPr>
    </w:lvl>
    <w:lvl w:ilvl="1" w:tplc="04180003">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38">
    <w:nsid w:val="20DC4355"/>
    <w:multiLevelType w:val="hybridMultilevel"/>
    <w:tmpl w:val="FD74DE42"/>
    <w:lvl w:ilvl="0" w:tplc="39B6724A">
      <w:start w:val="1"/>
      <w:numFmt w:val="upperRoman"/>
      <w:lvlText w:val="%1."/>
      <w:lvlJc w:val="left"/>
      <w:pPr>
        <w:ind w:left="1800" w:hanging="720"/>
      </w:pPr>
      <w:rPr>
        <w:rFonts w:ascii="Calibri" w:hAnsi="Calibri" w:hint="default"/>
        <w:b/>
        <w:sz w:val="22"/>
      </w:r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39">
    <w:nsid w:val="210B5ACE"/>
    <w:multiLevelType w:val="hybridMultilevel"/>
    <w:tmpl w:val="01E2A18A"/>
    <w:lvl w:ilvl="0" w:tplc="04180011">
      <w:start w:val="1"/>
      <w:numFmt w:val="decimal"/>
      <w:lvlText w:val="%1)"/>
      <w:lvlJc w:val="left"/>
      <w:pPr>
        <w:ind w:left="360" w:hanging="360"/>
      </w:pPr>
      <w:rPr>
        <w:rFonts w:hint="default"/>
      </w:r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0">
    <w:nsid w:val="218A6FE9"/>
    <w:multiLevelType w:val="hybridMultilevel"/>
    <w:tmpl w:val="1318C5C6"/>
    <w:lvl w:ilvl="0" w:tplc="04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1">
    <w:nsid w:val="21BA2015"/>
    <w:multiLevelType w:val="hybridMultilevel"/>
    <w:tmpl w:val="D200D40E"/>
    <w:lvl w:ilvl="0" w:tplc="F75ACE1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55030B2"/>
    <w:multiLevelType w:val="hybridMultilevel"/>
    <w:tmpl w:val="9744A7E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78A0B3E"/>
    <w:multiLevelType w:val="hybridMultilevel"/>
    <w:tmpl w:val="ECEE06A0"/>
    <w:lvl w:ilvl="0" w:tplc="04090003">
      <w:start w:val="1"/>
      <w:numFmt w:val="bullet"/>
      <w:lvlText w:val="o"/>
      <w:lvlJc w:val="left"/>
      <w:pPr>
        <w:ind w:left="1508" w:hanging="360"/>
      </w:pPr>
      <w:rPr>
        <w:rFonts w:ascii="Courier New" w:hAnsi="Courier New" w:cs="Courier New" w:hint="default"/>
      </w:rPr>
    </w:lvl>
    <w:lvl w:ilvl="1" w:tplc="04180003" w:tentative="1">
      <w:start w:val="1"/>
      <w:numFmt w:val="bullet"/>
      <w:lvlText w:val="o"/>
      <w:lvlJc w:val="left"/>
      <w:pPr>
        <w:ind w:left="2228" w:hanging="360"/>
      </w:pPr>
      <w:rPr>
        <w:rFonts w:ascii="Courier New" w:hAnsi="Courier New" w:cs="Courier New" w:hint="default"/>
      </w:rPr>
    </w:lvl>
    <w:lvl w:ilvl="2" w:tplc="04180005" w:tentative="1">
      <w:start w:val="1"/>
      <w:numFmt w:val="bullet"/>
      <w:lvlText w:val=""/>
      <w:lvlJc w:val="left"/>
      <w:pPr>
        <w:ind w:left="2948" w:hanging="360"/>
      </w:pPr>
      <w:rPr>
        <w:rFonts w:ascii="Wingdings" w:hAnsi="Wingdings" w:hint="default"/>
      </w:rPr>
    </w:lvl>
    <w:lvl w:ilvl="3" w:tplc="04180001" w:tentative="1">
      <w:start w:val="1"/>
      <w:numFmt w:val="bullet"/>
      <w:lvlText w:val=""/>
      <w:lvlJc w:val="left"/>
      <w:pPr>
        <w:ind w:left="3668" w:hanging="360"/>
      </w:pPr>
      <w:rPr>
        <w:rFonts w:ascii="Symbol" w:hAnsi="Symbol" w:hint="default"/>
      </w:rPr>
    </w:lvl>
    <w:lvl w:ilvl="4" w:tplc="04180003" w:tentative="1">
      <w:start w:val="1"/>
      <w:numFmt w:val="bullet"/>
      <w:lvlText w:val="o"/>
      <w:lvlJc w:val="left"/>
      <w:pPr>
        <w:ind w:left="4388" w:hanging="360"/>
      </w:pPr>
      <w:rPr>
        <w:rFonts w:ascii="Courier New" w:hAnsi="Courier New" w:cs="Courier New" w:hint="default"/>
      </w:rPr>
    </w:lvl>
    <w:lvl w:ilvl="5" w:tplc="04180005" w:tentative="1">
      <w:start w:val="1"/>
      <w:numFmt w:val="bullet"/>
      <w:lvlText w:val=""/>
      <w:lvlJc w:val="left"/>
      <w:pPr>
        <w:ind w:left="5108" w:hanging="360"/>
      </w:pPr>
      <w:rPr>
        <w:rFonts w:ascii="Wingdings" w:hAnsi="Wingdings" w:hint="default"/>
      </w:rPr>
    </w:lvl>
    <w:lvl w:ilvl="6" w:tplc="04180001" w:tentative="1">
      <w:start w:val="1"/>
      <w:numFmt w:val="bullet"/>
      <w:lvlText w:val=""/>
      <w:lvlJc w:val="left"/>
      <w:pPr>
        <w:ind w:left="5828" w:hanging="360"/>
      </w:pPr>
      <w:rPr>
        <w:rFonts w:ascii="Symbol" w:hAnsi="Symbol" w:hint="default"/>
      </w:rPr>
    </w:lvl>
    <w:lvl w:ilvl="7" w:tplc="04180003" w:tentative="1">
      <w:start w:val="1"/>
      <w:numFmt w:val="bullet"/>
      <w:lvlText w:val="o"/>
      <w:lvlJc w:val="left"/>
      <w:pPr>
        <w:ind w:left="6548" w:hanging="360"/>
      </w:pPr>
      <w:rPr>
        <w:rFonts w:ascii="Courier New" w:hAnsi="Courier New" w:cs="Courier New" w:hint="default"/>
      </w:rPr>
    </w:lvl>
    <w:lvl w:ilvl="8" w:tplc="04180005" w:tentative="1">
      <w:start w:val="1"/>
      <w:numFmt w:val="bullet"/>
      <w:lvlText w:val=""/>
      <w:lvlJc w:val="left"/>
      <w:pPr>
        <w:ind w:left="7268" w:hanging="360"/>
      </w:pPr>
      <w:rPr>
        <w:rFonts w:ascii="Wingdings" w:hAnsi="Wingdings" w:hint="default"/>
      </w:rPr>
    </w:lvl>
  </w:abstractNum>
  <w:abstractNum w:abstractNumId="44">
    <w:nsid w:val="28697255"/>
    <w:multiLevelType w:val="hybridMultilevel"/>
    <w:tmpl w:val="33885464"/>
    <w:lvl w:ilvl="0" w:tplc="04090001">
      <w:start w:val="1"/>
      <w:numFmt w:val="bullet"/>
      <w:lvlText w:val=""/>
      <w:lvlJc w:val="left"/>
      <w:pPr>
        <w:ind w:left="720" w:hanging="360"/>
      </w:pPr>
      <w:rPr>
        <w:rFonts w:ascii="Symbol" w:hAnsi="Symbol" w:hint="default"/>
      </w:rPr>
    </w:lvl>
    <w:lvl w:ilvl="1" w:tplc="F9861910">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8A0354D"/>
    <w:multiLevelType w:val="hybridMultilevel"/>
    <w:tmpl w:val="496C0298"/>
    <w:lvl w:ilvl="0" w:tplc="04180011">
      <w:start w:val="1"/>
      <w:numFmt w:val="decimal"/>
      <w:lvlText w:val="%1)"/>
      <w:lvlJc w:val="left"/>
      <w:pPr>
        <w:ind w:left="643" w:hanging="360"/>
      </w:pPr>
    </w:lvl>
    <w:lvl w:ilvl="1" w:tplc="04180019" w:tentative="1">
      <w:start w:val="1"/>
      <w:numFmt w:val="lowerLetter"/>
      <w:lvlText w:val="%2."/>
      <w:lvlJc w:val="left"/>
      <w:pPr>
        <w:ind w:left="1363" w:hanging="360"/>
      </w:pPr>
    </w:lvl>
    <w:lvl w:ilvl="2" w:tplc="0418001B" w:tentative="1">
      <w:start w:val="1"/>
      <w:numFmt w:val="lowerRoman"/>
      <w:lvlText w:val="%3."/>
      <w:lvlJc w:val="right"/>
      <w:pPr>
        <w:ind w:left="2083" w:hanging="180"/>
      </w:pPr>
    </w:lvl>
    <w:lvl w:ilvl="3" w:tplc="0418000F" w:tentative="1">
      <w:start w:val="1"/>
      <w:numFmt w:val="decimal"/>
      <w:lvlText w:val="%4."/>
      <w:lvlJc w:val="left"/>
      <w:pPr>
        <w:ind w:left="2803" w:hanging="360"/>
      </w:pPr>
    </w:lvl>
    <w:lvl w:ilvl="4" w:tplc="04180019" w:tentative="1">
      <w:start w:val="1"/>
      <w:numFmt w:val="lowerLetter"/>
      <w:lvlText w:val="%5."/>
      <w:lvlJc w:val="left"/>
      <w:pPr>
        <w:ind w:left="3523" w:hanging="360"/>
      </w:pPr>
    </w:lvl>
    <w:lvl w:ilvl="5" w:tplc="0418001B" w:tentative="1">
      <w:start w:val="1"/>
      <w:numFmt w:val="lowerRoman"/>
      <w:lvlText w:val="%6."/>
      <w:lvlJc w:val="right"/>
      <w:pPr>
        <w:ind w:left="4243" w:hanging="180"/>
      </w:pPr>
    </w:lvl>
    <w:lvl w:ilvl="6" w:tplc="0418000F" w:tentative="1">
      <w:start w:val="1"/>
      <w:numFmt w:val="decimal"/>
      <w:lvlText w:val="%7."/>
      <w:lvlJc w:val="left"/>
      <w:pPr>
        <w:ind w:left="4963" w:hanging="360"/>
      </w:pPr>
    </w:lvl>
    <w:lvl w:ilvl="7" w:tplc="04180019" w:tentative="1">
      <w:start w:val="1"/>
      <w:numFmt w:val="lowerLetter"/>
      <w:lvlText w:val="%8."/>
      <w:lvlJc w:val="left"/>
      <w:pPr>
        <w:ind w:left="5683" w:hanging="360"/>
      </w:pPr>
    </w:lvl>
    <w:lvl w:ilvl="8" w:tplc="0418001B" w:tentative="1">
      <w:start w:val="1"/>
      <w:numFmt w:val="lowerRoman"/>
      <w:lvlText w:val="%9."/>
      <w:lvlJc w:val="right"/>
      <w:pPr>
        <w:ind w:left="6403" w:hanging="180"/>
      </w:pPr>
    </w:lvl>
  </w:abstractNum>
  <w:abstractNum w:abstractNumId="46">
    <w:nsid w:val="28CA7E1B"/>
    <w:multiLevelType w:val="hybridMultilevel"/>
    <w:tmpl w:val="689A6E3A"/>
    <w:lvl w:ilvl="0" w:tplc="0409000B">
      <w:start w:val="1"/>
      <w:numFmt w:val="bullet"/>
      <w:lvlText w:val=""/>
      <w:lvlJc w:val="left"/>
      <w:pPr>
        <w:tabs>
          <w:tab w:val="num" w:pos="720"/>
        </w:tabs>
        <w:ind w:left="720" w:hanging="360"/>
      </w:pPr>
      <w:rPr>
        <w:rFonts w:ascii="Wingdings" w:hAnsi="Wingdings" w:hint="default"/>
        <w:color w:val="000000"/>
      </w:rPr>
    </w:lvl>
    <w:lvl w:ilvl="1" w:tplc="7E04C064">
      <w:start w:val="1"/>
      <w:numFmt w:val="bullet"/>
      <w:lvlText w:val="•"/>
      <w:lvlJc w:val="left"/>
      <w:pPr>
        <w:tabs>
          <w:tab w:val="num" w:pos="1440"/>
        </w:tabs>
        <w:ind w:left="1440" w:hanging="360"/>
      </w:pPr>
      <w:rPr>
        <w:rFonts w:ascii="Arial" w:hAnsi="Arial" w:hint="default"/>
      </w:rPr>
    </w:lvl>
    <w:lvl w:ilvl="2" w:tplc="53BA8C96" w:tentative="1">
      <w:start w:val="1"/>
      <w:numFmt w:val="bullet"/>
      <w:lvlText w:val="•"/>
      <w:lvlJc w:val="left"/>
      <w:pPr>
        <w:tabs>
          <w:tab w:val="num" w:pos="2160"/>
        </w:tabs>
        <w:ind w:left="2160" w:hanging="360"/>
      </w:pPr>
      <w:rPr>
        <w:rFonts w:ascii="Arial" w:hAnsi="Arial" w:hint="default"/>
      </w:rPr>
    </w:lvl>
    <w:lvl w:ilvl="3" w:tplc="E462278C" w:tentative="1">
      <w:start w:val="1"/>
      <w:numFmt w:val="bullet"/>
      <w:lvlText w:val="•"/>
      <w:lvlJc w:val="left"/>
      <w:pPr>
        <w:tabs>
          <w:tab w:val="num" w:pos="2880"/>
        </w:tabs>
        <w:ind w:left="2880" w:hanging="360"/>
      </w:pPr>
      <w:rPr>
        <w:rFonts w:ascii="Arial" w:hAnsi="Arial" w:hint="default"/>
      </w:rPr>
    </w:lvl>
    <w:lvl w:ilvl="4" w:tplc="961091BC" w:tentative="1">
      <w:start w:val="1"/>
      <w:numFmt w:val="bullet"/>
      <w:lvlText w:val="•"/>
      <w:lvlJc w:val="left"/>
      <w:pPr>
        <w:tabs>
          <w:tab w:val="num" w:pos="3600"/>
        </w:tabs>
        <w:ind w:left="3600" w:hanging="360"/>
      </w:pPr>
      <w:rPr>
        <w:rFonts w:ascii="Arial" w:hAnsi="Arial" w:hint="default"/>
      </w:rPr>
    </w:lvl>
    <w:lvl w:ilvl="5" w:tplc="5786479A" w:tentative="1">
      <w:start w:val="1"/>
      <w:numFmt w:val="bullet"/>
      <w:lvlText w:val="•"/>
      <w:lvlJc w:val="left"/>
      <w:pPr>
        <w:tabs>
          <w:tab w:val="num" w:pos="4320"/>
        </w:tabs>
        <w:ind w:left="4320" w:hanging="360"/>
      </w:pPr>
      <w:rPr>
        <w:rFonts w:ascii="Arial" w:hAnsi="Arial" w:hint="default"/>
      </w:rPr>
    </w:lvl>
    <w:lvl w:ilvl="6" w:tplc="639023EE" w:tentative="1">
      <w:start w:val="1"/>
      <w:numFmt w:val="bullet"/>
      <w:lvlText w:val="•"/>
      <w:lvlJc w:val="left"/>
      <w:pPr>
        <w:tabs>
          <w:tab w:val="num" w:pos="5040"/>
        </w:tabs>
        <w:ind w:left="5040" w:hanging="360"/>
      </w:pPr>
      <w:rPr>
        <w:rFonts w:ascii="Arial" w:hAnsi="Arial" w:hint="default"/>
      </w:rPr>
    </w:lvl>
    <w:lvl w:ilvl="7" w:tplc="DC1E1F2C" w:tentative="1">
      <w:start w:val="1"/>
      <w:numFmt w:val="bullet"/>
      <w:lvlText w:val="•"/>
      <w:lvlJc w:val="left"/>
      <w:pPr>
        <w:tabs>
          <w:tab w:val="num" w:pos="5760"/>
        </w:tabs>
        <w:ind w:left="5760" w:hanging="360"/>
      </w:pPr>
      <w:rPr>
        <w:rFonts w:ascii="Arial" w:hAnsi="Arial" w:hint="default"/>
      </w:rPr>
    </w:lvl>
    <w:lvl w:ilvl="8" w:tplc="4426D69E" w:tentative="1">
      <w:start w:val="1"/>
      <w:numFmt w:val="bullet"/>
      <w:lvlText w:val="•"/>
      <w:lvlJc w:val="left"/>
      <w:pPr>
        <w:tabs>
          <w:tab w:val="num" w:pos="6480"/>
        </w:tabs>
        <w:ind w:left="6480" w:hanging="360"/>
      </w:pPr>
      <w:rPr>
        <w:rFonts w:ascii="Arial" w:hAnsi="Arial" w:hint="default"/>
      </w:rPr>
    </w:lvl>
  </w:abstractNum>
  <w:abstractNum w:abstractNumId="47">
    <w:nsid w:val="28F74C0D"/>
    <w:multiLevelType w:val="hybridMultilevel"/>
    <w:tmpl w:val="ADB801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9293CDD"/>
    <w:multiLevelType w:val="hybridMultilevel"/>
    <w:tmpl w:val="4CE204E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2D7A6C85"/>
    <w:multiLevelType w:val="hybridMultilevel"/>
    <w:tmpl w:val="E2EE64DA"/>
    <w:lvl w:ilvl="0" w:tplc="0BA4F9AA">
      <w:start w:val="4"/>
      <w:numFmt w:val="bullet"/>
      <w:lvlText w:val="-"/>
      <w:lvlJc w:val="left"/>
      <w:pPr>
        <w:ind w:left="1440" w:hanging="360"/>
      </w:pPr>
      <w:rPr>
        <w:rFonts w:ascii="Arial" w:eastAsia="Times New Roman" w:hAnsi="Arial" w:cs="Arial" w:hint="default"/>
        <w:sz w:val="24"/>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50">
    <w:nsid w:val="2E51249D"/>
    <w:multiLevelType w:val="hybridMultilevel"/>
    <w:tmpl w:val="CB9827CC"/>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nsid w:val="336146BE"/>
    <w:multiLevelType w:val="hybridMultilevel"/>
    <w:tmpl w:val="5E22D7AE"/>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nsid w:val="33AA362D"/>
    <w:multiLevelType w:val="hybridMultilevel"/>
    <w:tmpl w:val="59AC80C8"/>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nsid w:val="33D65616"/>
    <w:multiLevelType w:val="hybridMultilevel"/>
    <w:tmpl w:val="C4125E4C"/>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nsid w:val="366B7772"/>
    <w:multiLevelType w:val="hybridMultilevel"/>
    <w:tmpl w:val="68A4CAFE"/>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5">
    <w:nsid w:val="372414E3"/>
    <w:multiLevelType w:val="hybridMultilevel"/>
    <w:tmpl w:val="F80684A4"/>
    <w:lvl w:ilvl="0" w:tplc="04090009">
      <w:start w:val="1"/>
      <w:numFmt w:val="bullet"/>
      <w:lvlText w:val=""/>
      <w:lvlJc w:val="left"/>
      <w:pPr>
        <w:ind w:left="720" w:hanging="360"/>
      </w:pPr>
      <w:rPr>
        <w:rFonts w:ascii="Wingdings" w:hAnsi="Wingdings" w:hint="default"/>
        <w:color w:val="596984"/>
        <w:sz w:val="2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375B5F94"/>
    <w:multiLevelType w:val="hybridMultilevel"/>
    <w:tmpl w:val="FDC4EE90"/>
    <w:lvl w:ilvl="0" w:tplc="0409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57">
    <w:nsid w:val="3789487B"/>
    <w:multiLevelType w:val="hybridMultilevel"/>
    <w:tmpl w:val="9A7642D2"/>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8">
    <w:nsid w:val="3BA84D32"/>
    <w:multiLevelType w:val="hybridMultilevel"/>
    <w:tmpl w:val="7004BD26"/>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9">
    <w:nsid w:val="3BD50B1E"/>
    <w:multiLevelType w:val="hybridMultilevel"/>
    <w:tmpl w:val="750606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C0E1B2B"/>
    <w:multiLevelType w:val="hybridMultilevel"/>
    <w:tmpl w:val="ECB213C2"/>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72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nsid w:val="3C5D7479"/>
    <w:multiLevelType w:val="hybridMultilevel"/>
    <w:tmpl w:val="34B2EF8A"/>
    <w:lvl w:ilvl="0" w:tplc="04180001">
      <w:start w:val="1"/>
      <w:numFmt w:val="bullet"/>
      <w:lvlText w:val=""/>
      <w:lvlJc w:val="left"/>
      <w:pPr>
        <w:ind w:left="1485" w:hanging="360"/>
      </w:pPr>
      <w:rPr>
        <w:rFonts w:ascii="Symbol" w:hAnsi="Symbol" w:hint="default"/>
      </w:rPr>
    </w:lvl>
    <w:lvl w:ilvl="1" w:tplc="04180003" w:tentative="1">
      <w:start w:val="1"/>
      <w:numFmt w:val="bullet"/>
      <w:lvlText w:val="o"/>
      <w:lvlJc w:val="left"/>
      <w:pPr>
        <w:ind w:left="2205" w:hanging="360"/>
      </w:pPr>
      <w:rPr>
        <w:rFonts w:ascii="Courier New" w:hAnsi="Courier New" w:cs="Courier New" w:hint="default"/>
      </w:rPr>
    </w:lvl>
    <w:lvl w:ilvl="2" w:tplc="04180005" w:tentative="1">
      <w:start w:val="1"/>
      <w:numFmt w:val="bullet"/>
      <w:lvlText w:val=""/>
      <w:lvlJc w:val="left"/>
      <w:pPr>
        <w:ind w:left="2925" w:hanging="360"/>
      </w:pPr>
      <w:rPr>
        <w:rFonts w:ascii="Wingdings" w:hAnsi="Wingdings" w:hint="default"/>
      </w:rPr>
    </w:lvl>
    <w:lvl w:ilvl="3" w:tplc="04180001" w:tentative="1">
      <w:start w:val="1"/>
      <w:numFmt w:val="bullet"/>
      <w:lvlText w:val=""/>
      <w:lvlJc w:val="left"/>
      <w:pPr>
        <w:ind w:left="3645" w:hanging="360"/>
      </w:pPr>
      <w:rPr>
        <w:rFonts w:ascii="Symbol" w:hAnsi="Symbol" w:hint="default"/>
      </w:rPr>
    </w:lvl>
    <w:lvl w:ilvl="4" w:tplc="04180003" w:tentative="1">
      <w:start w:val="1"/>
      <w:numFmt w:val="bullet"/>
      <w:lvlText w:val="o"/>
      <w:lvlJc w:val="left"/>
      <w:pPr>
        <w:ind w:left="4365" w:hanging="360"/>
      </w:pPr>
      <w:rPr>
        <w:rFonts w:ascii="Courier New" w:hAnsi="Courier New" w:cs="Courier New" w:hint="default"/>
      </w:rPr>
    </w:lvl>
    <w:lvl w:ilvl="5" w:tplc="04180005" w:tentative="1">
      <w:start w:val="1"/>
      <w:numFmt w:val="bullet"/>
      <w:lvlText w:val=""/>
      <w:lvlJc w:val="left"/>
      <w:pPr>
        <w:ind w:left="5085" w:hanging="360"/>
      </w:pPr>
      <w:rPr>
        <w:rFonts w:ascii="Wingdings" w:hAnsi="Wingdings" w:hint="default"/>
      </w:rPr>
    </w:lvl>
    <w:lvl w:ilvl="6" w:tplc="04180001" w:tentative="1">
      <w:start w:val="1"/>
      <w:numFmt w:val="bullet"/>
      <w:lvlText w:val=""/>
      <w:lvlJc w:val="left"/>
      <w:pPr>
        <w:ind w:left="5805" w:hanging="360"/>
      </w:pPr>
      <w:rPr>
        <w:rFonts w:ascii="Symbol" w:hAnsi="Symbol" w:hint="default"/>
      </w:rPr>
    </w:lvl>
    <w:lvl w:ilvl="7" w:tplc="04180003" w:tentative="1">
      <w:start w:val="1"/>
      <w:numFmt w:val="bullet"/>
      <w:lvlText w:val="o"/>
      <w:lvlJc w:val="left"/>
      <w:pPr>
        <w:ind w:left="6525" w:hanging="360"/>
      </w:pPr>
      <w:rPr>
        <w:rFonts w:ascii="Courier New" w:hAnsi="Courier New" w:cs="Courier New" w:hint="default"/>
      </w:rPr>
    </w:lvl>
    <w:lvl w:ilvl="8" w:tplc="04180005" w:tentative="1">
      <w:start w:val="1"/>
      <w:numFmt w:val="bullet"/>
      <w:lvlText w:val=""/>
      <w:lvlJc w:val="left"/>
      <w:pPr>
        <w:ind w:left="7245" w:hanging="360"/>
      </w:pPr>
      <w:rPr>
        <w:rFonts w:ascii="Wingdings" w:hAnsi="Wingdings" w:hint="default"/>
      </w:rPr>
    </w:lvl>
  </w:abstractNum>
  <w:abstractNum w:abstractNumId="62">
    <w:nsid w:val="3EDD74D3"/>
    <w:multiLevelType w:val="hybridMultilevel"/>
    <w:tmpl w:val="40B0F776"/>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3">
    <w:nsid w:val="3F893904"/>
    <w:multiLevelType w:val="hybridMultilevel"/>
    <w:tmpl w:val="108074A6"/>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4">
    <w:nsid w:val="418836E9"/>
    <w:multiLevelType w:val="hybridMultilevel"/>
    <w:tmpl w:val="3540520A"/>
    <w:lvl w:ilvl="0" w:tplc="0409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65">
    <w:nsid w:val="451B6EA4"/>
    <w:multiLevelType w:val="hybridMultilevel"/>
    <w:tmpl w:val="A82E9F06"/>
    <w:lvl w:ilvl="0" w:tplc="04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6">
    <w:nsid w:val="45807A72"/>
    <w:multiLevelType w:val="hybridMultilevel"/>
    <w:tmpl w:val="706C4A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6894128"/>
    <w:multiLevelType w:val="hybridMultilevel"/>
    <w:tmpl w:val="051A2B60"/>
    <w:lvl w:ilvl="0" w:tplc="19E4A762">
      <w:start w:val="1"/>
      <w:numFmt w:val="bullet"/>
      <w:lvlText w:val="-"/>
      <w:lvlJc w:val="left"/>
      <w:pPr>
        <w:tabs>
          <w:tab w:val="num" w:pos="1800"/>
        </w:tabs>
        <w:ind w:left="1800" w:hanging="360"/>
      </w:pPr>
      <w:rPr>
        <w:rFonts w:ascii="Arial" w:eastAsia="SimSun" w:hAnsi="Arial" w:cs="Aria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68">
    <w:nsid w:val="497A1650"/>
    <w:multiLevelType w:val="hybridMultilevel"/>
    <w:tmpl w:val="631EDCAA"/>
    <w:lvl w:ilvl="0" w:tplc="0409000B">
      <w:start w:val="1"/>
      <w:numFmt w:val="bullet"/>
      <w:lvlText w:val=""/>
      <w:lvlJc w:val="left"/>
      <w:pPr>
        <w:tabs>
          <w:tab w:val="num" w:pos="720"/>
        </w:tabs>
        <w:ind w:left="720" w:hanging="360"/>
      </w:pPr>
      <w:rPr>
        <w:rFonts w:ascii="Wingdings" w:hAnsi="Wingdings" w:hint="default"/>
      </w:rPr>
    </w:lvl>
    <w:lvl w:ilvl="1" w:tplc="FB5EDC08" w:tentative="1">
      <w:start w:val="1"/>
      <w:numFmt w:val="bullet"/>
      <w:lvlText w:val="•"/>
      <w:lvlJc w:val="left"/>
      <w:pPr>
        <w:tabs>
          <w:tab w:val="num" w:pos="1440"/>
        </w:tabs>
        <w:ind w:left="1440" w:hanging="360"/>
      </w:pPr>
      <w:rPr>
        <w:rFonts w:ascii="Arial" w:hAnsi="Arial" w:hint="default"/>
      </w:rPr>
    </w:lvl>
    <w:lvl w:ilvl="2" w:tplc="BF92CD72" w:tentative="1">
      <w:start w:val="1"/>
      <w:numFmt w:val="bullet"/>
      <w:lvlText w:val="•"/>
      <w:lvlJc w:val="left"/>
      <w:pPr>
        <w:tabs>
          <w:tab w:val="num" w:pos="2160"/>
        </w:tabs>
        <w:ind w:left="2160" w:hanging="360"/>
      </w:pPr>
      <w:rPr>
        <w:rFonts w:ascii="Arial" w:hAnsi="Arial" w:hint="default"/>
      </w:rPr>
    </w:lvl>
    <w:lvl w:ilvl="3" w:tplc="1DBC2A22" w:tentative="1">
      <w:start w:val="1"/>
      <w:numFmt w:val="bullet"/>
      <w:lvlText w:val="•"/>
      <w:lvlJc w:val="left"/>
      <w:pPr>
        <w:tabs>
          <w:tab w:val="num" w:pos="2880"/>
        </w:tabs>
        <w:ind w:left="2880" w:hanging="360"/>
      </w:pPr>
      <w:rPr>
        <w:rFonts w:ascii="Arial" w:hAnsi="Arial" w:hint="default"/>
      </w:rPr>
    </w:lvl>
    <w:lvl w:ilvl="4" w:tplc="B3BE1BE4" w:tentative="1">
      <w:start w:val="1"/>
      <w:numFmt w:val="bullet"/>
      <w:lvlText w:val="•"/>
      <w:lvlJc w:val="left"/>
      <w:pPr>
        <w:tabs>
          <w:tab w:val="num" w:pos="3600"/>
        </w:tabs>
        <w:ind w:left="3600" w:hanging="360"/>
      </w:pPr>
      <w:rPr>
        <w:rFonts w:ascii="Arial" w:hAnsi="Arial" w:hint="default"/>
      </w:rPr>
    </w:lvl>
    <w:lvl w:ilvl="5" w:tplc="73424386" w:tentative="1">
      <w:start w:val="1"/>
      <w:numFmt w:val="bullet"/>
      <w:lvlText w:val="•"/>
      <w:lvlJc w:val="left"/>
      <w:pPr>
        <w:tabs>
          <w:tab w:val="num" w:pos="4320"/>
        </w:tabs>
        <w:ind w:left="4320" w:hanging="360"/>
      </w:pPr>
      <w:rPr>
        <w:rFonts w:ascii="Arial" w:hAnsi="Arial" w:hint="default"/>
      </w:rPr>
    </w:lvl>
    <w:lvl w:ilvl="6" w:tplc="C0202E24" w:tentative="1">
      <w:start w:val="1"/>
      <w:numFmt w:val="bullet"/>
      <w:lvlText w:val="•"/>
      <w:lvlJc w:val="left"/>
      <w:pPr>
        <w:tabs>
          <w:tab w:val="num" w:pos="5040"/>
        </w:tabs>
        <w:ind w:left="5040" w:hanging="360"/>
      </w:pPr>
      <w:rPr>
        <w:rFonts w:ascii="Arial" w:hAnsi="Arial" w:hint="default"/>
      </w:rPr>
    </w:lvl>
    <w:lvl w:ilvl="7" w:tplc="8D42A954" w:tentative="1">
      <w:start w:val="1"/>
      <w:numFmt w:val="bullet"/>
      <w:lvlText w:val="•"/>
      <w:lvlJc w:val="left"/>
      <w:pPr>
        <w:tabs>
          <w:tab w:val="num" w:pos="5760"/>
        </w:tabs>
        <w:ind w:left="5760" w:hanging="360"/>
      </w:pPr>
      <w:rPr>
        <w:rFonts w:ascii="Arial" w:hAnsi="Arial" w:hint="default"/>
      </w:rPr>
    </w:lvl>
    <w:lvl w:ilvl="8" w:tplc="762AC594" w:tentative="1">
      <w:start w:val="1"/>
      <w:numFmt w:val="bullet"/>
      <w:lvlText w:val="•"/>
      <w:lvlJc w:val="left"/>
      <w:pPr>
        <w:tabs>
          <w:tab w:val="num" w:pos="6480"/>
        </w:tabs>
        <w:ind w:left="6480" w:hanging="360"/>
      </w:pPr>
      <w:rPr>
        <w:rFonts w:ascii="Arial" w:hAnsi="Arial" w:hint="default"/>
      </w:rPr>
    </w:lvl>
  </w:abstractNum>
  <w:abstractNum w:abstractNumId="69">
    <w:nsid w:val="4B554BCA"/>
    <w:multiLevelType w:val="hybridMultilevel"/>
    <w:tmpl w:val="9AC6041C"/>
    <w:lvl w:ilvl="0" w:tplc="197283EC">
      <w:start w:val="1"/>
      <w:numFmt w:val="bullet"/>
      <w:lvlText w:val=""/>
      <w:lvlJc w:val="left"/>
      <w:pPr>
        <w:tabs>
          <w:tab w:val="num" w:pos="720"/>
        </w:tabs>
        <w:ind w:left="720" w:hanging="360"/>
      </w:pPr>
      <w:rPr>
        <w:rFonts w:ascii="Wingdings" w:hAnsi="Wingdings" w:hint="default"/>
      </w:rPr>
    </w:lvl>
    <w:lvl w:ilvl="1" w:tplc="6FBA9DC4">
      <w:start w:val="1"/>
      <w:numFmt w:val="bullet"/>
      <w:lvlText w:val=""/>
      <w:lvlJc w:val="left"/>
      <w:pPr>
        <w:tabs>
          <w:tab w:val="num" w:pos="1440"/>
        </w:tabs>
        <w:ind w:left="1440" w:hanging="360"/>
      </w:pPr>
      <w:rPr>
        <w:rFonts w:ascii="Wingdings" w:hAnsi="Wingdings" w:hint="default"/>
      </w:rPr>
    </w:lvl>
    <w:lvl w:ilvl="2" w:tplc="FCD40D28" w:tentative="1">
      <w:start w:val="1"/>
      <w:numFmt w:val="bullet"/>
      <w:lvlText w:val=""/>
      <w:lvlJc w:val="left"/>
      <w:pPr>
        <w:tabs>
          <w:tab w:val="num" w:pos="2160"/>
        </w:tabs>
        <w:ind w:left="2160" w:hanging="360"/>
      </w:pPr>
      <w:rPr>
        <w:rFonts w:ascii="Wingdings" w:hAnsi="Wingdings" w:hint="default"/>
      </w:rPr>
    </w:lvl>
    <w:lvl w:ilvl="3" w:tplc="3CAAB9DE" w:tentative="1">
      <w:start w:val="1"/>
      <w:numFmt w:val="bullet"/>
      <w:lvlText w:val=""/>
      <w:lvlJc w:val="left"/>
      <w:pPr>
        <w:tabs>
          <w:tab w:val="num" w:pos="2880"/>
        </w:tabs>
        <w:ind w:left="2880" w:hanging="360"/>
      </w:pPr>
      <w:rPr>
        <w:rFonts w:ascii="Wingdings" w:hAnsi="Wingdings" w:hint="default"/>
      </w:rPr>
    </w:lvl>
    <w:lvl w:ilvl="4" w:tplc="0040DCDA" w:tentative="1">
      <w:start w:val="1"/>
      <w:numFmt w:val="bullet"/>
      <w:lvlText w:val=""/>
      <w:lvlJc w:val="left"/>
      <w:pPr>
        <w:tabs>
          <w:tab w:val="num" w:pos="3600"/>
        </w:tabs>
        <w:ind w:left="3600" w:hanging="360"/>
      </w:pPr>
      <w:rPr>
        <w:rFonts w:ascii="Wingdings" w:hAnsi="Wingdings" w:hint="default"/>
      </w:rPr>
    </w:lvl>
    <w:lvl w:ilvl="5" w:tplc="358206F4" w:tentative="1">
      <w:start w:val="1"/>
      <w:numFmt w:val="bullet"/>
      <w:lvlText w:val=""/>
      <w:lvlJc w:val="left"/>
      <w:pPr>
        <w:tabs>
          <w:tab w:val="num" w:pos="4320"/>
        </w:tabs>
        <w:ind w:left="4320" w:hanging="360"/>
      </w:pPr>
      <w:rPr>
        <w:rFonts w:ascii="Wingdings" w:hAnsi="Wingdings" w:hint="default"/>
      </w:rPr>
    </w:lvl>
    <w:lvl w:ilvl="6" w:tplc="26E6BD64" w:tentative="1">
      <w:start w:val="1"/>
      <w:numFmt w:val="bullet"/>
      <w:lvlText w:val=""/>
      <w:lvlJc w:val="left"/>
      <w:pPr>
        <w:tabs>
          <w:tab w:val="num" w:pos="5040"/>
        </w:tabs>
        <w:ind w:left="5040" w:hanging="360"/>
      </w:pPr>
      <w:rPr>
        <w:rFonts w:ascii="Wingdings" w:hAnsi="Wingdings" w:hint="default"/>
      </w:rPr>
    </w:lvl>
    <w:lvl w:ilvl="7" w:tplc="1E1C6838" w:tentative="1">
      <w:start w:val="1"/>
      <w:numFmt w:val="bullet"/>
      <w:lvlText w:val=""/>
      <w:lvlJc w:val="left"/>
      <w:pPr>
        <w:tabs>
          <w:tab w:val="num" w:pos="5760"/>
        </w:tabs>
        <w:ind w:left="5760" w:hanging="360"/>
      </w:pPr>
      <w:rPr>
        <w:rFonts w:ascii="Wingdings" w:hAnsi="Wingdings" w:hint="default"/>
      </w:rPr>
    </w:lvl>
    <w:lvl w:ilvl="8" w:tplc="B1C69298" w:tentative="1">
      <w:start w:val="1"/>
      <w:numFmt w:val="bullet"/>
      <w:lvlText w:val=""/>
      <w:lvlJc w:val="left"/>
      <w:pPr>
        <w:tabs>
          <w:tab w:val="num" w:pos="6480"/>
        </w:tabs>
        <w:ind w:left="6480" w:hanging="360"/>
      </w:pPr>
      <w:rPr>
        <w:rFonts w:ascii="Wingdings" w:hAnsi="Wingdings" w:hint="default"/>
      </w:rPr>
    </w:lvl>
  </w:abstractNum>
  <w:abstractNum w:abstractNumId="70">
    <w:nsid w:val="4B6934D9"/>
    <w:multiLevelType w:val="hybridMultilevel"/>
    <w:tmpl w:val="2AB26D04"/>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1">
    <w:nsid w:val="4C244A56"/>
    <w:multiLevelType w:val="hybridMultilevel"/>
    <w:tmpl w:val="1B7E05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4C371E30"/>
    <w:multiLevelType w:val="hybridMultilevel"/>
    <w:tmpl w:val="82380936"/>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3">
    <w:nsid w:val="4C6D3848"/>
    <w:multiLevelType w:val="hybridMultilevel"/>
    <w:tmpl w:val="C476888A"/>
    <w:lvl w:ilvl="0" w:tplc="0409000B">
      <w:start w:val="1"/>
      <w:numFmt w:val="bullet"/>
      <w:lvlText w:val=""/>
      <w:lvlJc w:val="left"/>
      <w:pPr>
        <w:tabs>
          <w:tab w:val="num" w:pos="720"/>
        </w:tabs>
        <w:ind w:left="720" w:hanging="360"/>
      </w:pPr>
      <w:rPr>
        <w:rFonts w:ascii="Wingdings" w:hAnsi="Wingdings" w:hint="default"/>
        <w:color w:val="000000"/>
      </w:rPr>
    </w:lvl>
    <w:lvl w:ilvl="1" w:tplc="7E04C064">
      <w:start w:val="1"/>
      <w:numFmt w:val="bullet"/>
      <w:lvlText w:val="•"/>
      <w:lvlJc w:val="left"/>
      <w:pPr>
        <w:tabs>
          <w:tab w:val="num" w:pos="1440"/>
        </w:tabs>
        <w:ind w:left="1440" w:hanging="360"/>
      </w:pPr>
      <w:rPr>
        <w:rFonts w:ascii="Arial" w:hAnsi="Arial" w:hint="default"/>
      </w:rPr>
    </w:lvl>
    <w:lvl w:ilvl="2" w:tplc="53BA8C96" w:tentative="1">
      <w:start w:val="1"/>
      <w:numFmt w:val="bullet"/>
      <w:lvlText w:val="•"/>
      <w:lvlJc w:val="left"/>
      <w:pPr>
        <w:tabs>
          <w:tab w:val="num" w:pos="2160"/>
        </w:tabs>
        <w:ind w:left="2160" w:hanging="360"/>
      </w:pPr>
      <w:rPr>
        <w:rFonts w:ascii="Arial" w:hAnsi="Arial" w:hint="default"/>
      </w:rPr>
    </w:lvl>
    <w:lvl w:ilvl="3" w:tplc="E462278C" w:tentative="1">
      <w:start w:val="1"/>
      <w:numFmt w:val="bullet"/>
      <w:lvlText w:val="•"/>
      <w:lvlJc w:val="left"/>
      <w:pPr>
        <w:tabs>
          <w:tab w:val="num" w:pos="2880"/>
        </w:tabs>
        <w:ind w:left="2880" w:hanging="360"/>
      </w:pPr>
      <w:rPr>
        <w:rFonts w:ascii="Arial" w:hAnsi="Arial" w:hint="default"/>
      </w:rPr>
    </w:lvl>
    <w:lvl w:ilvl="4" w:tplc="961091BC" w:tentative="1">
      <w:start w:val="1"/>
      <w:numFmt w:val="bullet"/>
      <w:lvlText w:val="•"/>
      <w:lvlJc w:val="left"/>
      <w:pPr>
        <w:tabs>
          <w:tab w:val="num" w:pos="3600"/>
        </w:tabs>
        <w:ind w:left="3600" w:hanging="360"/>
      </w:pPr>
      <w:rPr>
        <w:rFonts w:ascii="Arial" w:hAnsi="Arial" w:hint="default"/>
      </w:rPr>
    </w:lvl>
    <w:lvl w:ilvl="5" w:tplc="5786479A" w:tentative="1">
      <w:start w:val="1"/>
      <w:numFmt w:val="bullet"/>
      <w:lvlText w:val="•"/>
      <w:lvlJc w:val="left"/>
      <w:pPr>
        <w:tabs>
          <w:tab w:val="num" w:pos="4320"/>
        </w:tabs>
        <w:ind w:left="4320" w:hanging="360"/>
      </w:pPr>
      <w:rPr>
        <w:rFonts w:ascii="Arial" w:hAnsi="Arial" w:hint="default"/>
      </w:rPr>
    </w:lvl>
    <w:lvl w:ilvl="6" w:tplc="639023EE" w:tentative="1">
      <w:start w:val="1"/>
      <w:numFmt w:val="bullet"/>
      <w:lvlText w:val="•"/>
      <w:lvlJc w:val="left"/>
      <w:pPr>
        <w:tabs>
          <w:tab w:val="num" w:pos="5040"/>
        </w:tabs>
        <w:ind w:left="5040" w:hanging="360"/>
      </w:pPr>
      <w:rPr>
        <w:rFonts w:ascii="Arial" w:hAnsi="Arial" w:hint="default"/>
      </w:rPr>
    </w:lvl>
    <w:lvl w:ilvl="7" w:tplc="DC1E1F2C" w:tentative="1">
      <w:start w:val="1"/>
      <w:numFmt w:val="bullet"/>
      <w:lvlText w:val="•"/>
      <w:lvlJc w:val="left"/>
      <w:pPr>
        <w:tabs>
          <w:tab w:val="num" w:pos="5760"/>
        </w:tabs>
        <w:ind w:left="5760" w:hanging="360"/>
      </w:pPr>
      <w:rPr>
        <w:rFonts w:ascii="Arial" w:hAnsi="Arial" w:hint="default"/>
      </w:rPr>
    </w:lvl>
    <w:lvl w:ilvl="8" w:tplc="4426D69E" w:tentative="1">
      <w:start w:val="1"/>
      <w:numFmt w:val="bullet"/>
      <w:lvlText w:val="•"/>
      <w:lvlJc w:val="left"/>
      <w:pPr>
        <w:tabs>
          <w:tab w:val="num" w:pos="6480"/>
        </w:tabs>
        <w:ind w:left="6480" w:hanging="360"/>
      </w:pPr>
      <w:rPr>
        <w:rFonts w:ascii="Arial" w:hAnsi="Arial" w:hint="default"/>
      </w:rPr>
    </w:lvl>
  </w:abstractNum>
  <w:abstractNum w:abstractNumId="74">
    <w:nsid w:val="4E027621"/>
    <w:multiLevelType w:val="hybridMultilevel"/>
    <w:tmpl w:val="505AFE88"/>
    <w:lvl w:ilvl="0" w:tplc="0409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75">
    <w:nsid w:val="4F6D552C"/>
    <w:multiLevelType w:val="hybridMultilevel"/>
    <w:tmpl w:val="8B7ECD28"/>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4F98368B"/>
    <w:multiLevelType w:val="hybridMultilevel"/>
    <w:tmpl w:val="45540E4E"/>
    <w:lvl w:ilvl="0" w:tplc="0409000B">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77">
    <w:nsid w:val="530F3E0B"/>
    <w:multiLevelType w:val="hybridMultilevel"/>
    <w:tmpl w:val="EB5256E4"/>
    <w:lvl w:ilvl="0" w:tplc="0409000B">
      <w:start w:val="1"/>
      <w:numFmt w:val="bullet"/>
      <w:lvlText w:val=""/>
      <w:lvlJc w:val="left"/>
      <w:pPr>
        <w:tabs>
          <w:tab w:val="num" w:pos="720"/>
        </w:tabs>
        <w:ind w:left="720" w:hanging="360"/>
      </w:pPr>
      <w:rPr>
        <w:rFonts w:ascii="Wingdings" w:hAnsi="Wingdings" w:hint="default"/>
      </w:rPr>
    </w:lvl>
    <w:lvl w:ilvl="1" w:tplc="1E7CF040" w:tentative="1">
      <w:start w:val="1"/>
      <w:numFmt w:val="bullet"/>
      <w:lvlText w:val="•"/>
      <w:lvlJc w:val="left"/>
      <w:pPr>
        <w:tabs>
          <w:tab w:val="num" w:pos="1440"/>
        </w:tabs>
        <w:ind w:left="1440" w:hanging="360"/>
      </w:pPr>
      <w:rPr>
        <w:rFonts w:ascii="Arial" w:hAnsi="Arial" w:hint="default"/>
      </w:rPr>
    </w:lvl>
    <w:lvl w:ilvl="2" w:tplc="4EEC3984" w:tentative="1">
      <w:start w:val="1"/>
      <w:numFmt w:val="bullet"/>
      <w:lvlText w:val="•"/>
      <w:lvlJc w:val="left"/>
      <w:pPr>
        <w:tabs>
          <w:tab w:val="num" w:pos="2160"/>
        </w:tabs>
        <w:ind w:left="2160" w:hanging="360"/>
      </w:pPr>
      <w:rPr>
        <w:rFonts w:ascii="Arial" w:hAnsi="Arial" w:hint="default"/>
      </w:rPr>
    </w:lvl>
    <w:lvl w:ilvl="3" w:tplc="FC34F008" w:tentative="1">
      <w:start w:val="1"/>
      <w:numFmt w:val="bullet"/>
      <w:lvlText w:val="•"/>
      <w:lvlJc w:val="left"/>
      <w:pPr>
        <w:tabs>
          <w:tab w:val="num" w:pos="2880"/>
        </w:tabs>
        <w:ind w:left="2880" w:hanging="360"/>
      </w:pPr>
      <w:rPr>
        <w:rFonts w:ascii="Arial" w:hAnsi="Arial" w:hint="default"/>
      </w:rPr>
    </w:lvl>
    <w:lvl w:ilvl="4" w:tplc="FA1A5F92" w:tentative="1">
      <w:start w:val="1"/>
      <w:numFmt w:val="bullet"/>
      <w:lvlText w:val="•"/>
      <w:lvlJc w:val="left"/>
      <w:pPr>
        <w:tabs>
          <w:tab w:val="num" w:pos="3600"/>
        </w:tabs>
        <w:ind w:left="3600" w:hanging="360"/>
      </w:pPr>
      <w:rPr>
        <w:rFonts w:ascii="Arial" w:hAnsi="Arial" w:hint="default"/>
      </w:rPr>
    </w:lvl>
    <w:lvl w:ilvl="5" w:tplc="B7282736" w:tentative="1">
      <w:start w:val="1"/>
      <w:numFmt w:val="bullet"/>
      <w:lvlText w:val="•"/>
      <w:lvlJc w:val="left"/>
      <w:pPr>
        <w:tabs>
          <w:tab w:val="num" w:pos="4320"/>
        </w:tabs>
        <w:ind w:left="4320" w:hanging="360"/>
      </w:pPr>
      <w:rPr>
        <w:rFonts w:ascii="Arial" w:hAnsi="Arial" w:hint="default"/>
      </w:rPr>
    </w:lvl>
    <w:lvl w:ilvl="6" w:tplc="A4EC80C2" w:tentative="1">
      <w:start w:val="1"/>
      <w:numFmt w:val="bullet"/>
      <w:lvlText w:val="•"/>
      <w:lvlJc w:val="left"/>
      <w:pPr>
        <w:tabs>
          <w:tab w:val="num" w:pos="5040"/>
        </w:tabs>
        <w:ind w:left="5040" w:hanging="360"/>
      </w:pPr>
      <w:rPr>
        <w:rFonts w:ascii="Arial" w:hAnsi="Arial" w:hint="default"/>
      </w:rPr>
    </w:lvl>
    <w:lvl w:ilvl="7" w:tplc="FCD0635A" w:tentative="1">
      <w:start w:val="1"/>
      <w:numFmt w:val="bullet"/>
      <w:lvlText w:val="•"/>
      <w:lvlJc w:val="left"/>
      <w:pPr>
        <w:tabs>
          <w:tab w:val="num" w:pos="5760"/>
        </w:tabs>
        <w:ind w:left="5760" w:hanging="360"/>
      </w:pPr>
      <w:rPr>
        <w:rFonts w:ascii="Arial" w:hAnsi="Arial" w:hint="default"/>
      </w:rPr>
    </w:lvl>
    <w:lvl w:ilvl="8" w:tplc="CD223E5E" w:tentative="1">
      <w:start w:val="1"/>
      <w:numFmt w:val="bullet"/>
      <w:lvlText w:val="•"/>
      <w:lvlJc w:val="left"/>
      <w:pPr>
        <w:tabs>
          <w:tab w:val="num" w:pos="6480"/>
        </w:tabs>
        <w:ind w:left="6480" w:hanging="360"/>
      </w:pPr>
      <w:rPr>
        <w:rFonts w:ascii="Arial" w:hAnsi="Arial" w:hint="default"/>
      </w:rPr>
    </w:lvl>
  </w:abstractNum>
  <w:abstractNum w:abstractNumId="78">
    <w:nsid w:val="539716A4"/>
    <w:multiLevelType w:val="hybridMultilevel"/>
    <w:tmpl w:val="746A96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53983951"/>
    <w:multiLevelType w:val="hybridMultilevel"/>
    <w:tmpl w:val="3594DC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53F46F9B"/>
    <w:multiLevelType w:val="hybridMultilevel"/>
    <w:tmpl w:val="D3BEBD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54592AB2"/>
    <w:multiLevelType w:val="multilevel"/>
    <w:tmpl w:val="2DE29438"/>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2">
    <w:nsid w:val="55724A37"/>
    <w:multiLevelType w:val="hybridMultilevel"/>
    <w:tmpl w:val="DD42E224"/>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3">
    <w:nsid w:val="55BF5404"/>
    <w:multiLevelType w:val="hybridMultilevel"/>
    <w:tmpl w:val="BEF41C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57D97362"/>
    <w:multiLevelType w:val="hybridMultilevel"/>
    <w:tmpl w:val="68DAF62A"/>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5">
    <w:nsid w:val="581907CA"/>
    <w:multiLevelType w:val="hybridMultilevel"/>
    <w:tmpl w:val="2048CB92"/>
    <w:lvl w:ilvl="0" w:tplc="0409000B">
      <w:start w:val="1"/>
      <w:numFmt w:val="bullet"/>
      <w:lvlText w:val=""/>
      <w:lvlJc w:val="left"/>
      <w:pPr>
        <w:tabs>
          <w:tab w:val="num" w:pos="720"/>
        </w:tabs>
        <w:ind w:left="720" w:hanging="360"/>
      </w:pPr>
      <w:rPr>
        <w:rFonts w:ascii="Wingdings" w:hAnsi="Wingdings" w:hint="default"/>
      </w:rPr>
    </w:lvl>
    <w:lvl w:ilvl="1" w:tplc="C8B099FC" w:tentative="1">
      <w:start w:val="1"/>
      <w:numFmt w:val="bullet"/>
      <w:lvlText w:val="•"/>
      <w:lvlJc w:val="left"/>
      <w:pPr>
        <w:tabs>
          <w:tab w:val="num" w:pos="1440"/>
        </w:tabs>
        <w:ind w:left="1440" w:hanging="360"/>
      </w:pPr>
      <w:rPr>
        <w:rFonts w:ascii="Arial" w:hAnsi="Arial" w:hint="default"/>
      </w:rPr>
    </w:lvl>
    <w:lvl w:ilvl="2" w:tplc="C28ACDFA" w:tentative="1">
      <w:start w:val="1"/>
      <w:numFmt w:val="bullet"/>
      <w:lvlText w:val="•"/>
      <w:lvlJc w:val="left"/>
      <w:pPr>
        <w:tabs>
          <w:tab w:val="num" w:pos="2160"/>
        </w:tabs>
        <w:ind w:left="2160" w:hanging="360"/>
      </w:pPr>
      <w:rPr>
        <w:rFonts w:ascii="Arial" w:hAnsi="Arial" w:hint="default"/>
      </w:rPr>
    </w:lvl>
    <w:lvl w:ilvl="3" w:tplc="6BFAE24A" w:tentative="1">
      <w:start w:val="1"/>
      <w:numFmt w:val="bullet"/>
      <w:lvlText w:val="•"/>
      <w:lvlJc w:val="left"/>
      <w:pPr>
        <w:tabs>
          <w:tab w:val="num" w:pos="2880"/>
        </w:tabs>
        <w:ind w:left="2880" w:hanging="360"/>
      </w:pPr>
      <w:rPr>
        <w:rFonts w:ascii="Arial" w:hAnsi="Arial" w:hint="default"/>
      </w:rPr>
    </w:lvl>
    <w:lvl w:ilvl="4" w:tplc="CA5241C8" w:tentative="1">
      <w:start w:val="1"/>
      <w:numFmt w:val="bullet"/>
      <w:lvlText w:val="•"/>
      <w:lvlJc w:val="left"/>
      <w:pPr>
        <w:tabs>
          <w:tab w:val="num" w:pos="3600"/>
        </w:tabs>
        <w:ind w:left="3600" w:hanging="360"/>
      </w:pPr>
      <w:rPr>
        <w:rFonts w:ascii="Arial" w:hAnsi="Arial" w:hint="default"/>
      </w:rPr>
    </w:lvl>
    <w:lvl w:ilvl="5" w:tplc="09266F48" w:tentative="1">
      <w:start w:val="1"/>
      <w:numFmt w:val="bullet"/>
      <w:lvlText w:val="•"/>
      <w:lvlJc w:val="left"/>
      <w:pPr>
        <w:tabs>
          <w:tab w:val="num" w:pos="4320"/>
        </w:tabs>
        <w:ind w:left="4320" w:hanging="360"/>
      </w:pPr>
      <w:rPr>
        <w:rFonts w:ascii="Arial" w:hAnsi="Arial" w:hint="default"/>
      </w:rPr>
    </w:lvl>
    <w:lvl w:ilvl="6" w:tplc="BC9E9DB2" w:tentative="1">
      <w:start w:val="1"/>
      <w:numFmt w:val="bullet"/>
      <w:lvlText w:val="•"/>
      <w:lvlJc w:val="left"/>
      <w:pPr>
        <w:tabs>
          <w:tab w:val="num" w:pos="5040"/>
        </w:tabs>
        <w:ind w:left="5040" w:hanging="360"/>
      </w:pPr>
      <w:rPr>
        <w:rFonts w:ascii="Arial" w:hAnsi="Arial" w:hint="default"/>
      </w:rPr>
    </w:lvl>
    <w:lvl w:ilvl="7" w:tplc="4A98F788" w:tentative="1">
      <w:start w:val="1"/>
      <w:numFmt w:val="bullet"/>
      <w:lvlText w:val="•"/>
      <w:lvlJc w:val="left"/>
      <w:pPr>
        <w:tabs>
          <w:tab w:val="num" w:pos="5760"/>
        </w:tabs>
        <w:ind w:left="5760" w:hanging="360"/>
      </w:pPr>
      <w:rPr>
        <w:rFonts w:ascii="Arial" w:hAnsi="Arial" w:hint="default"/>
      </w:rPr>
    </w:lvl>
    <w:lvl w:ilvl="8" w:tplc="CA56B94E" w:tentative="1">
      <w:start w:val="1"/>
      <w:numFmt w:val="bullet"/>
      <w:lvlText w:val="•"/>
      <w:lvlJc w:val="left"/>
      <w:pPr>
        <w:tabs>
          <w:tab w:val="num" w:pos="6480"/>
        </w:tabs>
        <w:ind w:left="6480" w:hanging="360"/>
      </w:pPr>
      <w:rPr>
        <w:rFonts w:ascii="Arial" w:hAnsi="Arial" w:hint="default"/>
      </w:rPr>
    </w:lvl>
  </w:abstractNum>
  <w:abstractNum w:abstractNumId="86">
    <w:nsid w:val="5A7D2C7D"/>
    <w:multiLevelType w:val="hybridMultilevel"/>
    <w:tmpl w:val="C6684080"/>
    <w:lvl w:ilvl="0" w:tplc="CFF46532">
      <w:start w:val="1"/>
      <w:numFmt w:val="bullet"/>
      <w:lvlText w:val=""/>
      <w:lvlPicBulletId w:val="0"/>
      <w:lvlJc w:val="left"/>
      <w:pPr>
        <w:tabs>
          <w:tab w:val="num" w:pos="1080"/>
        </w:tabs>
        <w:ind w:left="1080" w:hanging="360"/>
      </w:pPr>
      <w:rPr>
        <w:rFonts w:ascii="Symbol" w:hAnsi="Symbol" w:hint="default"/>
        <w:color w:val="auto"/>
      </w:rPr>
    </w:lvl>
    <w:lvl w:ilvl="1" w:tplc="0418000B">
      <w:start w:val="1"/>
      <w:numFmt w:val="bullet"/>
      <w:lvlText w:val=""/>
      <w:lvlJc w:val="left"/>
      <w:pPr>
        <w:tabs>
          <w:tab w:val="num" w:pos="540"/>
        </w:tabs>
        <w:ind w:left="540" w:hanging="360"/>
      </w:pPr>
      <w:rPr>
        <w:rFonts w:ascii="Wingdings" w:hAnsi="Wingdings"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87">
    <w:nsid w:val="5A8E4C53"/>
    <w:multiLevelType w:val="hybridMultilevel"/>
    <w:tmpl w:val="ACFEF7C0"/>
    <w:lvl w:ilvl="0" w:tplc="232832B4">
      <w:start w:val="1"/>
      <w:numFmt w:val="bullet"/>
      <w:lvlText w:val="•"/>
      <w:lvlJc w:val="left"/>
      <w:pPr>
        <w:tabs>
          <w:tab w:val="num" w:pos="720"/>
        </w:tabs>
        <w:ind w:left="720" w:hanging="360"/>
      </w:pPr>
      <w:rPr>
        <w:rFonts w:ascii="Times New Roman" w:hAnsi="Times New Roman" w:hint="default"/>
      </w:rPr>
    </w:lvl>
    <w:lvl w:ilvl="1" w:tplc="9FC26402" w:tentative="1">
      <w:start w:val="1"/>
      <w:numFmt w:val="bullet"/>
      <w:lvlText w:val="•"/>
      <w:lvlJc w:val="left"/>
      <w:pPr>
        <w:tabs>
          <w:tab w:val="num" w:pos="1440"/>
        </w:tabs>
        <w:ind w:left="1440" w:hanging="360"/>
      </w:pPr>
      <w:rPr>
        <w:rFonts w:ascii="Times New Roman" w:hAnsi="Times New Roman" w:hint="default"/>
      </w:rPr>
    </w:lvl>
    <w:lvl w:ilvl="2" w:tplc="2ECC9884" w:tentative="1">
      <w:start w:val="1"/>
      <w:numFmt w:val="bullet"/>
      <w:lvlText w:val="•"/>
      <w:lvlJc w:val="left"/>
      <w:pPr>
        <w:tabs>
          <w:tab w:val="num" w:pos="2160"/>
        </w:tabs>
        <w:ind w:left="2160" w:hanging="360"/>
      </w:pPr>
      <w:rPr>
        <w:rFonts w:ascii="Times New Roman" w:hAnsi="Times New Roman" w:hint="default"/>
      </w:rPr>
    </w:lvl>
    <w:lvl w:ilvl="3" w:tplc="9140D16C" w:tentative="1">
      <w:start w:val="1"/>
      <w:numFmt w:val="bullet"/>
      <w:lvlText w:val="•"/>
      <w:lvlJc w:val="left"/>
      <w:pPr>
        <w:tabs>
          <w:tab w:val="num" w:pos="2880"/>
        </w:tabs>
        <w:ind w:left="2880" w:hanging="360"/>
      </w:pPr>
      <w:rPr>
        <w:rFonts w:ascii="Times New Roman" w:hAnsi="Times New Roman" w:hint="default"/>
      </w:rPr>
    </w:lvl>
    <w:lvl w:ilvl="4" w:tplc="D77E8B10" w:tentative="1">
      <w:start w:val="1"/>
      <w:numFmt w:val="bullet"/>
      <w:lvlText w:val="•"/>
      <w:lvlJc w:val="left"/>
      <w:pPr>
        <w:tabs>
          <w:tab w:val="num" w:pos="3600"/>
        </w:tabs>
        <w:ind w:left="3600" w:hanging="360"/>
      </w:pPr>
      <w:rPr>
        <w:rFonts w:ascii="Times New Roman" w:hAnsi="Times New Roman" w:hint="default"/>
      </w:rPr>
    </w:lvl>
    <w:lvl w:ilvl="5" w:tplc="725A7206" w:tentative="1">
      <w:start w:val="1"/>
      <w:numFmt w:val="bullet"/>
      <w:lvlText w:val="•"/>
      <w:lvlJc w:val="left"/>
      <w:pPr>
        <w:tabs>
          <w:tab w:val="num" w:pos="4320"/>
        </w:tabs>
        <w:ind w:left="4320" w:hanging="360"/>
      </w:pPr>
      <w:rPr>
        <w:rFonts w:ascii="Times New Roman" w:hAnsi="Times New Roman" w:hint="default"/>
      </w:rPr>
    </w:lvl>
    <w:lvl w:ilvl="6" w:tplc="EE4EAA4A" w:tentative="1">
      <w:start w:val="1"/>
      <w:numFmt w:val="bullet"/>
      <w:lvlText w:val="•"/>
      <w:lvlJc w:val="left"/>
      <w:pPr>
        <w:tabs>
          <w:tab w:val="num" w:pos="5040"/>
        </w:tabs>
        <w:ind w:left="5040" w:hanging="360"/>
      </w:pPr>
      <w:rPr>
        <w:rFonts w:ascii="Times New Roman" w:hAnsi="Times New Roman" w:hint="default"/>
      </w:rPr>
    </w:lvl>
    <w:lvl w:ilvl="7" w:tplc="5A76D03E" w:tentative="1">
      <w:start w:val="1"/>
      <w:numFmt w:val="bullet"/>
      <w:lvlText w:val="•"/>
      <w:lvlJc w:val="left"/>
      <w:pPr>
        <w:tabs>
          <w:tab w:val="num" w:pos="5760"/>
        </w:tabs>
        <w:ind w:left="5760" w:hanging="360"/>
      </w:pPr>
      <w:rPr>
        <w:rFonts w:ascii="Times New Roman" w:hAnsi="Times New Roman" w:hint="default"/>
      </w:rPr>
    </w:lvl>
    <w:lvl w:ilvl="8" w:tplc="5C16290E" w:tentative="1">
      <w:start w:val="1"/>
      <w:numFmt w:val="bullet"/>
      <w:lvlText w:val="•"/>
      <w:lvlJc w:val="left"/>
      <w:pPr>
        <w:tabs>
          <w:tab w:val="num" w:pos="6480"/>
        </w:tabs>
        <w:ind w:left="6480" w:hanging="360"/>
      </w:pPr>
      <w:rPr>
        <w:rFonts w:ascii="Times New Roman" w:hAnsi="Times New Roman" w:hint="default"/>
      </w:rPr>
    </w:lvl>
  </w:abstractNum>
  <w:abstractNum w:abstractNumId="88">
    <w:nsid w:val="5BC570F4"/>
    <w:multiLevelType w:val="hybridMultilevel"/>
    <w:tmpl w:val="14BCF4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DD46917"/>
    <w:multiLevelType w:val="hybridMultilevel"/>
    <w:tmpl w:val="E74047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nsid w:val="5E3678F8"/>
    <w:multiLevelType w:val="hybridMultilevel"/>
    <w:tmpl w:val="00C87208"/>
    <w:lvl w:ilvl="0" w:tplc="1BE6BA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nsid w:val="5ED7331F"/>
    <w:multiLevelType w:val="hybridMultilevel"/>
    <w:tmpl w:val="B45E1760"/>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2">
    <w:nsid w:val="5F5220B7"/>
    <w:multiLevelType w:val="hybridMultilevel"/>
    <w:tmpl w:val="85D23A04"/>
    <w:lvl w:ilvl="0" w:tplc="0409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93">
    <w:nsid w:val="61BB0812"/>
    <w:multiLevelType w:val="hybridMultilevel"/>
    <w:tmpl w:val="861C63A2"/>
    <w:lvl w:ilvl="0" w:tplc="0BA4F9AA">
      <w:start w:val="4"/>
      <w:numFmt w:val="bullet"/>
      <w:lvlText w:val="-"/>
      <w:lvlJc w:val="left"/>
      <w:pPr>
        <w:ind w:left="720" w:hanging="360"/>
      </w:pPr>
      <w:rPr>
        <w:rFonts w:ascii="Arial" w:eastAsia="Times New Roman" w:hAnsi="Arial" w:cs="Arial" w:hint="default"/>
        <w:sz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4">
    <w:nsid w:val="61FE18AF"/>
    <w:multiLevelType w:val="hybridMultilevel"/>
    <w:tmpl w:val="436846BE"/>
    <w:lvl w:ilvl="0" w:tplc="04090003">
      <w:start w:val="1"/>
      <w:numFmt w:val="bullet"/>
      <w:lvlText w:val="o"/>
      <w:lvlJc w:val="left"/>
      <w:pPr>
        <w:ind w:left="2160" w:hanging="360"/>
      </w:pPr>
      <w:rPr>
        <w:rFonts w:ascii="Courier New" w:hAnsi="Courier New" w:cs="Courier New"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95">
    <w:nsid w:val="63836C44"/>
    <w:multiLevelType w:val="multilevel"/>
    <w:tmpl w:val="BE3A68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Arial" w:eastAsia="Times New Roman" w:hAnsi="Arial" w:cs="Arial" w:hint="default"/>
      </w:rPr>
    </w:lvl>
    <w:lvl w:ilvl="2">
      <w:start w:val="10"/>
      <w:numFmt w:val="decimal"/>
      <w:lvlText w:val="%3"/>
      <w:lvlJc w:val="left"/>
      <w:pPr>
        <w:ind w:left="2505" w:hanging="7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638C3A85"/>
    <w:multiLevelType w:val="hybridMultilevel"/>
    <w:tmpl w:val="9112EABC"/>
    <w:lvl w:ilvl="0" w:tplc="04090001">
      <w:start w:val="1"/>
      <w:numFmt w:val="bullet"/>
      <w:lvlText w:val=""/>
      <w:lvlJc w:val="left"/>
      <w:pPr>
        <w:ind w:left="1800" w:hanging="360"/>
      </w:pPr>
      <w:rPr>
        <w:rFonts w:ascii="Symbol" w:hAnsi="Symbol" w:hint="default"/>
      </w:rPr>
    </w:lvl>
    <w:lvl w:ilvl="1" w:tplc="04180003" w:tentative="1">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97">
    <w:nsid w:val="64E74B08"/>
    <w:multiLevelType w:val="hybridMultilevel"/>
    <w:tmpl w:val="343C59A6"/>
    <w:lvl w:ilvl="0" w:tplc="0409000B">
      <w:start w:val="1"/>
      <w:numFmt w:val="bullet"/>
      <w:lvlText w:val=""/>
      <w:lvlJc w:val="left"/>
      <w:pPr>
        <w:ind w:left="1080" w:hanging="360"/>
      </w:pPr>
      <w:rPr>
        <w:rFonts w:ascii="Wingdings" w:hAnsi="Wingdings" w:hint="default"/>
      </w:rPr>
    </w:lvl>
    <w:lvl w:ilvl="1" w:tplc="B25E32DA">
      <w:start w:val="10"/>
      <w:numFmt w:val="bullet"/>
      <w:lvlText w:val="•"/>
      <w:lvlJc w:val="left"/>
      <w:pPr>
        <w:ind w:left="1800" w:hanging="360"/>
      </w:pPr>
      <w:rPr>
        <w:rFonts w:ascii="Arial" w:eastAsia="Times New Roman" w:hAnsi="Arial"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nsid w:val="656C2BBA"/>
    <w:multiLevelType w:val="hybridMultilevel"/>
    <w:tmpl w:val="5ED8E5D6"/>
    <w:lvl w:ilvl="0" w:tplc="0409000B">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99">
    <w:nsid w:val="66B20930"/>
    <w:multiLevelType w:val="hybridMultilevel"/>
    <w:tmpl w:val="55ECB9FE"/>
    <w:lvl w:ilvl="0" w:tplc="04090009">
      <w:start w:val="1"/>
      <w:numFmt w:val="bullet"/>
      <w:lvlText w:val=""/>
      <w:lvlJc w:val="left"/>
      <w:pPr>
        <w:ind w:left="720" w:hanging="360"/>
      </w:pPr>
      <w:rPr>
        <w:rFonts w:ascii="Wingdings" w:hAnsi="Wingdings" w:hint="default"/>
        <w:color w:val="596984"/>
        <w:sz w:val="2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nsid w:val="67BD1341"/>
    <w:multiLevelType w:val="hybridMultilevel"/>
    <w:tmpl w:val="C2C450D0"/>
    <w:lvl w:ilvl="0" w:tplc="D96EF5FC">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01">
    <w:nsid w:val="67E17AF5"/>
    <w:multiLevelType w:val="hybridMultilevel"/>
    <w:tmpl w:val="75C69A9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67F27AC1"/>
    <w:multiLevelType w:val="hybridMultilevel"/>
    <w:tmpl w:val="57B8C796"/>
    <w:lvl w:ilvl="0" w:tplc="04090003">
      <w:start w:val="1"/>
      <w:numFmt w:val="bullet"/>
      <w:lvlText w:val="o"/>
      <w:lvlJc w:val="left"/>
      <w:pPr>
        <w:ind w:left="2160" w:hanging="360"/>
      </w:pPr>
      <w:rPr>
        <w:rFonts w:ascii="Courier New" w:hAnsi="Courier New" w:cs="Courier New"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103">
    <w:nsid w:val="6828250B"/>
    <w:multiLevelType w:val="hybridMultilevel"/>
    <w:tmpl w:val="4EAEDCC6"/>
    <w:lvl w:ilvl="0" w:tplc="32C65EA4">
      <w:start w:val="1"/>
      <w:numFmt w:val="upperRoman"/>
      <w:lvlText w:val="%1."/>
      <w:lvlJc w:val="left"/>
      <w:pPr>
        <w:ind w:left="1080" w:hanging="720"/>
      </w:pPr>
      <w:rPr>
        <w:rFonts w:ascii="Arial" w:eastAsia="Times New Roman" w:hAnsi="Arial" w:hint="default"/>
        <w:b/>
        <w:sz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4">
    <w:nsid w:val="698E30CA"/>
    <w:multiLevelType w:val="hybridMultilevel"/>
    <w:tmpl w:val="DCE851E6"/>
    <w:lvl w:ilvl="0" w:tplc="0409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05">
    <w:nsid w:val="6B3470DB"/>
    <w:multiLevelType w:val="hybridMultilevel"/>
    <w:tmpl w:val="A4C4A08C"/>
    <w:lvl w:ilvl="0" w:tplc="04090003">
      <w:start w:val="1"/>
      <w:numFmt w:val="bullet"/>
      <w:lvlText w:val="o"/>
      <w:lvlJc w:val="left"/>
      <w:pPr>
        <w:ind w:left="2160" w:hanging="360"/>
      </w:pPr>
      <w:rPr>
        <w:rFonts w:ascii="Courier New" w:hAnsi="Courier New" w:cs="Courier New"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106">
    <w:nsid w:val="6BA038BC"/>
    <w:multiLevelType w:val="hybridMultilevel"/>
    <w:tmpl w:val="6C7A08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6BF14223"/>
    <w:multiLevelType w:val="multilevel"/>
    <w:tmpl w:val="F272B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6C5F3950"/>
    <w:multiLevelType w:val="hybridMultilevel"/>
    <w:tmpl w:val="FDDA5878"/>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9">
    <w:nsid w:val="6D082A56"/>
    <w:multiLevelType w:val="hybridMultilevel"/>
    <w:tmpl w:val="B09E3A40"/>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0">
    <w:nsid w:val="6D9F469B"/>
    <w:multiLevelType w:val="hybridMultilevel"/>
    <w:tmpl w:val="C6C87D94"/>
    <w:lvl w:ilvl="0" w:tplc="A6521FB0">
      <w:start w:val="1"/>
      <w:numFmt w:val="bullet"/>
      <w:lvlText w:val=""/>
      <w:lvlJc w:val="left"/>
      <w:pPr>
        <w:tabs>
          <w:tab w:val="num" w:pos="720"/>
        </w:tabs>
        <w:ind w:left="720" w:hanging="360"/>
      </w:pPr>
      <w:rPr>
        <w:rFonts w:ascii="Wingdings" w:hAnsi="Wingdings" w:hint="default"/>
      </w:rPr>
    </w:lvl>
    <w:lvl w:ilvl="1" w:tplc="0409000B">
      <w:start w:val="1"/>
      <w:numFmt w:val="bullet"/>
      <w:lvlText w:val=""/>
      <w:lvlJc w:val="left"/>
      <w:pPr>
        <w:tabs>
          <w:tab w:val="num" w:pos="1440"/>
        </w:tabs>
        <w:ind w:left="1440" w:hanging="360"/>
      </w:pPr>
      <w:rPr>
        <w:rFonts w:ascii="Wingdings" w:hAnsi="Wingdings" w:hint="default"/>
      </w:rPr>
    </w:lvl>
    <w:lvl w:ilvl="2" w:tplc="94505254" w:tentative="1">
      <w:start w:val="1"/>
      <w:numFmt w:val="bullet"/>
      <w:lvlText w:val=""/>
      <w:lvlJc w:val="left"/>
      <w:pPr>
        <w:tabs>
          <w:tab w:val="num" w:pos="2160"/>
        </w:tabs>
        <w:ind w:left="2160" w:hanging="360"/>
      </w:pPr>
      <w:rPr>
        <w:rFonts w:ascii="Wingdings" w:hAnsi="Wingdings" w:hint="default"/>
      </w:rPr>
    </w:lvl>
    <w:lvl w:ilvl="3" w:tplc="B226C9D6" w:tentative="1">
      <w:start w:val="1"/>
      <w:numFmt w:val="bullet"/>
      <w:lvlText w:val=""/>
      <w:lvlJc w:val="left"/>
      <w:pPr>
        <w:tabs>
          <w:tab w:val="num" w:pos="2880"/>
        </w:tabs>
        <w:ind w:left="2880" w:hanging="360"/>
      </w:pPr>
      <w:rPr>
        <w:rFonts w:ascii="Wingdings" w:hAnsi="Wingdings" w:hint="default"/>
      </w:rPr>
    </w:lvl>
    <w:lvl w:ilvl="4" w:tplc="BBDC5D76" w:tentative="1">
      <w:start w:val="1"/>
      <w:numFmt w:val="bullet"/>
      <w:lvlText w:val=""/>
      <w:lvlJc w:val="left"/>
      <w:pPr>
        <w:tabs>
          <w:tab w:val="num" w:pos="3600"/>
        </w:tabs>
        <w:ind w:left="3600" w:hanging="360"/>
      </w:pPr>
      <w:rPr>
        <w:rFonts w:ascii="Wingdings" w:hAnsi="Wingdings" w:hint="default"/>
      </w:rPr>
    </w:lvl>
    <w:lvl w:ilvl="5" w:tplc="FC32C41C" w:tentative="1">
      <w:start w:val="1"/>
      <w:numFmt w:val="bullet"/>
      <w:lvlText w:val=""/>
      <w:lvlJc w:val="left"/>
      <w:pPr>
        <w:tabs>
          <w:tab w:val="num" w:pos="4320"/>
        </w:tabs>
        <w:ind w:left="4320" w:hanging="360"/>
      </w:pPr>
      <w:rPr>
        <w:rFonts w:ascii="Wingdings" w:hAnsi="Wingdings" w:hint="default"/>
      </w:rPr>
    </w:lvl>
    <w:lvl w:ilvl="6" w:tplc="FC9C7CDC" w:tentative="1">
      <w:start w:val="1"/>
      <w:numFmt w:val="bullet"/>
      <w:lvlText w:val=""/>
      <w:lvlJc w:val="left"/>
      <w:pPr>
        <w:tabs>
          <w:tab w:val="num" w:pos="5040"/>
        </w:tabs>
        <w:ind w:left="5040" w:hanging="360"/>
      </w:pPr>
      <w:rPr>
        <w:rFonts w:ascii="Wingdings" w:hAnsi="Wingdings" w:hint="default"/>
      </w:rPr>
    </w:lvl>
    <w:lvl w:ilvl="7" w:tplc="7A50C59E" w:tentative="1">
      <w:start w:val="1"/>
      <w:numFmt w:val="bullet"/>
      <w:lvlText w:val=""/>
      <w:lvlJc w:val="left"/>
      <w:pPr>
        <w:tabs>
          <w:tab w:val="num" w:pos="5760"/>
        </w:tabs>
        <w:ind w:left="5760" w:hanging="360"/>
      </w:pPr>
      <w:rPr>
        <w:rFonts w:ascii="Wingdings" w:hAnsi="Wingdings" w:hint="default"/>
      </w:rPr>
    </w:lvl>
    <w:lvl w:ilvl="8" w:tplc="BD2E1B62" w:tentative="1">
      <w:start w:val="1"/>
      <w:numFmt w:val="bullet"/>
      <w:lvlText w:val=""/>
      <w:lvlJc w:val="left"/>
      <w:pPr>
        <w:tabs>
          <w:tab w:val="num" w:pos="6480"/>
        </w:tabs>
        <w:ind w:left="6480" w:hanging="360"/>
      </w:pPr>
      <w:rPr>
        <w:rFonts w:ascii="Wingdings" w:hAnsi="Wingdings" w:hint="default"/>
      </w:rPr>
    </w:lvl>
  </w:abstractNum>
  <w:abstractNum w:abstractNumId="111">
    <w:nsid w:val="6DF80581"/>
    <w:multiLevelType w:val="hybridMultilevel"/>
    <w:tmpl w:val="CD329D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EA02CB7"/>
    <w:multiLevelType w:val="hybridMultilevel"/>
    <w:tmpl w:val="299A3DA6"/>
    <w:lvl w:ilvl="0" w:tplc="0BA4F9AA">
      <w:start w:val="4"/>
      <w:numFmt w:val="bullet"/>
      <w:lvlText w:val="-"/>
      <w:lvlJc w:val="left"/>
      <w:pPr>
        <w:ind w:left="720" w:hanging="360"/>
      </w:pPr>
      <w:rPr>
        <w:rFonts w:ascii="Arial" w:eastAsia="Times New Roman" w:hAnsi="Arial" w:cs="Arial" w:hint="default"/>
        <w:sz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3">
    <w:nsid w:val="6F16779F"/>
    <w:multiLevelType w:val="hybridMultilevel"/>
    <w:tmpl w:val="D1B49DE2"/>
    <w:lvl w:ilvl="0" w:tplc="0409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4">
    <w:nsid w:val="6F4576CF"/>
    <w:multiLevelType w:val="hybridMultilevel"/>
    <w:tmpl w:val="A3EC29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6F6E2EAB"/>
    <w:multiLevelType w:val="hybridMultilevel"/>
    <w:tmpl w:val="692E63C6"/>
    <w:lvl w:ilvl="0" w:tplc="0FCEB7D2">
      <w:start w:val="1"/>
      <w:numFmt w:val="upperLetter"/>
      <w:lvlText w:val="%1."/>
      <w:lvlJc w:val="left"/>
      <w:pPr>
        <w:ind w:left="1065" w:hanging="360"/>
      </w:pPr>
      <w:rPr>
        <w:rFonts w:ascii="Arial" w:eastAsia="EUAlbertina-Regular-Identity-H" w:hAnsi="Arial" w:cs="Times New Roman"/>
      </w:rPr>
    </w:lvl>
    <w:lvl w:ilvl="1" w:tplc="04090019">
      <w:start w:val="1"/>
      <w:numFmt w:val="lowerLetter"/>
      <w:lvlText w:val="%2."/>
      <w:lvlJc w:val="left"/>
      <w:pPr>
        <w:ind w:left="1785" w:hanging="360"/>
      </w:pPr>
    </w:lvl>
    <w:lvl w:ilvl="2" w:tplc="0409001B">
      <w:start w:val="1"/>
      <w:numFmt w:val="lowerRoman"/>
      <w:lvlText w:val="%3."/>
      <w:lvlJc w:val="right"/>
      <w:pPr>
        <w:ind w:left="2505" w:hanging="180"/>
      </w:pPr>
    </w:lvl>
    <w:lvl w:ilvl="3" w:tplc="0409000F">
      <w:start w:val="1"/>
      <w:numFmt w:val="decimal"/>
      <w:lvlText w:val="%4."/>
      <w:lvlJc w:val="left"/>
      <w:pPr>
        <w:ind w:left="3225" w:hanging="360"/>
      </w:pPr>
    </w:lvl>
    <w:lvl w:ilvl="4" w:tplc="04090019">
      <w:start w:val="1"/>
      <w:numFmt w:val="lowerLetter"/>
      <w:lvlText w:val="%5."/>
      <w:lvlJc w:val="left"/>
      <w:pPr>
        <w:ind w:left="3945" w:hanging="360"/>
      </w:pPr>
    </w:lvl>
    <w:lvl w:ilvl="5" w:tplc="0409001B">
      <w:start w:val="1"/>
      <w:numFmt w:val="lowerRoman"/>
      <w:lvlText w:val="%6."/>
      <w:lvlJc w:val="right"/>
      <w:pPr>
        <w:ind w:left="4665" w:hanging="180"/>
      </w:pPr>
    </w:lvl>
    <w:lvl w:ilvl="6" w:tplc="0409000F">
      <w:start w:val="1"/>
      <w:numFmt w:val="decimal"/>
      <w:lvlText w:val="%7."/>
      <w:lvlJc w:val="left"/>
      <w:pPr>
        <w:ind w:left="5385" w:hanging="360"/>
      </w:pPr>
    </w:lvl>
    <w:lvl w:ilvl="7" w:tplc="04090019">
      <w:start w:val="1"/>
      <w:numFmt w:val="lowerLetter"/>
      <w:lvlText w:val="%8."/>
      <w:lvlJc w:val="left"/>
      <w:pPr>
        <w:ind w:left="6105" w:hanging="360"/>
      </w:pPr>
    </w:lvl>
    <w:lvl w:ilvl="8" w:tplc="0409001B">
      <w:start w:val="1"/>
      <w:numFmt w:val="lowerRoman"/>
      <w:lvlText w:val="%9."/>
      <w:lvlJc w:val="right"/>
      <w:pPr>
        <w:ind w:left="6825" w:hanging="180"/>
      </w:pPr>
    </w:lvl>
  </w:abstractNum>
  <w:abstractNum w:abstractNumId="116">
    <w:nsid w:val="70484BB3"/>
    <w:multiLevelType w:val="hybridMultilevel"/>
    <w:tmpl w:val="AD30A8EA"/>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7">
    <w:nsid w:val="7088530C"/>
    <w:multiLevelType w:val="multilevel"/>
    <w:tmpl w:val="839209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7269788C"/>
    <w:multiLevelType w:val="hybridMultilevel"/>
    <w:tmpl w:val="7C507CC2"/>
    <w:lvl w:ilvl="0" w:tplc="04090003">
      <w:start w:val="1"/>
      <w:numFmt w:val="bullet"/>
      <w:lvlText w:val="o"/>
      <w:lvlJc w:val="left"/>
      <w:pPr>
        <w:ind w:left="2228" w:hanging="360"/>
      </w:pPr>
      <w:rPr>
        <w:rFonts w:ascii="Courier New" w:hAnsi="Courier New" w:cs="Courier New" w:hint="default"/>
      </w:rPr>
    </w:lvl>
    <w:lvl w:ilvl="1" w:tplc="04180003" w:tentative="1">
      <w:start w:val="1"/>
      <w:numFmt w:val="bullet"/>
      <w:lvlText w:val="o"/>
      <w:lvlJc w:val="left"/>
      <w:pPr>
        <w:ind w:left="2948" w:hanging="360"/>
      </w:pPr>
      <w:rPr>
        <w:rFonts w:ascii="Courier New" w:hAnsi="Courier New" w:cs="Courier New" w:hint="default"/>
      </w:rPr>
    </w:lvl>
    <w:lvl w:ilvl="2" w:tplc="04180005" w:tentative="1">
      <w:start w:val="1"/>
      <w:numFmt w:val="bullet"/>
      <w:lvlText w:val=""/>
      <w:lvlJc w:val="left"/>
      <w:pPr>
        <w:ind w:left="3668" w:hanging="360"/>
      </w:pPr>
      <w:rPr>
        <w:rFonts w:ascii="Wingdings" w:hAnsi="Wingdings" w:hint="default"/>
      </w:rPr>
    </w:lvl>
    <w:lvl w:ilvl="3" w:tplc="04180001" w:tentative="1">
      <w:start w:val="1"/>
      <w:numFmt w:val="bullet"/>
      <w:lvlText w:val=""/>
      <w:lvlJc w:val="left"/>
      <w:pPr>
        <w:ind w:left="4388" w:hanging="360"/>
      </w:pPr>
      <w:rPr>
        <w:rFonts w:ascii="Symbol" w:hAnsi="Symbol" w:hint="default"/>
      </w:rPr>
    </w:lvl>
    <w:lvl w:ilvl="4" w:tplc="04180003" w:tentative="1">
      <w:start w:val="1"/>
      <w:numFmt w:val="bullet"/>
      <w:lvlText w:val="o"/>
      <w:lvlJc w:val="left"/>
      <w:pPr>
        <w:ind w:left="5108" w:hanging="360"/>
      </w:pPr>
      <w:rPr>
        <w:rFonts w:ascii="Courier New" w:hAnsi="Courier New" w:cs="Courier New" w:hint="default"/>
      </w:rPr>
    </w:lvl>
    <w:lvl w:ilvl="5" w:tplc="04180005" w:tentative="1">
      <w:start w:val="1"/>
      <w:numFmt w:val="bullet"/>
      <w:lvlText w:val=""/>
      <w:lvlJc w:val="left"/>
      <w:pPr>
        <w:ind w:left="5828" w:hanging="360"/>
      </w:pPr>
      <w:rPr>
        <w:rFonts w:ascii="Wingdings" w:hAnsi="Wingdings" w:hint="default"/>
      </w:rPr>
    </w:lvl>
    <w:lvl w:ilvl="6" w:tplc="04180001" w:tentative="1">
      <w:start w:val="1"/>
      <w:numFmt w:val="bullet"/>
      <w:lvlText w:val=""/>
      <w:lvlJc w:val="left"/>
      <w:pPr>
        <w:ind w:left="6548" w:hanging="360"/>
      </w:pPr>
      <w:rPr>
        <w:rFonts w:ascii="Symbol" w:hAnsi="Symbol" w:hint="default"/>
      </w:rPr>
    </w:lvl>
    <w:lvl w:ilvl="7" w:tplc="04180003" w:tentative="1">
      <w:start w:val="1"/>
      <w:numFmt w:val="bullet"/>
      <w:lvlText w:val="o"/>
      <w:lvlJc w:val="left"/>
      <w:pPr>
        <w:ind w:left="7268" w:hanging="360"/>
      </w:pPr>
      <w:rPr>
        <w:rFonts w:ascii="Courier New" w:hAnsi="Courier New" w:cs="Courier New" w:hint="default"/>
      </w:rPr>
    </w:lvl>
    <w:lvl w:ilvl="8" w:tplc="04180005" w:tentative="1">
      <w:start w:val="1"/>
      <w:numFmt w:val="bullet"/>
      <w:lvlText w:val=""/>
      <w:lvlJc w:val="left"/>
      <w:pPr>
        <w:ind w:left="7988" w:hanging="360"/>
      </w:pPr>
      <w:rPr>
        <w:rFonts w:ascii="Wingdings" w:hAnsi="Wingdings" w:hint="default"/>
      </w:rPr>
    </w:lvl>
  </w:abstractNum>
  <w:abstractNum w:abstractNumId="119">
    <w:nsid w:val="72822BB5"/>
    <w:multiLevelType w:val="hybridMultilevel"/>
    <w:tmpl w:val="D4348C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2963E2D"/>
    <w:multiLevelType w:val="multilevel"/>
    <w:tmpl w:val="28FA758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9"/>
      <w:numFmt w:val="decimal"/>
      <w:lvlText w:val="%3"/>
      <w:lvlJc w:val="left"/>
      <w:pPr>
        <w:ind w:left="2505" w:hanging="7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737C2915"/>
    <w:multiLevelType w:val="hybridMultilevel"/>
    <w:tmpl w:val="983CC5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74245888"/>
    <w:multiLevelType w:val="hybridMultilevel"/>
    <w:tmpl w:val="3BB023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3">
    <w:nsid w:val="760B543C"/>
    <w:multiLevelType w:val="multilevel"/>
    <w:tmpl w:val="54F23986"/>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4">
    <w:nsid w:val="7A4A3FA2"/>
    <w:multiLevelType w:val="hybridMultilevel"/>
    <w:tmpl w:val="E278C9D8"/>
    <w:lvl w:ilvl="0" w:tplc="0418000B">
      <w:start w:val="1"/>
      <w:numFmt w:val="bullet"/>
      <w:lvlText w:val=""/>
      <w:lvlJc w:val="left"/>
      <w:pPr>
        <w:ind w:left="765" w:hanging="360"/>
      </w:pPr>
      <w:rPr>
        <w:rFonts w:ascii="Wingdings" w:hAnsi="Wingdings" w:hint="default"/>
      </w:rPr>
    </w:lvl>
    <w:lvl w:ilvl="1" w:tplc="04180003" w:tentative="1">
      <w:start w:val="1"/>
      <w:numFmt w:val="bullet"/>
      <w:lvlText w:val="o"/>
      <w:lvlJc w:val="left"/>
      <w:pPr>
        <w:ind w:left="1485" w:hanging="360"/>
      </w:pPr>
      <w:rPr>
        <w:rFonts w:ascii="Courier New" w:hAnsi="Courier New" w:cs="Courier New" w:hint="default"/>
      </w:rPr>
    </w:lvl>
    <w:lvl w:ilvl="2" w:tplc="04180005" w:tentative="1">
      <w:start w:val="1"/>
      <w:numFmt w:val="bullet"/>
      <w:lvlText w:val=""/>
      <w:lvlJc w:val="left"/>
      <w:pPr>
        <w:ind w:left="2205" w:hanging="360"/>
      </w:pPr>
      <w:rPr>
        <w:rFonts w:ascii="Wingdings" w:hAnsi="Wingdings" w:hint="default"/>
      </w:rPr>
    </w:lvl>
    <w:lvl w:ilvl="3" w:tplc="04180001" w:tentative="1">
      <w:start w:val="1"/>
      <w:numFmt w:val="bullet"/>
      <w:lvlText w:val=""/>
      <w:lvlJc w:val="left"/>
      <w:pPr>
        <w:ind w:left="2925" w:hanging="360"/>
      </w:pPr>
      <w:rPr>
        <w:rFonts w:ascii="Symbol" w:hAnsi="Symbol" w:hint="default"/>
      </w:rPr>
    </w:lvl>
    <w:lvl w:ilvl="4" w:tplc="04180003" w:tentative="1">
      <w:start w:val="1"/>
      <w:numFmt w:val="bullet"/>
      <w:lvlText w:val="o"/>
      <w:lvlJc w:val="left"/>
      <w:pPr>
        <w:ind w:left="3645" w:hanging="360"/>
      </w:pPr>
      <w:rPr>
        <w:rFonts w:ascii="Courier New" w:hAnsi="Courier New" w:cs="Courier New" w:hint="default"/>
      </w:rPr>
    </w:lvl>
    <w:lvl w:ilvl="5" w:tplc="04180005" w:tentative="1">
      <w:start w:val="1"/>
      <w:numFmt w:val="bullet"/>
      <w:lvlText w:val=""/>
      <w:lvlJc w:val="left"/>
      <w:pPr>
        <w:ind w:left="4365" w:hanging="360"/>
      </w:pPr>
      <w:rPr>
        <w:rFonts w:ascii="Wingdings" w:hAnsi="Wingdings" w:hint="default"/>
      </w:rPr>
    </w:lvl>
    <w:lvl w:ilvl="6" w:tplc="04180001" w:tentative="1">
      <w:start w:val="1"/>
      <w:numFmt w:val="bullet"/>
      <w:lvlText w:val=""/>
      <w:lvlJc w:val="left"/>
      <w:pPr>
        <w:ind w:left="5085" w:hanging="360"/>
      </w:pPr>
      <w:rPr>
        <w:rFonts w:ascii="Symbol" w:hAnsi="Symbol" w:hint="default"/>
      </w:rPr>
    </w:lvl>
    <w:lvl w:ilvl="7" w:tplc="04180003" w:tentative="1">
      <w:start w:val="1"/>
      <w:numFmt w:val="bullet"/>
      <w:lvlText w:val="o"/>
      <w:lvlJc w:val="left"/>
      <w:pPr>
        <w:ind w:left="5805" w:hanging="360"/>
      </w:pPr>
      <w:rPr>
        <w:rFonts w:ascii="Courier New" w:hAnsi="Courier New" w:cs="Courier New" w:hint="default"/>
      </w:rPr>
    </w:lvl>
    <w:lvl w:ilvl="8" w:tplc="04180005" w:tentative="1">
      <w:start w:val="1"/>
      <w:numFmt w:val="bullet"/>
      <w:lvlText w:val=""/>
      <w:lvlJc w:val="left"/>
      <w:pPr>
        <w:ind w:left="6525" w:hanging="360"/>
      </w:pPr>
      <w:rPr>
        <w:rFonts w:ascii="Wingdings" w:hAnsi="Wingdings" w:hint="default"/>
      </w:rPr>
    </w:lvl>
  </w:abstractNum>
  <w:abstractNum w:abstractNumId="125">
    <w:nsid w:val="7DD82303"/>
    <w:multiLevelType w:val="hybridMultilevel"/>
    <w:tmpl w:val="96C8083A"/>
    <w:lvl w:ilvl="0" w:tplc="4702A734">
      <w:start w:val="1"/>
      <w:numFmt w:val="upperRoman"/>
      <w:lvlText w:val="%1."/>
      <w:lvlJc w:val="left"/>
      <w:pPr>
        <w:ind w:left="1080" w:hanging="72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6">
    <w:nsid w:val="7E8F0378"/>
    <w:multiLevelType w:val="hybridMultilevel"/>
    <w:tmpl w:val="A8427D28"/>
    <w:lvl w:ilvl="0" w:tplc="04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num w:numId="1">
    <w:abstractNumId w:val="35"/>
  </w:num>
  <w:num w:numId="2">
    <w:abstractNumId w:val="42"/>
  </w:num>
  <w:num w:numId="3">
    <w:abstractNumId w:val="97"/>
  </w:num>
  <w:num w:numId="4">
    <w:abstractNumId w:val="30"/>
  </w:num>
  <w:num w:numId="5">
    <w:abstractNumId w:val="33"/>
  </w:num>
  <w:num w:numId="6">
    <w:abstractNumId w:val="123"/>
  </w:num>
  <w:num w:numId="7">
    <w:abstractNumId w:val="3"/>
  </w:num>
  <w:num w:numId="8">
    <w:abstractNumId w:val="18"/>
  </w:num>
  <w:num w:numId="9">
    <w:abstractNumId w:val="1"/>
  </w:num>
  <w:num w:numId="10">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0"/>
  </w:num>
  <w:num w:numId="12">
    <w:abstractNumId w:val="14"/>
  </w:num>
  <w:num w:numId="13">
    <w:abstractNumId w:val="124"/>
  </w:num>
  <w:num w:numId="14">
    <w:abstractNumId w:val="15"/>
  </w:num>
  <w:num w:numId="15">
    <w:abstractNumId w:val="51"/>
  </w:num>
  <w:num w:numId="16">
    <w:abstractNumId w:val="86"/>
  </w:num>
  <w:num w:numId="17">
    <w:abstractNumId w:val="32"/>
  </w:num>
  <w:num w:numId="18">
    <w:abstractNumId w:val="67"/>
  </w:num>
  <w:num w:numId="19">
    <w:abstractNumId w:val="59"/>
  </w:num>
  <w:num w:numId="20">
    <w:abstractNumId w:val="88"/>
  </w:num>
  <w:num w:numId="21">
    <w:abstractNumId w:val="24"/>
  </w:num>
  <w:num w:numId="22">
    <w:abstractNumId w:val="72"/>
  </w:num>
  <w:num w:numId="23">
    <w:abstractNumId w:val="114"/>
  </w:num>
  <w:num w:numId="24">
    <w:abstractNumId w:val="61"/>
  </w:num>
  <w:num w:numId="25">
    <w:abstractNumId w:val="20"/>
  </w:num>
  <w:num w:numId="26">
    <w:abstractNumId w:val="95"/>
  </w:num>
  <w:num w:numId="27">
    <w:abstractNumId w:val="105"/>
  </w:num>
  <w:num w:numId="28">
    <w:abstractNumId w:val="102"/>
  </w:num>
  <w:num w:numId="29">
    <w:abstractNumId w:val="50"/>
  </w:num>
  <w:num w:numId="30">
    <w:abstractNumId w:val="54"/>
  </w:num>
  <w:num w:numId="31">
    <w:abstractNumId w:val="60"/>
  </w:num>
  <w:num w:numId="32">
    <w:abstractNumId w:val="52"/>
  </w:num>
  <w:num w:numId="33">
    <w:abstractNumId w:val="63"/>
  </w:num>
  <w:num w:numId="34">
    <w:abstractNumId w:val="82"/>
  </w:num>
  <w:num w:numId="35">
    <w:abstractNumId w:val="11"/>
  </w:num>
  <w:num w:numId="36">
    <w:abstractNumId w:val="26"/>
  </w:num>
  <w:num w:numId="37">
    <w:abstractNumId w:val="103"/>
  </w:num>
  <w:num w:numId="38">
    <w:abstractNumId w:val="57"/>
  </w:num>
  <w:num w:numId="39">
    <w:abstractNumId w:val="44"/>
  </w:num>
  <w:num w:numId="40">
    <w:abstractNumId w:val="79"/>
  </w:num>
  <w:num w:numId="41">
    <w:abstractNumId w:val="75"/>
  </w:num>
  <w:num w:numId="42">
    <w:abstractNumId w:val="23"/>
  </w:num>
  <w:num w:numId="43">
    <w:abstractNumId w:val="36"/>
  </w:num>
  <w:num w:numId="44">
    <w:abstractNumId w:val="122"/>
  </w:num>
  <w:num w:numId="45">
    <w:abstractNumId w:val="100"/>
  </w:num>
  <w:num w:numId="46">
    <w:abstractNumId w:val="118"/>
  </w:num>
  <w:num w:numId="47">
    <w:abstractNumId w:val="94"/>
  </w:num>
  <w:num w:numId="48">
    <w:abstractNumId w:val="12"/>
  </w:num>
  <w:num w:numId="49">
    <w:abstractNumId w:val="16"/>
  </w:num>
  <w:num w:numId="50">
    <w:abstractNumId w:val="25"/>
  </w:num>
  <w:num w:numId="51">
    <w:abstractNumId w:val="46"/>
  </w:num>
  <w:num w:numId="52">
    <w:abstractNumId w:val="10"/>
  </w:num>
  <w:num w:numId="53">
    <w:abstractNumId w:val="73"/>
  </w:num>
  <w:num w:numId="54">
    <w:abstractNumId w:val="96"/>
  </w:num>
  <w:num w:numId="55">
    <w:abstractNumId w:val="5"/>
  </w:num>
  <w:num w:numId="56">
    <w:abstractNumId w:val="99"/>
  </w:num>
  <w:num w:numId="57">
    <w:abstractNumId w:val="77"/>
  </w:num>
  <w:num w:numId="58">
    <w:abstractNumId w:val="55"/>
  </w:num>
  <w:num w:numId="59">
    <w:abstractNumId w:val="68"/>
  </w:num>
  <w:num w:numId="60">
    <w:abstractNumId w:val="85"/>
  </w:num>
  <w:num w:numId="61">
    <w:abstractNumId w:val="84"/>
  </w:num>
  <w:num w:numId="62">
    <w:abstractNumId w:val="112"/>
  </w:num>
  <w:num w:numId="63">
    <w:abstractNumId w:val="93"/>
  </w:num>
  <w:num w:numId="64">
    <w:abstractNumId w:val="39"/>
  </w:num>
  <w:num w:numId="65">
    <w:abstractNumId w:val="45"/>
  </w:num>
  <w:num w:numId="66">
    <w:abstractNumId w:val="13"/>
  </w:num>
  <w:num w:numId="67">
    <w:abstractNumId w:val="29"/>
  </w:num>
  <w:num w:numId="68">
    <w:abstractNumId w:val="80"/>
  </w:num>
  <w:num w:numId="69">
    <w:abstractNumId w:val="4"/>
  </w:num>
  <w:num w:numId="70">
    <w:abstractNumId w:val="34"/>
  </w:num>
  <w:num w:numId="71">
    <w:abstractNumId w:val="125"/>
  </w:num>
  <w:num w:numId="72">
    <w:abstractNumId w:val="38"/>
  </w:num>
  <w:num w:numId="73">
    <w:abstractNumId w:val="81"/>
  </w:num>
  <w:num w:numId="74">
    <w:abstractNumId w:val="87"/>
  </w:num>
  <w:num w:numId="75">
    <w:abstractNumId w:val="116"/>
  </w:num>
  <w:num w:numId="76">
    <w:abstractNumId w:val="92"/>
  </w:num>
  <w:num w:numId="77">
    <w:abstractNumId w:val="64"/>
  </w:num>
  <w:num w:numId="78">
    <w:abstractNumId w:val="90"/>
  </w:num>
  <w:num w:numId="79">
    <w:abstractNumId w:val="104"/>
  </w:num>
  <w:num w:numId="80">
    <w:abstractNumId w:val="27"/>
  </w:num>
  <w:num w:numId="81">
    <w:abstractNumId w:val="108"/>
  </w:num>
  <w:num w:numId="82">
    <w:abstractNumId w:val="74"/>
  </w:num>
  <w:num w:numId="83">
    <w:abstractNumId w:val="56"/>
  </w:num>
  <w:num w:numId="84">
    <w:abstractNumId w:val="43"/>
  </w:num>
  <w:num w:numId="85">
    <w:abstractNumId w:val="0"/>
  </w:num>
  <w:num w:numId="86">
    <w:abstractNumId w:val="21"/>
  </w:num>
  <w:num w:numId="87">
    <w:abstractNumId w:val="41"/>
  </w:num>
  <w:num w:numId="88">
    <w:abstractNumId w:val="117"/>
  </w:num>
  <w:num w:numId="89">
    <w:abstractNumId w:val="107"/>
  </w:num>
  <w:num w:numId="90">
    <w:abstractNumId w:val="120"/>
  </w:num>
  <w:num w:numId="91">
    <w:abstractNumId w:val="47"/>
  </w:num>
  <w:num w:numId="92">
    <w:abstractNumId w:val="71"/>
  </w:num>
  <w:num w:numId="93">
    <w:abstractNumId w:val="109"/>
  </w:num>
  <w:num w:numId="94">
    <w:abstractNumId w:val="58"/>
  </w:num>
  <w:num w:numId="95">
    <w:abstractNumId w:val="8"/>
  </w:num>
  <w:num w:numId="96">
    <w:abstractNumId w:val="6"/>
  </w:num>
  <w:num w:numId="97">
    <w:abstractNumId w:val="40"/>
  </w:num>
  <w:num w:numId="98">
    <w:abstractNumId w:val="126"/>
  </w:num>
  <w:num w:numId="99">
    <w:abstractNumId w:val="2"/>
  </w:num>
  <w:num w:numId="100">
    <w:abstractNumId w:val="31"/>
  </w:num>
  <w:num w:numId="101">
    <w:abstractNumId w:val="49"/>
  </w:num>
  <w:num w:numId="102">
    <w:abstractNumId w:val="106"/>
  </w:num>
  <w:num w:numId="103">
    <w:abstractNumId w:val="69"/>
  </w:num>
  <w:num w:numId="104">
    <w:abstractNumId w:val="22"/>
  </w:num>
  <w:num w:numId="105">
    <w:abstractNumId w:val="66"/>
  </w:num>
  <w:num w:numId="106">
    <w:abstractNumId w:val="121"/>
  </w:num>
  <w:num w:numId="107">
    <w:abstractNumId w:val="83"/>
  </w:num>
  <w:num w:numId="108">
    <w:abstractNumId w:val="78"/>
  </w:num>
  <w:num w:numId="109">
    <w:abstractNumId w:val="101"/>
  </w:num>
  <w:num w:numId="110">
    <w:abstractNumId w:val="9"/>
  </w:num>
  <w:num w:numId="111">
    <w:abstractNumId w:val="119"/>
  </w:num>
  <w:num w:numId="112">
    <w:abstractNumId w:val="113"/>
  </w:num>
  <w:num w:numId="113">
    <w:abstractNumId w:val="28"/>
  </w:num>
  <w:num w:numId="114">
    <w:abstractNumId w:val="17"/>
  </w:num>
  <w:num w:numId="115">
    <w:abstractNumId w:val="65"/>
  </w:num>
  <w:num w:numId="116">
    <w:abstractNumId w:val="98"/>
  </w:num>
  <w:num w:numId="117">
    <w:abstractNumId w:val="76"/>
  </w:num>
  <w:num w:numId="118">
    <w:abstractNumId w:val="37"/>
  </w:num>
  <w:num w:numId="119">
    <w:abstractNumId w:val="7"/>
  </w:num>
  <w:num w:numId="120">
    <w:abstractNumId w:val="91"/>
  </w:num>
  <w:num w:numId="121">
    <w:abstractNumId w:val="53"/>
  </w:num>
  <w:num w:numId="122">
    <w:abstractNumId w:val="111"/>
  </w:num>
  <w:num w:numId="123">
    <w:abstractNumId w:val="48"/>
  </w:num>
  <w:num w:numId="124">
    <w:abstractNumId w:val="89"/>
  </w:num>
  <w:num w:numId="125">
    <w:abstractNumId w:val="62"/>
  </w:num>
  <w:num w:numId="126">
    <w:abstractNumId w:val="110"/>
  </w:num>
  <w:num w:numId="127">
    <w:abstractNumId w:val="19"/>
  </w:num>
  <w:numIdMacAtCleanup w:val="12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azvan Falup">
    <w15:presenceInfo w15:providerId="None" w15:userId="Razvan Falu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6"/>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2B38"/>
    <w:rsid w:val="000408D9"/>
    <w:rsid w:val="00066C91"/>
    <w:rsid w:val="00092BDC"/>
    <w:rsid w:val="001320B2"/>
    <w:rsid w:val="00155EE8"/>
    <w:rsid w:val="0016267B"/>
    <w:rsid w:val="00204055"/>
    <w:rsid w:val="00230AD4"/>
    <w:rsid w:val="00251CDA"/>
    <w:rsid w:val="00252B38"/>
    <w:rsid w:val="002A5FB1"/>
    <w:rsid w:val="002E01ED"/>
    <w:rsid w:val="00365595"/>
    <w:rsid w:val="0039373A"/>
    <w:rsid w:val="003A3416"/>
    <w:rsid w:val="003E2913"/>
    <w:rsid w:val="00474FA2"/>
    <w:rsid w:val="004C5EB0"/>
    <w:rsid w:val="004D1FFC"/>
    <w:rsid w:val="0050645C"/>
    <w:rsid w:val="00511045"/>
    <w:rsid w:val="00512C94"/>
    <w:rsid w:val="005449D1"/>
    <w:rsid w:val="00613B4D"/>
    <w:rsid w:val="006378A3"/>
    <w:rsid w:val="00663503"/>
    <w:rsid w:val="006835E6"/>
    <w:rsid w:val="006966DA"/>
    <w:rsid w:val="006E1F41"/>
    <w:rsid w:val="007A65EB"/>
    <w:rsid w:val="00844DB8"/>
    <w:rsid w:val="008748B1"/>
    <w:rsid w:val="008C6885"/>
    <w:rsid w:val="008D0E03"/>
    <w:rsid w:val="009263EE"/>
    <w:rsid w:val="0094248A"/>
    <w:rsid w:val="0095314B"/>
    <w:rsid w:val="009612A1"/>
    <w:rsid w:val="00966D25"/>
    <w:rsid w:val="00967C8C"/>
    <w:rsid w:val="00980E7E"/>
    <w:rsid w:val="00985B8D"/>
    <w:rsid w:val="009C7277"/>
    <w:rsid w:val="009F6B2B"/>
    <w:rsid w:val="00A25AD1"/>
    <w:rsid w:val="00A40F4C"/>
    <w:rsid w:val="00A55406"/>
    <w:rsid w:val="00AA323A"/>
    <w:rsid w:val="00AB0FB5"/>
    <w:rsid w:val="00AF1461"/>
    <w:rsid w:val="00AF233D"/>
    <w:rsid w:val="00B03AA2"/>
    <w:rsid w:val="00B17C78"/>
    <w:rsid w:val="00C1481C"/>
    <w:rsid w:val="00C7761C"/>
    <w:rsid w:val="00C95CEF"/>
    <w:rsid w:val="00CD36D4"/>
    <w:rsid w:val="00D10690"/>
    <w:rsid w:val="00D73BA6"/>
    <w:rsid w:val="00DB6589"/>
    <w:rsid w:val="00DE0A06"/>
    <w:rsid w:val="00DF3F04"/>
    <w:rsid w:val="00E112C4"/>
    <w:rsid w:val="00E22804"/>
    <w:rsid w:val="00E37627"/>
    <w:rsid w:val="00E506A1"/>
    <w:rsid w:val="00E85787"/>
    <w:rsid w:val="00E86C06"/>
    <w:rsid w:val="00EA79BD"/>
    <w:rsid w:val="00F07B1A"/>
    <w:rsid w:val="00F86820"/>
    <w:rsid w:val="00FD633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75BA2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caption" w:qFormat="1"/>
    <w:lsdException w:name="table of figures" w:uiPriority="99"/>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Table Grid" w:semiHidden="0" w:uiPriority="3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61"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4"/>
      <w:szCs w:val="24"/>
      <w:lang w:val="ro-RO" w:eastAsia="ro-RO"/>
    </w:rPr>
  </w:style>
  <w:style w:type="paragraph" w:styleId="Heading1">
    <w:name w:val="heading 1"/>
    <w:basedOn w:val="Normal"/>
    <w:next w:val="Normal"/>
    <w:link w:val="Heading1Char"/>
    <w:qFormat/>
    <w:pPr>
      <w:keepNext/>
      <w:spacing w:before="240" w:after="60"/>
      <w:outlineLvl w:val="0"/>
    </w:pPr>
    <w:rPr>
      <w:rFonts w:ascii="Cambria" w:hAnsi="Cambria"/>
      <w:b/>
      <w:bCs/>
      <w:kern w:val="32"/>
      <w:sz w:val="32"/>
      <w:szCs w:val="3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703"/>
        <w:tab w:val="right" w:pos="9406"/>
      </w:tabs>
    </w:pPr>
    <w:rPr>
      <w:rFonts w:ascii="Times New Roman" w:hAnsi="Times New Roman"/>
      <w:lang w:val="x-none" w:eastAsia="x-none"/>
    </w:rPr>
  </w:style>
  <w:style w:type="paragraph" w:styleId="Footer">
    <w:name w:val="footer"/>
    <w:basedOn w:val="Normal"/>
    <w:pPr>
      <w:tabs>
        <w:tab w:val="center" w:pos="4703"/>
        <w:tab w:val="right" w:pos="9406"/>
      </w:tabs>
    </w:pPr>
  </w:style>
  <w:style w:type="table" w:styleId="TableGrid">
    <w:name w:val="Table Grid"/>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Pr>
      <w:rFonts w:ascii="Tahoma" w:hAnsi="Tahoma" w:cs="Tahoma"/>
      <w:sz w:val="16"/>
      <w:szCs w:val="16"/>
    </w:rPr>
  </w:style>
  <w:style w:type="character" w:styleId="PageNumber">
    <w:name w:val="page number"/>
    <w:basedOn w:val="DefaultParagraphFont"/>
    <w:semiHidden/>
  </w:style>
  <w:style w:type="paragraph" w:styleId="BodyText">
    <w:name w:val="Body Text"/>
    <w:basedOn w:val="Normal"/>
    <w:semiHidden/>
    <w:pPr>
      <w:tabs>
        <w:tab w:val="left" w:pos="851"/>
      </w:tabs>
      <w:spacing w:line="160" w:lineRule="exact"/>
      <w:ind w:right="210"/>
      <w:jc w:val="center"/>
    </w:pPr>
    <w:rPr>
      <w:spacing w:val="-10"/>
      <w:szCs w:val="20"/>
      <w:lang w:eastAsia="en-US"/>
    </w:rPr>
  </w:style>
  <w:style w:type="paragraph" w:styleId="ListParagraph">
    <w:name w:val="List Paragraph"/>
    <w:basedOn w:val="Normal"/>
    <w:link w:val="ListParagraphChar"/>
    <w:uiPriority w:val="34"/>
    <w:qFormat/>
    <w:pPr>
      <w:tabs>
        <w:tab w:val="left" w:pos="851"/>
      </w:tabs>
      <w:spacing w:before="60" w:after="60"/>
      <w:ind w:left="720"/>
      <w:contextualSpacing/>
      <w:jc w:val="both"/>
    </w:pPr>
    <w:rPr>
      <w:szCs w:val="20"/>
      <w:lang w:eastAsia="x-none"/>
    </w:rPr>
  </w:style>
  <w:style w:type="character" w:customStyle="1" w:styleId="HeaderChar">
    <w:name w:val="Header Char"/>
    <w:link w:val="Header"/>
    <w:rPr>
      <w:sz w:val="24"/>
      <w:szCs w:val="24"/>
    </w:rPr>
  </w:style>
  <w:style w:type="paragraph" w:styleId="TOC1">
    <w:name w:val="toc 1"/>
    <w:basedOn w:val="Normal"/>
    <w:next w:val="Normal"/>
    <w:autoRedefine/>
    <w:uiPriority w:val="39"/>
    <w:unhideWhenUsed/>
    <w:qFormat/>
    <w:pPr>
      <w:spacing w:after="100"/>
    </w:pPr>
  </w:style>
  <w:style w:type="character" w:styleId="Hyperlink">
    <w:name w:val="Hyperlink"/>
    <w:uiPriority w:val="99"/>
    <w:unhideWhenUsed/>
    <w:rPr>
      <w:color w:val="0000FF"/>
      <w:u w:val="single"/>
    </w:rPr>
  </w:style>
  <w:style w:type="character" w:customStyle="1" w:styleId="Heading1Char">
    <w:name w:val="Heading 1 Char"/>
    <w:link w:val="Heading1"/>
    <w:rPr>
      <w:rFonts w:ascii="Cambria" w:eastAsia="Times New Roman" w:hAnsi="Cambria" w:cs="Times New Roman"/>
      <w:b/>
      <w:bCs/>
      <w:kern w:val="32"/>
      <w:sz w:val="32"/>
      <w:szCs w:val="32"/>
    </w:rPr>
  </w:style>
  <w:style w:type="paragraph" w:styleId="Title">
    <w:name w:val="Title"/>
    <w:basedOn w:val="Normal"/>
    <w:next w:val="Normal"/>
    <w:link w:val="TitleChar"/>
    <w:qFormat/>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rPr>
      <w:rFonts w:ascii="Cambria" w:eastAsia="Times New Roman" w:hAnsi="Cambria" w:cs="Times New Roman"/>
      <w:b/>
      <w:bCs/>
      <w:kern w:val="28"/>
      <w:sz w:val="32"/>
      <w:szCs w:val="32"/>
    </w:rPr>
  </w:style>
  <w:style w:type="paragraph" w:styleId="FootnoteText">
    <w:name w:val="footnote text"/>
    <w:aliases w:val="Fußnotentextf,single space,Fußnote,-E Fußnotentext,Fußnotentext Ursprung,Podrozdział,Footnote Text Char Char,FOOTNOTES,fn,Sprotna opomba - besedilo Znak1,Sprotna opomba - besedilo Znak Znak2,stile 1,Footnot,Footnote1,Podrozdzia3,Footnote"/>
    <w:basedOn w:val="Normal"/>
    <w:link w:val="FootnoteTextChar"/>
    <w:uiPriority w:val="99"/>
    <w:unhideWhenUsed/>
    <w:qFormat/>
    <w:rPr>
      <w:rFonts w:ascii="Calibri" w:eastAsia="Calibri" w:hAnsi="Calibri"/>
      <w:sz w:val="20"/>
      <w:szCs w:val="20"/>
      <w:lang w:val="en-US" w:eastAsia="en-US"/>
    </w:rPr>
  </w:style>
  <w:style w:type="character" w:customStyle="1" w:styleId="FootnoteTextChar">
    <w:name w:val="Footnote Text Char"/>
    <w:aliases w:val="Fußnotentextf Char,single space Char,Fußnote Char,-E Fußnotentext Char,Fußnotentext Ursprung Char,Podrozdział Char,Footnote Text Char Char Char,FOOTNOTES Char,fn Char,Sprotna opomba - besedilo Znak1 Char,stile 1 Char,Footnot Char"/>
    <w:link w:val="FootnoteText"/>
    <w:uiPriority w:val="99"/>
    <w:rPr>
      <w:rFonts w:ascii="Calibri" w:eastAsia="Calibri" w:hAnsi="Calibri"/>
      <w:lang w:val="en-US" w:eastAsia="en-US"/>
    </w:rPr>
  </w:style>
  <w:style w:type="paragraph" w:styleId="CommentText">
    <w:name w:val="annotation text"/>
    <w:basedOn w:val="Normal"/>
    <w:link w:val="CommentTextChar"/>
    <w:rPr>
      <w:sz w:val="20"/>
      <w:szCs w:val="20"/>
      <w:lang w:val="x-none" w:eastAsia="x-none"/>
    </w:rPr>
  </w:style>
  <w:style w:type="character" w:customStyle="1" w:styleId="CommentTextChar">
    <w:name w:val="Comment Text Char"/>
    <w:link w:val="CommentText"/>
    <w:rPr>
      <w:rFonts w:ascii="Arial" w:hAnsi="Arial"/>
    </w:rPr>
  </w:style>
  <w:style w:type="character" w:styleId="FootnoteReference">
    <w:name w:val="footnote reference"/>
    <w:aliases w:val="-E Fußnotenzeichen,Heading 6 Char1,Footnote2,Footnote symbol,Fussnota,ftref,Appel note de bas de p,SUPERS,Nota,(NECG) Footnote Reference,Voetnootverwijzing,Footnote Reference Superscript,BVI fnr,Footnotes refss,Lábjegyzet-hivatkozás"/>
    <w:uiPriority w:val="99"/>
    <w:unhideWhenUsed/>
    <w:rPr>
      <w:vertAlign w:val="superscript"/>
    </w:rPr>
  </w:style>
  <w:style w:type="character" w:customStyle="1" w:styleId="ListParagraphChar">
    <w:name w:val="List Paragraph Char"/>
    <w:link w:val="ListParagraph"/>
    <w:uiPriority w:val="34"/>
    <w:locked/>
    <w:rPr>
      <w:rFonts w:ascii="Arial" w:hAnsi="Arial"/>
      <w:sz w:val="24"/>
      <w:lang w:val="ro-RO"/>
    </w:rPr>
  </w:style>
  <w:style w:type="table" w:customStyle="1" w:styleId="LightList-Accent21">
    <w:name w:val="Light List - Accent 21"/>
    <w:basedOn w:val="TableNormal"/>
    <w:next w:val="LightList-Accent2"/>
    <w:uiPriority w:val="61"/>
    <w:rPr>
      <w:rFonts w:ascii="Calibri" w:eastAsia="Calibri" w:hAnsi="Calibri"/>
      <w:sz w:val="22"/>
      <w:szCs w:val="22"/>
      <w:lang w:val="ro-RO"/>
    </w:rPr>
    <w:tblPr>
      <w:tblStyleRowBandSize w:val="1"/>
      <w:tblStyleColBandSize w:val="1"/>
      <w:tblInd w:w="0" w:type="dxa"/>
      <w:tblBorders>
        <w:top w:val="single" w:sz="8" w:space="0" w:color="297FD5"/>
        <w:left w:val="single" w:sz="8" w:space="0" w:color="297FD5"/>
        <w:bottom w:val="single" w:sz="8" w:space="0" w:color="297FD5"/>
        <w:right w:val="single" w:sz="8" w:space="0" w:color="297F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297FD5"/>
      </w:tcPr>
    </w:tblStylePr>
    <w:tblStylePr w:type="lastRow">
      <w:pPr>
        <w:spacing w:before="0" w:after="0" w:line="240" w:lineRule="auto"/>
      </w:pPr>
      <w:rPr>
        <w:b/>
        <w:bCs/>
      </w:rPr>
      <w:tblPr/>
      <w:tcPr>
        <w:tcBorders>
          <w:top w:val="double" w:sz="6" w:space="0" w:color="297FD5"/>
          <w:left w:val="single" w:sz="8" w:space="0" w:color="297FD5"/>
          <w:bottom w:val="single" w:sz="8" w:space="0" w:color="297FD5"/>
          <w:right w:val="single" w:sz="8" w:space="0" w:color="297FD5"/>
        </w:tcBorders>
      </w:tcPr>
    </w:tblStylePr>
    <w:tblStylePr w:type="firstCol">
      <w:rPr>
        <w:b/>
        <w:bCs/>
      </w:rPr>
    </w:tblStylePr>
    <w:tblStylePr w:type="lastCol">
      <w:rPr>
        <w:b/>
        <w:bCs/>
      </w:rPr>
    </w:tblStylePr>
    <w:tblStylePr w:type="band1Vert">
      <w:tblPr/>
      <w:tcPr>
        <w:tcBorders>
          <w:top w:val="single" w:sz="8" w:space="0" w:color="297FD5"/>
          <w:left w:val="single" w:sz="8" w:space="0" w:color="297FD5"/>
          <w:bottom w:val="single" w:sz="8" w:space="0" w:color="297FD5"/>
          <w:right w:val="single" w:sz="8" w:space="0" w:color="297FD5"/>
        </w:tcBorders>
      </w:tcPr>
    </w:tblStylePr>
    <w:tblStylePr w:type="band1Horz">
      <w:tblPr/>
      <w:tcPr>
        <w:tcBorders>
          <w:top w:val="single" w:sz="8" w:space="0" w:color="297FD5"/>
          <w:left w:val="single" w:sz="8" w:space="0" w:color="297FD5"/>
          <w:bottom w:val="single" w:sz="8" w:space="0" w:color="297FD5"/>
          <w:right w:val="single" w:sz="8" w:space="0" w:color="297FD5"/>
        </w:tcBorders>
      </w:tcPr>
    </w:tblStylePr>
  </w:style>
  <w:style w:type="table" w:styleId="LightList-Accent2">
    <w:name w:val="Light List Accent 2"/>
    <w:basedOn w:val="TableNormal"/>
    <w:uiPriority w:val="61"/>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caption2">
    <w:name w:val="caption 2"/>
    <w:basedOn w:val="Normal"/>
    <w:link w:val="caption2Char"/>
    <w:qFormat/>
    <w:pPr>
      <w:widowControl w:val="0"/>
      <w:suppressLineNumbers/>
      <w:suppressAutoHyphens/>
      <w:spacing w:before="120" w:after="120"/>
    </w:pPr>
    <w:rPr>
      <w:rFonts w:ascii="Cambria" w:eastAsia="SimSun" w:hAnsi="Cambria" w:cs="Mangal"/>
      <w:i/>
      <w:iCs/>
      <w:kern w:val="1"/>
      <w:lang w:val="en-GB" w:eastAsia="zh-CN" w:bidi="hi-IN"/>
    </w:rPr>
  </w:style>
  <w:style w:type="character" w:customStyle="1" w:styleId="caption2Char">
    <w:name w:val="caption 2 Char"/>
    <w:link w:val="caption2"/>
    <w:rPr>
      <w:rFonts w:ascii="Cambria" w:eastAsia="SimSun" w:hAnsi="Cambria" w:cs="Mangal"/>
      <w:i/>
      <w:iCs/>
      <w:kern w:val="1"/>
      <w:sz w:val="24"/>
      <w:szCs w:val="24"/>
      <w:lang w:val="en-GB" w:eastAsia="zh-CN" w:bidi="hi-IN"/>
    </w:rPr>
  </w:style>
  <w:style w:type="character" w:customStyle="1" w:styleId="hps">
    <w:name w:val="hps"/>
  </w:style>
  <w:style w:type="paragraph" w:styleId="HTMLPreformatted">
    <w:name w:val="HTML Preformatted"/>
    <w:basedOn w:val="Normal"/>
    <w:link w:val="HTMLPreformattedChar"/>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PreformattedChar">
    <w:name w:val="HTML Preformatted Char"/>
    <w:link w:val="HTMLPreformatted"/>
    <w:uiPriority w:val="99"/>
    <w:rPr>
      <w:rFonts w:ascii="Courier New" w:hAnsi="Courier New" w:cs="Courier New"/>
      <w:lang w:val="en-US" w:eastAsia="en-US"/>
    </w:rPr>
  </w:style>
  <w:style w:type="paragraph" w:customStyle="1" w:styleId="Default">
    <w:name w:val="Default"/>
    <w:pPr>
      <w:autoSpaceDE w:val="0"/>
      <w:autoSpaceDN w:val="0"/>
      <w:adjustRightInd w:val="0"/>
    </w:pPr>
    <w:rPr>
      <w:rFonts w:eastAsia="Calibri"/>
      <w:color w:val="000000"/>
      <w:sz w:val="24"/>
      <w:szCs w:val="24"/>
      <w:lang w:val="en-US"/>
    </w:rPr>
  </w:style>
  <w:style w:type="paragraph" w:styleId="TOCHeading">
    <w:name w:val="TOC Heading"/>
    <w:basedOn w:val="Heading1"/>
    <w:next w:val="Normal"/>
    <w:uiPriority w:val="39"/>
    <w:semiHidden/>
    <w:unhideWhenUsed/>
    <w:qFormat/>
    <w:pPr>
      <w:keepLines/>
      <w:spacing w:before="480" w:after="0" w:line="276" w:lineRule="auto"/>
      <w:outlineLvl w:val="9"/>
    </w:pPr>
    <w:rPr>
      <w:color w:val="365F91"/>
      <w:kern w:val="0"/>
      <w:sz w:val="28"/>
      <w:szCs w:val="28"/>
      <w:lang w:val="en-US" w:eastAsia="en-US"/>
    </w:rPr>
  </w:style>
  <w:style w:type="paragraph" w:customStyle="1" w:styleId="a">
    <w:name w:val="Нормальний текст"/>
    <w:basedOn w:val="Normal"/>
    <w:pPr>
      <w:spacing w:before="120"/>
      <w:ind w:firstLine="567"/>
    </w:pPr>
    <w:rPr>
      <w:rFonts w:ascii="Antiqua" w:hAnsi="Antiqua"/>
      <w:sz w:val="26"/>
      <w:szCs w:val="20"/>
      <w:lang w:val="uk-UA" w:eastAsia="ru-RU"/>
    </w:rPr>
  </w:style>
  <w:style w:type="paragraph" w:customStyle="1" w:styleId="ShapkaDocumentu">
    <w:name w:val="Shapka Documentu"/>
    <w:basedOn w:val="Normal"/>
    <w:pPr>
      <w:keepNext/>
      <w:keepLines/>
      <w:spacing w:after="240"/>
      <w:ind w:left="3969"/>
      <w:jc w:val="center"/>
    </w:pPr>
    <w:rPr>
      <w:rFonts w:ascii="Antiqua" w:hAnsi="Antiqua"/>
      <w:sz w:val="26"/>
      <w:szCs w:val="20"/>
      <w:lang w:val="uk-UA" w:eastAsia="ru-RU"/>
    </w:rPr>
  </w:style>
  <w:style w:type="character" w:customStyle="1" w:styleId="atn">
    <w:name w:val="atn"/>
  </w:style>
  <w:style w:type="paragraph" w:styleId="TOC2">
    <w:name w:val="toc 2"/>
    <w:basedOn w:val="Normal"/>
    <w:next w:val="Normal"/>
    <w:autoRedefine/>
    <w:uiPriority w:val="39"/>
    <w:unhideWhenUsed/>
    <w:qFormat/>
    <w:pPr>
      <w:spacing w:after="100" w:line="276" w:lineRule="auto"/>
      <w:ind w:left="220"/>
    </w:pPr>
    <w:rPr>
      <w:rFonts w:ascii="Calibri" w:hAnsi="Calibri"/>
      <w:sz w:val="22"/>
      <w:szCs w:val="22"/>
      <w:lang w:val="en-US" w:eastAsia="en-US"/>
    </w:rPr>
  </w:style>
  <w:style w:type="paragraph" w:styleId="TOC3">
    <w:name w:val="toc 3"/>
    <w:basedOn w:val="Normal"/>
    <w:next w:val="Normal"/>
    <w:autoRedefine/>
    <w:uiPriority w:val="39"/>
    <w:unhideWhenUsed/>
    <w:qFormat/>
    <w:pPr>
      <w:spacing w:after="100" w:line="276" w:lineRule="auto"/>
      <w:ind w:left="440"/>
    </w:pPr>
    <w:rPr>
      <w:rFonts w:ascii="Calibri" w:hAnsi="Calibri"/>
      <w:sz w:val="22"/>
      <w:szCs w:val="22"/>
      <w:lang w:val="en-US" w:eastAsia="en-US"/>
    </w:rPr>
  </w:style>
  <w:style w:type="paragraph" w:styleId="TOC4">
    <w:name w:val="toc 4"/>
    <w:basedOn w:val="Normal"/>
    <w:next w:val="Normal"/>
    <w:autoRedefine/>
    <w:uiPriority w:val="39"/>
    <w:unhideWhenUsed/>
    <w:pPr>
      <w:spacing w:after="100" w:line="276" w:lineRule="auto"/>
      <w:ind w:left="660"/>
    </w:pPr>
    <w:rPr>
      <w:rFonts w:ascii="Calibri" w:hAnsi="Calibri"/>
      <w:sz w:val="22"/>
      <w:szCs w:val="22"/>
      <w:lang w:val="en-US" w:eastAsia="en-US"/>
    </w:rPr>
  </w:style>
  <w:style w:type="paragraph" w:styleId="TOC5">
    <w:name w:val="toc 5"/>
    <w:basedOn w:val="Normal"/>
    <w:next w:val="Normal"/>
    <w:autoRedefine/>
    <w:uiPriority w:val="39"/>
    <w:unhideWhenUsed/>
    <w:pPr>
      <w:spacing w:after="100" w:line="276" w:lineRule="auto"/>
      <w:ind w:left="880"/>
    </w:pPr>
    <w:rPr>
      <w:rFonts w:ascii="Calibri" w:hAnsi="Calibri"/>
      <w:sz w:val="22"/>
      <w:szCs w:val="22"/>
      <w:lang w:val="en-US" w:eastAsia="en-US"/>
    </w:rPr>
  </w:style>
  <w:style w:type="paragraph" w:styleId="TOC6">
    <w:name w:val="toc 6"/>
    <w:basedOn w:val="Normal"/>
    <w:next w:val="Normal"/>
    <w:autoRedefine/>
    <w:uiPriority w:val="39"/>
    <w:unhideWhenUsed/>
    <w:pPr>
      <w:spacing w:after="100" w:line="276" w:lineRule="auto"/>
      <w:ind w:left="1100"/>
    </w:pPr>
    <w:rPr>
      <w:rFonts w:ascii="Calibri" w:hAnsi="Calibri"/>
      <w:sz w:val="22"/>
      <w:szCs w:val="22"/>
      <w:lang w:val="en-US" w:eastAsia="en-US"/>
    </w:rPr>
  </w:style>
  <w:style w:type="paragraph" w:styleId="TOC7">
    <w:name w:val="toc 7"/>
    <w:basedOn w:val="Normal"/>
    <w:next w:val="Normal"/>
    <w:autoRedefine/>
    <w:uiPriority w:val="39"/>
    <w:unhideWhenUsed/>
    <w:pPr>
      <w:spacing w:after="100" w:line="276" w:lineRule="auto"/>
      <w:ind w:left="1320"/>
    </w:pPr>
    <w:rPr>
      <w:rFonts w:ascii="Calibri" w:hAnsi="Calibri"/>
      <w:sz w:val="22"/>
      <w:szCs w:val="22"/>
      <w:lang w:val="en-US" w:eastAsia="en-US"/>
    </w:rPr>
  </w:style>
  <w:style w:type="paragraph" w:styleId="TOC8">
    <w:name w:val="toc 8"/>
    <w:basedOn w:val="Normal"/>
    <w:next w:val="Normal"/>
    <w:autoRedefine/>
    <w:uiPriority w:val="39"/>
    <w:unhideWhenUsed/>
    <w:pPr>
      <w:spacing w:after="100" w:line="276" w:lineRule="auto"/>
      <w:ind w:left="1540"/>
    </w:pPr>
    <w:rPr>
      <w:rFonts w:ascii="Calibri" w:hAnsi="Calibri"/>
      <w:sz w:val="22"/>
      <w:szCs w:val="22"/>
      <w:lang w:val="en-US" w:eastAsia="en-US"/>
    </w:rPr>
  </w:style>
  <w:style w:type="paragraph" w:styleId="TOC9">
    <w:name w:val="toc 9"/>
    <w:basedOn w:val="Normal"/>
    <w:next w:val="Normal"/>
    <w:autoRedefine/>
    <w:uiPriority w:val="39"/>
    <w:unhideWhenUsed/>
    <w:pPr>
      <w:spacing w:after="100" w:line="276" w:lineRule="auto"/>
      <w:ind w:left="1760"/>
    </w:pPr>
    <w:rPr>
      <w:rFonts w:ascii="Calibri" w:hAnsi="Calibri"/>
      <w:sz w:val="22"/>
      <w:szCs w:val="22"/>
      <w:lang w:val="en-US" w:eastAsia="en-US"/>
    </w:rPr>
  </w:style>
  <w:style w:type="table" w:customStyle="1" w:styleId="GrilTabel1">
    <w:name w:val="Grilă Tabel1"/>
    <w:basedOn w:val="TableNormal"/>
    <w:next w:val="TableGrid"/>
    <w:uiPriority w:val="59"/>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qFormat/>
    <w:pPr>
      <w:spacing w:after="60"/>
      <w:jc w:val="center"/>
      <w:outlineLvl w:val="1"/>
    </w:pPr>
    <w:rPr>
      <w:rFonts w:ascii="Cambria" w:hAnsi="Cambria"/>
    </w:rPr>
  </w:style>
  <w:style w:type="character" w:customStyle="1" w:styleId="SubtitleChar">
    <w:name w:val="Subtitle Char"/>
    <w:link w:val="Subtitle"/>
    <w:rPr>
      <w:rFonts w:ascii="Cambria" w:eastAsia="Times New Roman" w:hAnsi="Cambria" w:cs="Times New Roman"/>
      <w:sz w:val="24"/>
      <w:szCs w:val="24"/>
    </w:rPr>
  </w:style>
  <w:style w:type="numbering" w:customStyle="1" w:styleId="FrListare1">
    <w:name w:val="Fără Listare1"/>
    <w:next w:val="NoList"/>
    <w:uiPriority w:val="99"/>
    <w:semiHidden/>
    <w:unhideWhenUsed/>
  </w:style>
  <w:style w:type="numbering" w:customStyle="1" w:styleId="FrListare11">
    <w:name w:val="Fără Listare11"/>
    <w:next w:val="NoList"/>
    <w:uiPriority w:val="99"/>
    <w:semiHidden/>
    <w:unhideWhenUsed/>
  </w:style>
  <w:style w:type="paragraph" w:styleId="NoSpacing">
    <w:name w:val="No Spacing"/>
    <w:uiPriority w:val="1"/>
    <w:qFormat/>
    <w:rPr>
      <w:rFonts w:ascii="Calibri" w:eastAsia="Calibri" w:hAnsi="Calibri"/>
      <w:sz w:val="22"/>
      <w:szCs w:val="22"/>
      <w:lang w:val="en-US"/>
    </w:rPr>
  </w:style>
  <w:style w:type="table" w:customStyle="1" w:styleId="GrilTabel2">
    <w:name w:val="Grilă Tabel2"/>
    <w:basedOn w:val="TableNormal"/>
    <w:next w:val="TableGrid"/>
    <w:uiPriority w:val="59"/>
    <w:rPr>
      <w:rFonts w:ascii="Arial" w:eastAsia="Calibri" w:hAnsi="Arial"/>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Tabel11">
    <w:name w:val="Grilă Tabel11"/>
    <w:basedOn w:val="TableNormal"/>
    <w:next w:val="TableGrid"/>
    <w:uiPriority w:val="59"/>
    <w:rPr>
      <w:rFonts w:ascii="Arial" w:eastAsia="Calibri" w:hAnsi="Arial"/>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Tabel3">
    <w:name w:val="Grilă Tabel3"/>
    <w:basedOn w:val="TableNormal"/>
    <w:next w:val="TableGrid"/>
    <w:uiPriority w:val="59"/>
    <w:rPr>
      <w:rFonts w:ascii="Arial" w:eastAsia="Calibri" w:hAnsi="Arial"/>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rListare2">
    <w:name w:val="Fără Listare2"/>
    <w:next w:val="NoList"/>
    <w:uiPriority w:val="99"/>
    <w:semiHidden/>
    <w:unhideWhenUsed/>
  </w:style>
  <w:style w:type="paragraph" w:styleId="TableofFigures">
    <w:name w:val="table of figures"/>
    <w:basedOn w:val="Normal"/>
    <w:next w:val="Normal"/>
    <w:uiPriority w:val="99"/>
    <w:rPr>
      <w:sz w:val="20"/>
    </w:rPr>
  </w:style>
  <w:style w:type="table" w:customStyle="1" w:styleId="GrilTabel4">
    <w:name w:val="Grilă Tabel4"/>
    <w:basedOn w:val="TableNormal"/>
    <w:next w:val="TableGrid"/>
    <w:uiPriority w:val="59"/>
    <w:rPr>
      <w:rFonts w:ascii="Arial" w:eastAsia="Calibri" w:hAnsi="Arial"/>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rListare3">
    <w:name w:val="Fără Listare3"/>
    <w:next w:val="NoList"/>
    <w:uiPriority w:val="99"/>
    <w:semiHidden/>
    <w:unhideWhenUsed/>
  </w:style>
  <w:style w:type="character" w:styleId="CommentReference">
    <w:name w:val="annotation reference"/>
    <w:rPr>
      <w:sz w:val="18"/>
      <w:szCs w:val="18"/>
    </w:rPr>
  </w:style>
  <w:style w:type="paragraph" w:styleId="CommentSubject">
    <w:name w:val="annotation subject"/>
    <w:basedOn w:val="CommentText"/>
    <w:next w:val="CommentText"/>
    <w:link w:val="CommentSubjectChar"/>
    <w:rPr>
      <w:b/>
      <w:bCs/>
      <w:lang w:val="ro-RO" w:eastAsia="ro-RO"/>
    </w:rPr>
  </w:style>
  <w:style w:type="character" w:customStyle="1" w:styleId="CommentSubjectChar">
    <w:name w:val="Comment Subject Char"/>
    <w:link w:val="CommentSubject"/>
    <w:rPr>
      <w:rFonts w:ascii="Arial" w:hAnsi="Arial"/>
      <w:b/>
      <w:bCs/>
      <w:lang w:val="ro-RO" w:eastAsia="ro-RO"/>
    </w:rPr>
  </w:style>
  <w:style w:type="paragraph" w:styleId="ListBullet">
    <w:name w:val="List Bullet"/>
    <w:basedOn w:val="List"/>
    <w:rsid w:val="0050645C"/>
    <w:pPr>
      <w:widowControl w:val="0"/>
      <w:suppressAutoHyphens/>
      <w:spacing w:after="57"/>
      <w:contextualSpacing w:val="0"/>
      <w:jc w:val="both"/>
    </w:pPr>
    <w:rPr>
      <w:rFonts w:ascii="Cambria" w:eastAsia="SimSun" w:hAnsi="Cambria" w:cs="Mangal"/>
      <w:kern w:val="1"/>
      <w:lang w:val="en-GB" w:eastAsia="zh-CN" w:bidi="hi-IN"/>
    </w:rPr>
  </w:style>
  <w:style w:type="paragraph" w:styleId="List">
    <w:name w:val="List"/>
    <w:basedOn w:val="Normal"/>
    <w:semiHidden/>
    <w:unhideWhenUsed/>
    <w:rsid w:val="0050645C"/>
    <w:pPr>
      <w:ind w:left="360" w:hanging="360"/>
      <w:contextualSpacing/>
    </w:pPr>
  </w:style>
  <w:style w:type="paragraph" w:styleId="Revision">
    <w:name w:val="Revision"/>
    <w:hidden/>
    <w:uiPriority w:val="71"/>
    <w:semiHidden/>
    <w:rsid w:val="00C7761C"/>
    <w:rPr>
      <w:rFonts w:ascii="Arial" w:hAnsi="Arial"/>
      <w:sz w:val="24"/>
      <w:szCs w:val="24"/>
      <w:lang w:val="ro-RO" w:eastAsia="ro-RO"/>
    </w:rPr>
  </w:style>
  <w:style w:type="character" w:customStyle="1" w:styleId="shorttext">
    <w:name w:val="short_text"/>
    <w:basedOn w:val="DefaultParagraphFont"/>
    <w:rsid w:val="0051104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caption" w:qFormat="1"/>
    <w:lsdException w:name="table of figures" w:uiPriority="99"/>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Table Grid" w:semiHidden="0" w:uiPriority="3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61"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4"/>
      <w:szCs w:val="24"/>
      <w:lang w:val="ro-RO" w:eastAsia="ro-RO"/>
    </w:rPr>
  </w:style>
  <w:style w:type="paragraph" w:styleId="Heading1">
    <w:name w:val="heading 1"/>
    <w:basedOn w:val="Normal"/>
    <w:next w:val="Normal"/>
    <w:link w:val="Heading1Char"/>
    <w:qFormat/>
    <w:pPr>
      <w:keepNext/>
      <w:spacing w:before="240" w:after="60"/>
      <w:outlineLvl w:val="0"/>
    </w:pPr>
    <w:rPr>
      <w:rFonts w:ascii="Cambria" w:hAnsi="Cambria"/>
      <w:b/>
      <w:bCs/>
      <w:kern w:val="32"/>
      <w:sz w:val="32"/>
      <w:szCs w:val="3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703"/>
        <w:tab w:val="right" w:pos="9406"/>
      </w:tabs>
    </w:pPr>
    <w:rPr>
      <w:rFonts w:ascii="Times New Roman" w:hAnsi="Times New Roman"/>
      <w:lang w:val="x-none" w:eastAsia="x-none"/>
    </w:rPr>
  </w:style>
  <w:style w:type="paragraph" w:styleId="Footer">
    <w:name w:val="footer"/>
    <w:basedOn w:val="Normal"/>
    <w:pPr>
      <w:tabs>
        <w:tab w:val="center" w:pos="4703"/>
        <w:tab w:val="right" w:pos="9406"/>
      </w:tabs>
    </w:pPr>
  </w:style>
  <w:style w:type="table" w:styleId="TableGrid">
    <w:name w:val="Table Grid"/>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Pr>
      <w:rFonts w:ascii="Tahoma" w:hAnsi="Tahoma" w:cs="Tahoma"/>
      <w:sz w:val="16"/>
      <w:szCs w:val="16"/>
    </w:rPr>
  </w:style>
  <w:style w:type="character" w:styleId="PageNumber">
    <w:name w:val="page number"/>
    <w:basedOn w:val="DefaultParagraphFont"/>
    <w:semiHidden/>
  </w:style>
  <w:style w:type="paragraph" w:styleId="BodyText">
    <w:name w:val="Body Text"/>
    <w:basedOn w:val="Normal"/>
    <w:semiHidden/>
    <w:pPr>
      <w:tabs>
        <w:tab w:val="left" w:pos="851"/>
      </w:tabs>
      <w:spacing w:line="160" w:lineRule="exact"/>
      <w:ind w:right="210"/>
      <w:jc w:val="center"/>
    </w:pPr>
    <w:rPr>
      <w:spacing w:val="-10"/>
      <w:szCs w:val="20"/>
      <w:lang w:eastAsia="en-US"/>
    </w:rPr>
  </w:style>
  <w:style w:type="paragraph" w:styleId="ListParagraph">
    <w:name w:val="List Paragraph"/>
    <w:basedOn w:val="Normal"/>
    <w:link w:val="ListParagraphChar"/>
    <w:uiPriority w:val="34"/>
    <w:qFormat/>
    <w:pPr>
      <w:tabs>
        <w:tab w:val="left" w:pos="851"/>
      </w:tabs>
      <w:spacing w:before="60" w:after="60"/>
      <w:ind w:left="720"/>
      <w:contextualSpacing/>
      <w:jc w:val="both"/>
    </w:pPr>
    <w:rPr>
      <w:szCs w:val="20"/>
      <w:lang w:eastAsia="x-none"/>
    </w:rPr>
  </w:style>
  <w:style w:type="character" w:customStyle="1" w:styleId="HeaderChar">
    <w:name w:val="Header Char"/>
    <w:link w:val="Header"/>
    <w:rPr>
      <w:sz w:val="24"/>
      <w:szCs w:val="24"/>
    </w:rPr>
  </w:style>
  <w:style w:type="paragraph" w:styleId="TOC1">
    <w:name w:val="toc 1"/>
    <w:basedOn w:val="Normal"/>
    <w:next w:val="Normal"/>
    <w:autoRedefine/>
    <w:uiPriority w:val="39"/>
    <w:unhideWhenUsed/>
    <w:qFormat/>
    <w:pPr>
      <w:spacing w:after="100"/>
    </w:pPr>
  </w:style>
  <w:style w:type="character" w:styleId="Hyperlink">
    <w:name w:val="Hyperlink"/>
    <w:uiPriority w:val="99"/>
    <w:unhideWhenUsed/>
    <w:rPr>
      <w:color w:val="0000FF"/>
      <w:u w:val="single"/>
    </w:rPr>
  </w:style>
  <w:style w:type="character" w:customStyle="1" w:styleId="Heading1Char">
    <w:name w:val="Heading 1 Char"/>
    <w:link w:val="Heading1"/>
    <w:rPr>
      <w:rFonts w:ascii="Cambria" w:eastAsia="Times New Roman" w:hAnsi="Cambria" w:cs="Times New Roman"/>
      <w:b/>
      <w:bCs/>
      <w:kern w:val="32"/>
      <w:sz w:val="32"/>
      <w:szCs w:val="32"/>
    </w:rPr>
  </w:style>
  <w:style w:type="paragraph" w:styleId="Title">
    <w:name w:val="Title"/>
    <w:basedOn w:val="Normal"/>
    <w:next w:val="Normal"/>
    <w:link w:val="TitleChar"/>
    <w:qFormat/>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rPr>
      <w:rFonts w:ascii="Cambria" w:eastAsia="Times New Roman" w:hAnsi="Cambria" w:cs="Times New Roman"/>
      <w:b/>
      <w:bCs/>
      <w:kern w:val="28"/>
      <w:sz w:val="32"/>
      <w:szCs w:val="32"/>
    </w:rPr>
  </w:style>
  <w:style w:type="paragraph" w:styleId="FootnoteText">
    <w:name w:val="footnote text"/>
    <w:aliases w:val="Fußnotentextf,single space,Fußnote,-E Fußnotentext,Fußnotentext Ursprung,Podrozdział,Footnote Text Char Char,FOOTNOTES,fn,Sprotna opomba - besedilo Znak1,Sprotna opomba - besedilo Znak Znak2,stile 1,Footnot,Footnote1,Podrozdzia3,Footnote"/>
    <w:basedOn w:val="Normal"/>
    <w:link w:val="FootnoteTextChar"/>
    <w:uiPriority w:val="99"/>
    <w:unhideWhenUsed/>
    <w:qFormat/>
    <w:rPr>
      <w:rFonts w:ascii="Calibri" w:eastAsia="Calibri" w:hAnsi="Calibri"/>
      <w:sz w:val="20"/>
      <w:szCs w:val="20"/>
      <w:lang w:val="en-US" w:eastAsia="en-US"/>
    </w:rPr>
  </w:style>
  <w:style w:type="character" w:customStyle="1" w:styleId="FootnoteTextChar">
    <w:name w:val="Footnote Text Char"/>
    <w:aliases w:val="Fußnotentextf Char,single space Char,Fußnote Char,-E Fußnotentext Char,Fußnotentext Ursprung Char,Podrozdział Char,Footnote Text Char Char Char,FOOTNOTES Char,fn Char,Sprotna opomba - besedilo Znak1 Char,stile 1 Char,Footnot Char"/>
    <w:link w:val="FootnoteText"/>
    <w:uiPriority w:val="99"/>
    <w:rPr>
      <w:rFonts w:ascii="Calibri" w:eastAsia="Calibri" w:hAnsi="Calibri"/>
      <w:lang w:val="en-US" w:eastAsia="en-US"/>
    </w:rPr>
  </w:style>
  <w:style w:type="paragraph" w:styleId="CommentText">
    <w:name w:val="annotation text"/>
    <w:basedOn w:val="Normal"/>
    <w:link w:val="CommentTextChar"/>
    <w:rPr>
      <w:sz w:val="20"/>
      <w:szCs w:val="20"/>
      <w:lang w:val="x-none" w:eastAsia="x-none"/>
    </w:rPr>
  </w:style>
  <w:style w:type="character" w:customStyle="1" w:styleId="CommentTextChar">
    <w:name w:val="Comment Text Char"/>
    <w:link w:val="CommentText"/>
    <w:rPr>
      <w:rFonts w:ascii="Arial" w:hAnsi="Arial"/>
    </w:rPr>
  </w:style>
  <w:style w:type="character" w:styleId="FootnoteReference">
    <w:name w:val="footnote reference"/>
    <w:aliases w:val="-E Fußnotenzeichen,Heading 6 Char1,Footnote2,Footnote symbol,Fussnota,ftref,Appel note de bas de p,SUPERS,Nota,(NECG) Footnote Reference,Voetnootverwijzing,Footnote Reference Superscript,BVI fnr,Footnotes refss,Lábjegyzet-hivatkozás"/>
    <w:uiPriority w:val="99"/>
    <w:unhideWhenUsed/>
    <w:rPr>
      <w:vertAlign w:val="superscript"/>
    </w:rPr>
  </w:style>
  <w:style w:type="character" w:customStyle="1" w:styleId="ListParagraphChar">
    <w:name w:val="List Paragraph Char"/>
    <w:link w:val="ListParagraph"/>
    <w:uiPriority w:val="34"/>
    <w:locked/>
    <w:rPr>
      <w:rFonts w:ascii="Arial" w:hAnsi="Arial"/>
      <w:sz w:val="24"/>
      <w:lang w:val="ro-RO"/>
    </w:rPr>
  </w:style>
  <w:style w:type="table" w:customStyle="1" w:styleId="LightList-Accent21">
    <w:name w:val="Light List - Accent 21"/>
    <w:basedOn w:val="TableNormal"/>
    <w:next w:val="LightList-Accent2"/>
    <w:uiPriority w:val="61"/>
    <w:rPr>
      <w:rFonts w:ascii="Calibri" w:eastAsia="Calibri" w:hAnsi="Calibri"/>
      <w:sz w:val="22"/>
      <w:szCs w:val="22"/>
      <w:lang w:val="ro-RO"/>
    </w:rPr>
    <w:tblPr>
      <w:tblStyleRowBandSize w:val="1"/>
      <w:tblStyleColBandSize w:val="1"/>
      <w:tblInd w:w="0" w:type="dxa"/>
      <w:tblBorders>
        <w:top w:val="single" w:sz="8" w:space="0" w:color="297FD5"/>
        <w:left w:val="single" w:sz="8" w:space="0" w:color="297FD5"/>
        <w:bottom w:val="single" w:sz="8" w:space="0" w:color="297FD5"/>
        <w:right w:val="single" w:sz="8" w:space="0" w:color="297F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297FD5"/>
      </w:tcPr>
    </w:tblStylePr>
    <w:tblStylePr w:type="lastRow">
      <w:pPr>
        <w:spacing w:before="0" w:after="0" w:line="240" w:lineRule="auto"/>
      </w:pPr>
      <w:rPr>
        <w:b/>
        <w:bCs/>
      </w:rPr>
      <w:tblPr/>
      <w:tcPr>
        <w:tcBorders>
          <w:top w:val="double" w:sz="6" w:space="0" w:color="297FD5"/>
          <w:left w:val="single" w:sz="8" w:space="0" w:color="297FD5"/>
          <w:bottom w:val="single" w:sz="8" w:space="0" w:color="297FD5"/>
          <w:right w:val="single" w:sz="8" w:space="0" w:color="297FD5"/>
        </w:tcBorders>
      </w:tcPr>
    </w:tblStylePr>
    <w:tblStylePr w:type="firstCol">
      <w:rPr>
        <w:b/>
        <w:bCs/>
      </w:rPr>
    </w:tblStylePr>
    <w:tblStylePr w:type="lastCol">
      <w:rPr>
        <w:b/>
        <w:bCs/>
      </w:rPr>
    </w:tblStylePr>
    <w:tblStylePr w:type="band1Vert">
      <w:tblPr/>
      <w:tcPr>
        <w:tcBorders>
          <w:top w:val="single" w:sz="8" w:space="0" w:color="297FD5"/>
          <w:left w:val="single" w:sz="8" w:space="0" w:color="297FD5"/>
          <w:bottom w:val="single" w:sz="8" w:space="0" w:color="297FD5"/>
          <w:right w:val="single" w:sz="8" w:space="0" w:color="297FD5"/>
        </w:tcBorders>
      </w:tcPr>
    </w:tblStylePr>
    <w:tblStylePr w:type="band1Horz">
      <w:tblPr/>
      <w:tcPr>
        <w:tcBorders>
          <w:top w:val="single" w:sz="8" w:space="0" w:color="297FD5"/>
          <w:left w:val="single" w:sz="8" w:space="0" w:color="297FD5"/>
          <w:bottom w:val="single" w:sz="8" w:space="0" w:color="297FD5"/>
          <w:right w:val="single" w:sz="8" w:space="0" w:color="297FD5"/>
        </w:tcBorders>
      </w:tcPr>
    </w:tblStylePr>
  </w:style>
  <w:style w:type="table" w:styleId="LightList-Accent2">
    <w:name w:val="Light List Accent 2"/>
    <w:basedOn w:val="TableNormal"/>
    <w:uiPriority w:val="61"/>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caption2">
    <w:name w:val="caption 2"/>
    <w:basedOn w:val="Normal"/>
    <w:link w:val="caption2Char"/>
    <w:qFormat/>
    <w:pPr>
      <w:widowControl w:val="0"/>
      <w:suppressLineNumbers/>
      <w:suppressAutoHyphens/>
      <w:spacing w:before="120" w:after="120"/>
    </w:pPr>
    <w:rPr>
      <w:rFonts w:ascii="Cambria" w:eastAsia="SimSun" w:hAnsi="Cambria" w:cs="Mangal"/>
      <w:i/>
      <w:iCs/>
      <w:kern w:val="1"/>
      <w:lang w:val="en-GB" w:eastAsia="zh-CN" w:bidi="hi-IN"/>
    </w:rPr>
  </w:style>
  <w:style w:type="character" w:customStyle="1" w:styleId="caption2Char">
    <w:name w:val="caption 2 Char"/>
    <w:link w:val="caption2"/>
    <w:rPr>
      <w:rFonts w:ascii="Cambria" w:eastAsia="SimSun" w:hAnsi="Cambria" w:cs="Mangal"/>
      <w:i/>
      <w:iCs/>
      <w:kern w:val="1"/>
      <w:sz w:val="24"/>
      <w:szCs w:val="24"/>
      <w:lang w:val="en-GB" w:eastAsia="zh-CN" w:bidi="hi-IN"/>
    </w:rPr>
  </w:style>
  <w:style w:type="character" w:customStyle="1" w:styleId="hps">
    <w:name w:val="hps"/>
  </w:style>
  <w:style w:type="paragraph" w:styleId="HTMLPreformatted">
    <w:name w:val="HTML Preformatted"/>
    <w:basedOn w:val="Normal"/>
    <w:link w:val="HTMLPreformattedChar"/>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PreformattedChar">
    <w:name w:val="HTML Preformatted Char"/>
    <w:link w:val="HTMLPreformatted"/>
    <w:uiPriority w:val="99"/>
    <w:rPr>
      <w:rFonts w:ascii="Courier New" w:hAnsi="Courier New" w:cs="Courier New"/>
      <w:lang w:val="en-US" w:eastAsia="en-US"/>
    </w:rPr>
  </w:style>
  <w:style w:type="paragraph" w:customStyle="1" w:styleId="Default">
    <w:name w:val="Default"/>
    <w:pPr>
      <w:autoSpaceDE w:val="0"/>
      <w:autoSpaceDN w:val="0"/>
      <w:adjustRightInd w:val="0"/>
    </w:pPr>
    <w:rPr>
      <w:rFonts w:eastAsia="Calibri"/>
      <w:color w:val="000000"/>
      <w:sz w:val="24"/>
      <w:szCs w:val="24"/>
      <w:lang w:val="en-US"/>
    </w:rPr>
  </w:style>
  <w:style w:type="paragraph" w:styleId="TOCHeading">
    <w:name w:val="TOC Heading"/>
    <w:basedOn w:val="Heading1"/>
    <w:next w:val="Normal"/>
    <w:uiPriority w:val="39"/>
    <w:semiHidden/>
    <w:unhideWhenUsed/>
    <w:qFormat/>
    <w:pPr>
      <w:keepLines/>
      <w:spacing w:before="480" w:after="0" w:line="276" w:lineRule="auto"/>
      <w:outlineLvl w:val="9"/>
    </w:pPr>
    <w:rPr>
      <w:color w:val="365F91"/>
      <w:kern w:val="0"/>
      <w:sz w:val="28"/>
      <w:szCs w:val="28"/>
      <w:lang w:val="en-US" w:eastAsia="en-US"/>
    </w:rPr>
  </w:style>
  <w:style w:type="paragraph" w:customStyle="1" w:styleId="a">
    <w:name w:val="Нормальний текст"/>
    <w:basedOn w:val="Normal"/>
    <w:pPr>
      <w:spacing w:before="120"/>
      <w:ind w:firstLine="567"/>
    </w:pPr>
    <w:rPr>
      <w:rFonts w:ascii="Antiqua" w:hAnsi="Antiqua"/>
      <w:sz w:val="26"/>
      <w:szCs w:val="20"/>
      <w:lang w:val="uk-UA" w:eastAsia="ru-RU"/>
    </w:rPr>
  </w:style>
  <w:style w:type="paragraph" w:customStyle="1" w:styleId="ShapkaDocumentu">
    <w:name w:val="Shapka Documentu"/>
    <w:basedOn w:val="Normal"/>
    <w:pPr>
      <w:keepNext/>
      <w:keepLines/>
      <w:spacing w:after="240"/>
      <w:ind w:left="3969"/>
      <w:jc w:val="center"/>
    </w:pPr>
    <w:rPr>
      <w:rFonts w:ascii="Antiqua" w:hAnsi="Antiqua"/>
      <w:sz w:val="26"/>
      <w:szCs w:val="20"/>
      <w:lang w:val="uk-UA" w:eastAsia="ru-RU"/>
    </w:rPr>
  </w:style>
  <w:style w:type="character" w:customStyle="1" w:styleId="atn">
    <w:name w:val="atn"/>
  </w:style>
  <w:style w:type="paragraph" w:styleId="TOC2">
    <w:name w:val="toc 2"/>
    <w:basedOn w:val="Normal"/>
    <w:next w:val="Normal"/>
    <w:autoRedefine/>
    <w:uiPriority w:val="39"/>
    <w:unhideWhenUsed/>
    <w:qFormat/>
    <w:pPr>
      <w:spacing w:after="100" w:line="276" w:lineRule="auto"/>
      <w:ind w:left="220"/>
    </w:pPr>
    <w:rPr>
      <w:rFonts w:ascii="Calibri" w:hAnsi="Calibri"/>
      <w:sz w:val="22"/>
      <w:szCs w:val="22"/>
      <w:lang w:val="en-US" w:eastAsia="en-US"/>
    </w:rPr>
  </w:style>
  <w:style w:type="paragraph" w:styleId="TOC3">
    <w:name w:val="toc 3"/>
    <w:basedOn w:val="Normal"/>
    <w:next w:val="Normal"/>
    <w:autoRedefine/>
    <w:uiPriority w:val="39"/>
    <w:unhideWhenUsed/>
    <w:qFormat/>
    <w:pPr>
      <w:spacing w:after="100" w:line="276" w:lineRule="auto"/>
      <w:ind w:left="440"/>
    </w:pPr>
    <w:rPr>
      <w:rFonts w:ascii="Calibri" w:hAnsi="Calibri"/>
      <w:sz w:val="22"/>
      <w:szCs w:val="22"/>
      <w:lang w:val="en-US" w:eastAsia="en-US"/>
    </w:rPr>
  </w:style>
  <w:style w:type="paragraph" w:styleId="TOC4">
    <w:name w:val="toc 4"/>
    <w:basedOn w:val="Normal"/>
    <w:next w:val="Normal"/>
    <w:autoRedefine/>
    <w:uiPriority w:val="39"/>
    <w:unhideWhenUsed/>
    <w:pPr>
      <w:spacing w:after="100" w:line="276" w:lineRule="auto"/>
      <w:ind w:left="660"/>
    </w:pPr>
    <w:rPr>
      <w:rFonts w:ascii="Calibri" w:hAnsi="Calibri"/>
      <w:sz w:val="22"/>
      <w:szCs w:val="22"/>
      <w:lang w:val="en-US" w:eastAsia="en-US"/>
    </w:rPr>
  </w:style>
  <w:style w:type="paragraph" w:styleId="TOC5">
    <w:name w:val="toc 5"/>
    <w:basedOn w:val="Normal"/>
    <w:next w:val="Normal"/>
    <w:autoRedefine/>
    <w:uiPriority w:val="39"/>
    <w:unhideWhenUsed/>
    <w:pPr>
      <w:spacing w:after="100" w:line="276" w:lineRule="auto"/>
      <w:ind w:left="880"/>
    </w:pPr>
    <w:rPr>
      <w:rFonts w:ascii="Calibri" w:hAnsi="Calibri"/>
      <w:sz w:val="22"/>
      <w:szCs w:val="22"/>
      <w:lang w:val="en-US" w:eastAsia="en-US"/>
    </w:rPr>
  </w:style>
  <w:style w:type="paragraph" w:styleId="TOC6">
    <w:name w:val="toc 6"/>
    <w:basedOn w:val="Normal"/>
    <w:next w:val="Normal"/>
    <w:autoRedefine/>
    <w:uiPriority w:val="39"/>
    <w:unhideWhenUsed/>
    <w:pPr>
      <w:spacing w:after="100" w:line="276" w:lineRule="auto"/>
      <w:ind w:left="1100"/>
    </w:pPr>
    <w:rPr>
      <w:rFonts w:ascii="Calibri" w:hAnsi="Calibri"/>
      <w:sz w:val="22"/>
      <w:szCs w:val="22"/>
      <w:lang w:val="en-US" w:eastAsia="en-US"/>
    </w:rPr>
  </w:style>
  <w:style w:type="paragraph" w:styleId="TOC7">
    <w:name w:val="toc 7"/>
    <w:basedOn w:val="Normal"/>
    <w:next w:val="Normal"/>
    <w:autoRedefine/>
    <w:uiPriority w:val="39"/>
    <w:unhideWhenUsed/>
    <w:pPr>
      <w:spacing w:after="100" w:line="276" w:lineRule="auto"/>
      <w:ind w:left="1320"/>
    </w:pPr>
    <w:rPr>
      <w:rFonts w:ascii="Calibri" w:hAnsi="Calibri"/>
      <w:sz w:val="22"/>
      <w:szCs w:val="22"/>
      <w:lang w:val="en-US" w:eastAsia="en-US"/>
    </w:rPr>
  </w:style>
  <w:style w:type="paragraph" w:styleId="TOC8">
    <w:name w:val="toc 8"/>
    <w:basedOn w:val="Normal"/>
    <w:next w:val="Normal"/>
    <w:autoRedefine/>
    <w:uiPriority w:val="39"/>
    <w:unhideWhenUsed/>
    <w:pPr>
      <w:spacing w:after="100" w:line="276" w:lineRule="auto"/>
      <w:ind w:left="1540"/>
    </w:pPr>
    <w:rPr>
      <w:rFonts w:ascii="Calibri" w:hAnsi="Calibri"/>
      <w:sz w:val="22"/>
      <w:szCs w:val="22"/>
      <w:lang w:val="en-US" w:eastAsia="en-US"/>
    </w:rPr>
  </w:style>
  <w:style w:type="paragraph" w:styleId="TOC9">
    <w:name w:val="toc 9"/>
    <w:basedOn w:val="Normal"/>
    <w:next w:val="Normal"/>
    <w:autoRedefine/>
    <w:uiPriority w:val="39"/>
    <w:unhideWhenUsed/>
    <w:pPr>
      <w:spacing w:after="100" w:line="276" w:lineRule="auto"/>
      <w:ind w:left="1760"/>
    </w:pPr>
    <w:rPr>
      <w:rFonts w:ascii="Calibri" w:hAnsi="Calibri"/>
      <w:sz w:val="22"/>
      <w:szCs w:val="22"/>
      <w:lang w:val="en-US" w:eastAsia="en-US"/>
    </w:rPr>
  </w:style>
  <w:style w:type="table" w:customStyle="1" w:styleId="GrilTabel1">
    <w:name w:val="Grilă Tabel1"/>
    <w:basedOn w:val="TableNormal"/>
    <w:next w:val="TableGrid"/>
    <w:uiPriority w:val="59"/>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qFormat/>
    <w:pPr>
      <w:spacing w:after="60"/>
      <w:jc w:val="center"/>
      <w:outlineLvl w:val="1"/>
    </w:pPr>
    <w:rPr>
      <w:rFonts w:ascii="Cambria" w:hAnsi="Cambria"/>
    </w:rPr>
  </w:style>
  <w:style w:type="character" w:customStyle="1" w:styleId="SubtitleChar">
    <w:name w:val="Subtitle Char"/>
    <w:link w:val="Subtitle"/>
    <w:rPr>
      <w:rFonts w:ascii="Cambria" w:eastAsia="Times New Roman" w:hAnsi="Cambria" w:cs="Times New Roman"/>
      <w:sz w:val="24"/>
      <w:szCs w:val="24"/>
    </w:rPr>
  </w:style>
  <w:style w:type="numbering" w:customStyle="1" w:styleId="FrListare1">
    <w:name w:val="Fără Listare1"/>
    <w:next w:val="NoList"/>
    <w:uiPriority w:val="99"/>
    <w:semiHidden/>
    <w:unhideWhenUsed/>
  </w:style>
  <w:style w:type="numbering" w:customStyle="1" w:styleId="FrListare11">
    <w:name w:val="Fără Listare11"/>
    <w:next w:val="NoList"/>
    <w:uiPriority w:val="99"/>
    <w:semiHidden/>
    <w:unhideWhenUsed/>
  </w:style>
  <w:style w:type="paragraph" w:styleId="NoSpacing">
    <w:name w:val="No Spacing"/>
    <w:uiPriority w:val="1"/>
    <w:qFormat/>
    <w:rPr>
      <w:rFonts w:ascii="Calibri" w:eastAsia="Calibri" w:hAnsi="Calibri"/>
      <w:sz w:val="22"/>
      <w:szCs w:val="22"/>
      <w:lang w:val="en-US"/>
    </w:rPr>
  </w:style>
  <w:style w:type="table" w:customStyle="1" w:styleId="GrilTabel2">
    <w:name w:val="Grilă Tabel2"/>
    <w:basedOn w:val="TableNormal"/>
    <w:next w:val="TableGrid"/>
    <w:uiPriority w:val="59"/>
    <w:rPr>
      <w:rFonts w:ascii="Arial" w:eastAsia="Calibri" w:hAnsi="Arial"/>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Tabel11">
    <w:name w:val="Grilă Tabel11"/>
    <w:basedOn w:val="TableNormal"/>
    <w:next w:val="TableGrid"/>
    <w:uiPriority w:val="59"/>
    <w:rPr>
      <w:rFonts w:ascii="Arial" w:eastAsia="Calibri" w:hAnsi="Arial"/>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Tabel3">
    <w:name w:val="Grilă Tabel3"/>
    <w:basedOn w:val="TableNormal"/>
    <w:next w:val="TableGrid"/>
    <w:uiPriority w:val="59"/>
    <w:rPr>
      <w:rFonts w:ascii="Arial" w:eastAsia="Calibri" w:hAnsi="Arial"/>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rListare2">
    <w:name w:val="Fără Listare2"/>
    <w:next w:val="NoList"/>
    <w:uiPriority w:val="99"/>
    <w:semiHidden/>
    <w:unhideWhenUsed/>
  </w:style>
  <w:style w:type="paragraph" w:styleId="TableofFigures">
    <w:name w:val="table of figures"/>
    <w:basedOn w:val="Normal"/>
    <w:next w:val="Normal"/>
    <w:uiPriority w:val="99"/>
    <w:rPr>
      <w:sz w:val="20"/>
    </w:rPr>
  </w:style>
  <w:style w:type="table" w:customStyle="1" w:styleId="GrilTabel4">
    <w:name w:val="Grilă Tabel4"/>
    <w:basedOn w:val="TableNormal"/>
    <w:next w:val="TableGrid"/>
    <w:uiPriority w:val="59"/>
    <w:rPr>
      <w:rFonts w:ascii="Arial" w:eastAsia="Calibri" w:hAnsi="Arial"/>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rListare3">
    <w:name w:val="Fără Listare3"/>
    <w:next w:val="NoList"/>
    <w:uiPriority w:val="99"/>
    <w:semiHidden/>
    <w:unhideWhenUsed/>
  </w:style>
  <w:style w:type="character" w:styleId="CommentReference">
    <w:name w:val="annotation reference"/>
    <w:rPr>
      <w:sz w:val="18"/>
      <w:szCs w:val="18"/>
    </w:rPr>
  </w:style>
  <w:style w:type="paragraph" w:styleId="CommentSubject">
    <w:name w:val="annotation subject"/>
    <w:basedOn w:val="CommentText"/>
    <w:next w:val="CommentText"/>
    <w:link w:val="CommentSubjectChar"/>
    <w:rPr>
      <w:b/>
      <w:bCs/>
      <w:lang w:val="ro-RO" w:eastAsia="ro-RO"/>
    </w:rPr>
  </w:style>
  <w:style w:type="character" w:customStyle="1" w:styleId="CommentSubjectChar">
    <w:name w:val="Comment Subject Char"/>
    <w:link w:val="CommentSubject"/>
    <w:rPr>
      <w:rFonts w:ascii="Arial" w:hAnsi="Arial"/>
      <w:b/>
      <w:bCs/>
      <w:lang w:val="ro-RO" w:eastAsia="ro-RO"/>
    </w:rPr>
  </w:style>
  <w:style w:type="paragraph" w:styleId="ListBullet">
    <w:name w:val="List Bullet"/>
    <w:basedOn w:val="List"/>
    <w:rsid w:val="0050645C"/>
    <w:pPr>
      <w:widowControl w:val="0"/>
      <w:suppressAutoHyphens/>
      <w:spacing w:after="57"/>
      <w:contextualSpacing w:val="0"/>
      <w:jc w:val="both"/>
    </w:pPr>
    <w:rPr>
      <w:rFonts w:ascii="Cambria" w:eastAsia="SimSun" w:hAnsi="Cambria" w:cs="Mangal"/>
      <w:kern w:val="1"/>
      <w:lang w:val="en-GB" w:eastAsia="zh-CN" w:bidi="hi-IN"/>
    </w:rPr>
  </w:style>
  <w:style w:type="paragraph" w:styleId="List">
    <w:name w:val="List"/>
    <w:basedOn w:val="Normal"/>
    <w:semiHidden/>
    <w:unhideWhenUsed/>
    <w:rsid w:val="0050645C"/>
    <w:pPr>
      <w:ind w:left="360" w:hanging="360"/>
      <w:contextualSpacing/>
    </w:pPr>
  </w:style>
  <w:style w:type="paragraph" w:styleId="Revision">
    <w:name w:val="Revision"/>
    <w:hidden/>
    <w:uiPriority w:val="71"/>
    <w:semiHidden/>
    <w:rsid w:val="00C7761C"/>
    <w:rPr>
      <w:rFonts w:ascii="Arial" w:hAnsi="Arial"/>
      <w:sz w:val="24"/>
      <w:szCs w:val="24"/>
      <w:lang w:val="ro-RO" w:eastAsia="ro-RO"/>
    </w:rPr>
  </w:style>
  <w:style w:type="character" w:customStyle="1" w:styleId="shorttext">
    <w:name w:val="short_text"/>
    <w:basedOn w:val="DefaultParagraphFont"/>
    <w:rsid w:val="005110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357364">
      <w:bodyDiv w:val="1"/>
      <w:marLeft w:val="0"/>
      <w:marRight w:val="0"/>
      <w:marTop w:val="0"/>
      <w:marBottom w:val="0"/>
      <w:divBdr>
        <w:top w:val="none" w:sz="0" w:space="0" w:color="auto"/>
        <w:left w:val="none" w:sz="0" w:space="0" w:color="auto"/>
        <w:bottom w:val="none" w:sz="0" w:space="0" w:color="auto"/>
        <w:right w:val="none" w:sz="0" w:space="0" w:color="auto"/>
      </w:divBdr>
      <w:divsChild>
        <w:div w:id="439691080">
          <w:marLeft w:val="0"/>
          <w:marRight w:val="0"/>
          <w:marTop w:val="0"/>
          <w:marBottom w:val="0"/>
          <w:divBdr>
            <w:top w:val="none" w:sz="0" w:space="0" w:color="auto"/>
            <w:left w:val="none" w:sz="0" w:space="0" w:color="auto"/>
            <w:bottom w:val="none" w:sz="0" w:space="0" w:color="auto"/>
            <w:right w:val="none" w:sz="0" w:space="0" w:color="auto"/>
          </w:divBdr>
          <w:divsChild>
            <w:div w:id="2042777880">
              <w:marLeft w:val="0"/>
              <w:marRight w:val="0"/>
              <w:marTop w:val="0"/>
              <w:marBottom w:val="0"/>
              <w:divBdr>
                <w:top w:val="none" w:sz="0" w:space="0" w:color="auto"/>
                <w:left w:val="none" w:sz="0" w:space="0" w:color="auto"/>
                <w:bottom w:val="none" w:sz="0" w:space="0" w:color="auto"/>
                <w:right w:val="none" w:sz="0" w:space="0" w:color="auto"/>
              </w:divBdr>
              <w:divsChild>
                <w:div w:id="85014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03365">
      <w:bodyDiv w:val="1"/>
      <w:marLeft w:val="0"/>
      <w:marRight w:val="0"/>
      <w:marTop w:val="0"/>
      <w:marBottom w:val="0"/>
      <w:divBdr>
        <w:top w:val="none" w:sz="0" w:space="0" w:color="auto"/>
        <w:left w:val="none" w:sz="0" w:space="0" w:color="auto"/>
        <w:bottom w:val="none" w:sz="0" w:space="0" w:color="auto"/>
        <w:right w:val="none" w:sz="0" w:space="0" w:color="auto"/>
      </w:divBdr>
      <w:divsChild>
        <w:div w:id="2069182181">
          <w:marLeft w:val="0"/>
          <w:marRight w:val="0"/>
          <w:marTop w:val="0"/>
          <w:marBottom w:val="0"/>
          <w:divBdr>
            <w:top w:val="none" w:sz="0" w:space="0" w:color="auto"/>
            <w:left w:val="none" w:sz="0" w:space="0" w:color="auto"/>
            <w:bottom w:val="none" w:sz="0" w:space="0" w:color="auto"/>
            <w:right w:val="none" w:sz="0" w:space="0" w:color="auto"/>
          </w:divBdr>
          <w:divsChild>
            <w:div w:id="1332102525">
              <w:marLeft w:val="0"/>
              <w:marRight w:val="0"/>
              <w:marTop w:val="0"/>
              <w:marBottom w:val="0"/>
              <w:divBdr>
                <w:top w:val="none" w:sz="0" w:space="0" w:color="auto"/>
                <w:left w:val="none" w:sz="0" w:space="0" w:color="auto"/>
                <w:bottom w:val="none" w:sz="0" w:space="0" w:color="auto"/>
                <w:right w:val="none" w:sz="0" w:space="0" w:color="auto"/>
              </w:divBdr>
              <w:divsChild>
                <w:div w:id="138729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39232">
      <w:bodyDiv w:val="1"/>
      <w:marLeft w:val="0"/>
      <w:marRight w:val="0"/>
      <w:marTop w:val="0"/>
      <w:marBottom w:val="0"/>
      <w:divBdr>
        <w:top w:val="none" w:sz="0" w:space="0" w:color="auto"/>
        <w:left w:val="none" w:sz="0" w:space="0" w:color="auto"/>
        <w:bottom w:val="none" w:sz="0" w:space="0" w:color="auto"/>
        <w:right w:val="none" w:sz="0" w:space="0" w:color="auto"/>
      </w:divBdr>
      <w:divsChild>
        <w:div w:id="1758674889">
          <w:marLeft w:val="0"/>
          <w:marRight w:val="0"/>
          <w:marTop w:val="0"/>
          <w:marBottom w:val="0"/>
          <w:divBdr>
            <w:top w:val="none" w:sz="0" w:space="0" w:color="auto"/>
            <w:left w:val="none" w:sz="0" w:space="0" w:color="auto"/>
            <w:bottom w:val="none" w:sz="0" w:space="0" w:color="auto"/>
            <w:right w:val="none" w:sz="0" w:space="0" w:color="auto"/>
          </w:divBdr>
          <w:divsChild>
            <w:div w:id="777143730">
              <w:marLeft w:val="0"/>
              <w:marRight w:val="0"/>
              <w:marTop w:val="0"/>
              <w:marBottom w:val="0"/>
              <w:divBdr>
                <w:top w:val="none" w:sz="0" w:space="0" w:color="auto"/>
                <w:left w:val="none" w:sz="0" w:space="0" w:color="auto"/>
                <w:bottom w:val="none" w:sz="0" w:space="0" w:color="auto"/>
                <w:right w:val="none" w:sz="0" w:space="0" w:color="auto"/>
              </w:divBdr>
              <w:divsChild>
                <w:div w:id="186759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751328">
      <w:bodyDiv w:val="1"/>
      <w:marLeft w:val="0"/>
      <w:marRight w:val="0"/>
      <w:marTop w:val="0"/>
      <w:marBottom w:val="0"/>
      <w:divBdr>
        <w:top w:val="none" w:sz="0" w:space="0" w:color="auto"/>
        <w:left w:val="none" w:sz="0" w:space="0" w:color="auto"/>
        <w:bottom w:val="none" w:sz="0" w:space="0" w:color="auto"/>
        <w:right w:val="none" w:sz="0" w:space="0" w:color="auto"/>
      </w:divBdr>
      <w:divsChild>
        <w:div w:id="1855990981">
          <w:marLeft w:val="0"/>
          <w:marRight w:val="0"/>
          <w:marTop w:val="0"/>
          <w:marBottom w:val="0"/>
          <w:divBdr>
            <w:top w:val="none" w:sz="0" w:space="0" w:color="auto"/>
            <w:left w:val="none" w:sz="0" w:space="0" w:color="auto"/>
            <w:bottom w:val="none" w:sz="0" w:space="0" w:color="auto"/>
            <w:right w:val="none" w:sz="0" w:space="0" w:color="auto"/>
          </w:divBdr>
          <w:divsChild>
            <w:div w:id="1515070102">
              <w:marLeft w:val="0"/>
              <w:marRight w:val="0"/>
              <w:marTop w:val="0"/>
              <w:marBottom w:val="0"/>
              <w:divBdr>
                <w:top w:val="none" w:sz="0" w:space="0" w:color="auto"/>
                <w:left w:val="none" w:sz="0" w:space="0" w:color="auto"/>
                <w:bottom w:val="none" w:sz="0" w:space="0" w:color="auto"/>
                <w:right w:val="none" w:sz="0" w:space="0" w:color="auto"/>
              </w:divBdr>
              <w:divsChild>
                <w:div w:id="90140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150256">
      <w:bodyDiv w:val="1"/>
      <w:marLeft w:val="0"/>
      <w:marRight w:val="0"/>
      <w:marTop w:val="0"/>
      <w:marBottom w:val="0"/>
      <w:divBdr>
        <w:top w:val="none" w:sz="0" w:space="0" w:color="auto"/>
        <w:left w:val="none" w:sz="0" w:space="0" w:color="auto"/>
        <w:bottom w:val="none" w:sz="0" w:space="0" w:color="auto"/>
        <w:right w:val="none" w:sz="0" w:space="0" w:color="auto"/>
      </w:divBdr>
    </w:div>
    <w:div w:id="394352387">
      <w:bodyDiv w:val="1"/>
      <w:marLeft w:val="0"/>
      <w:marRight w:val="0"/>
      <w:marTop w:val="0"/>
      <w:marBottom w:val="0"/>
      <w:divBdr>
        <w:top w:val="none" w:sz="0" w:space="0" w:color="auto"/>
        <w:left w:val="none" w:sz="0" w:space="0" w:color="auto"/>
        <w:bottom w:val="none" w:sz="0" w:space="0" w:color="auto"/>
        <w:right w:val="none" w:sz="0" w:space="0" w:color="auto"/>
      </w:divBdr>
      <w:divsChild>
        <w:div w:id="477188172">
          <w:marLeft w:val="0"/>
          <w:marRight w:val="0"/>
          <w:marTop w:val="0"/>
          <w:marBottom w:val="0"/>
          <w:divBdr>
            <w:top w:val="none" w:sz="0" w:space="0" w:color="auto"/>
            <w:left w:val="none" w:sz="0" w:space="0" w:color="auto"/>
            <w:bottom w:val="none" w:sz="0" w:space="0" w:color="auto"/>
            <w:right w:val="none" w:sz="0" w:space="0" w:color="auto"/>
          </w:divBdr>
          <w:divsChild>
            <w:div w:id="138613822">
              <w:marLeft w:val="0"/>
              <w:marRight w:val="0"/>
              <w:marTop w:val="0"/>
              <w:marBottom w:val="0"/>
              <w:divBdr>
                <w:top w:val="none" w:sz="0" w:space="0" w:color="auto"/>
                <w:left w:val="none" w:sz="0" w:space="0" w:color="auto"/>
                <w:bottom w:val="none" w:sz="0" w:space="0" w:color="auto"/>
                <w:right w:val="none" w:sz="0" w:space="0" w:color="auto"/>
              </w:divBdr>
              <w:divsChild>
                <w:div w:id="190522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213053">
      <w:bodyDiv w:val="1"/>
      <w:marLeft w:val="0"/>
      <w:marRight w:val="0"/>
      <w:marTop w:val="0"/>
      <w:marBottom w:val="0"/>
      <w:divBdr>
        <w:top w:val="none" w:sz="0" w:space="0" w:color="auto"/>
        <w:left w:val="none" w:sz="0" w:space="0" w:color="auto"/>
        <w:bottom w:val="none" w:sz="0" w:space="0" w:color="auto"/>
        <w:right w:val="none" w:sz="0" w:space="0" w:color="auto"/>
      </w:divBdr>
      <w:divsChild>
        <w:div w:id="1997606980">
          <w:marLeft w:val="0"/>
          <w:marRight w:val="0"/>
          <w:marTop w:val="0"/>
          <w:marBottom w:val="0"/>
          <w:divBdr>
            <w:top w:val="none" w:sz="0" w:space="0" w:color="auto"/>
            <w:left w:val="none" w:sz="0" w:space="0" w:color="auto"/>
            <w:bottom w:val="none" w:sz="0" w:space="0" w:color="auto"/>
            <w:right w:val="none" w:sz="0" w:space="0" w:color="auto"/>
          </w:divBdr>
          <w:divsChild>
            <w:div w:id="999574460">
              <w:marLeft w:val="0"/>
              <w:marRight w:val="0"/>
              <w:marTop w:val="0"/>
              <w:marBottom w:val="0"/>
              <w:divBdr>
                <w:top w:val="none" w:sz="0" w:space="0" w:color="auto"/>
                <w:left w:val="none" w:sz="0" w:space="0" w:color="auto"/>
                <w:bottom w:val="none" w:sz="0" w:space="0" w:color="auto"/>
                <w:right w:val="none" w:sz="0" w:space="0" w:color="auto"/>
              </w:divBdr>
              <w:divsChild>
                <w:div w:id="145451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969915">
      <w:bodyDiv w:val="1"/>
      <w:marLeft w:val="0"/>
      <w:marRight w:val="0"/>
      <w:marTop w:val="0"/>
      <w:marBottom w:val="0"/>
      <w:divBdr>
        <w:top w:val="none" w:sz="0" w:space="0" w:color="auto"/>
        <w:left w:val="none" w:sz="0" w:space="0" w:color="auto"/>
        <w:bottom w:val="none" w:sz="0" w:space="0" w:color="auto"/>
        <w:right w:val="none" w:sz="0" w:space="0" w:color="auto"/>
      </w:divBdr>
      <w:divsChild>
        <w:div w:id="51318499">
          <w:marLeft w:val="0"/>
          <w:marRight w:val="0"/>
          <w:marTop w:val="96"/>
          <w:marBottom w:val="0"/>
          <w:divBdr>
            <w:top w:val="none" w:sz="0" w:space="0" w:color="auto"/>
            <w:left w:val="none" w:sz="0" w:space="0" w:color="auto"/>
            <w:bottom w:val="none" w:sz="0" w:space="0" w:color="auto"/>
            <w:right w:val="none" w:sz="0" w:space="0" w:color="auto"/>
          </w:divBdr>
        </w:div>
        <w:div w:id="358630179">
          <w:marLeft w:val="187"/>
          <w:marRight w:val="0"/>
          <w:marTop w:val="96"/>
          <w:marBottom w:val="0"/>
          <w:divBdr>
            <w:top w:val="none" w:sz="0" w:space="0" w:color="auto"/>
            <w:left w:val="none" w:sz="0" w:space="0" w:color="auto"/>
            <w:bottom w:val="none" w:sz="0" w:space="0" w:color="auto"/>
            <w:right w:val="none" w:sz="0" w:space="0" w:color="auto"/>
          </w:divBdr>
        </w:div>
      </w:divsChild>
    </w:div>
    <w:div w:id="613097013">
      <w:bodyDiv w:val="1"/>
      <w:marLeft w:val="0"/>
      <w:marRight w:val="0"/>
      <w:marTop w:val="0"/>
      <w:marBottom w:val="0"/>
      <w:divBdr>
        <w:top w:val="none" w:sz="0" w:space="0" w:color="auto"/>
        <w:left w:val="none" w:sz="0" w:space="0" w:color="auto"/>
        <w:bottom w:val="none" w:sz="0" w:space="0" w:color="auto"/>
        <w:right w:val="none" w:sz="0" w:space="0" w:color="auto"/>
      </w:divBdr>
      <w:divsChild>
        <w:div w:id="114836185">
          <w:marLeft w:val="0"/>
          <w:marRight w:val="0"/>
          <w:marTop w:val="0"/>
          <w:marBottom w:val="0"/>
          <w:divBdr>
            <w:top w:val="none" w:sz="0" w:space="0" w:color="auto"/>
            <w:left w:val="none" w:sz="0" w:space="0" w:color="auto"/>
            <w:bottom w:val="none" w:sz="0" w:space="0" w:color="auto"/>
            <w:right w:val="none" w:sz="0" w:space="0" w:color="auto"/>
          </w:divBdr>
          <w:divsChild>
            <w:div w:id="520095231">
              <w:marLeft w:val="0"/>
              <w:marRight w:val="0"/>
              <w:marTop w:val="0"/>
              <w:marBottom w:val="0"/>
              <w:divBdr>
                <w:top w:val="none" w:sz="0" w:space="0" w:color="auto"/>
                <w:left w:val="none" w:sz="0" w:space="0" w:color="auto"/>
                <w:bottom w:val="none" w:sz="0" w:space="0" w:color="auto"/>
                <w:right w:val="none" w:sz="0" w:space="0" w:color="auto"/>
              </w:divBdr>
              <w:divsChild>
                <w:div w:id="83920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239504">
      <w:bodyDiv w:val="1"/>
      <w:marLeft w:val="0"/>
      <w:marRight w:val="0"/>
      <w:marTop w:val="0"/>
      <w:marBottom w:val="0"/>
      <w:divBdr>
        <w:top w:val="none" w:sz="0" w:space="0" w:color="auto"/>
        <w:left w:val="none" w:sz="0" w:space="0" w:color="auto"/>
        <w:bottom w:val="none" w:sz="0" w:space="0" w:color="auto"/>
        <w:right w:val="none" w:sz="0" w:space="0" w:color="auto"/>
      </w:divBdr>
      <w:divsChild>
        <w:div w:id="303318509">
          <w:marLeft w:val="0"/>
          <w:marRight w:val="0"/>
          <w:marTop w:val="0"/>
          <w:marBottom w:val="0"/>
          <w:divBdr>
            <w:top w:val="none" w:sz="0" w:space="0" w:color="auto"/>
            <w:left w:val="none" w:sz="0" w:space="0" w:color="auto"/>
            <w:bottom w:val="none" w:sz="0" w:space="0" w:color="auto"/>
            <w:right w:val="none" w:sz="0" w:space="0" w:color="auto"/>
          </w:divBdr>
          <w:divsChild>
            <w:div w:id="1308975044">
              <w:marLeft w:val="0"/>
              <w:marRight w:val="0"/>
              <w:marTop w:val="0"/>
              <w:marBottom w:val="0"/>
              <w:divBdr>
                <w:top w:val="none" w:sz="0" w:space="0" w:color="auto"/>
                <w:left w:val="none" w:sz="0" w:space="0" w:color="auto"/>
                <w:bottom w:val="none" w:sz="0" w:space="0" w:color="auto"/>
                <w:right w:val="none" w:sz="0" w:space="0" w:color="auto"/>
              </w:divBdr>
              <w:divsChild>
                <w:div w:id="101780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352850">
      <w:bodyDiv w:val="1"/>
      <w:marLeft w:val="0"/>
      <w:marRight w:val="0"/>
      <w:marTop w:val="0"/>
      <w:marBottom w:val="0"/>
      <w:divBdr>
        <w:top w:val="none" w:sz="0" w:space="0" w:color="auto"/>
        <w:left w:val="none" w:sz="0" w:space="0" w:color="auto"/>
        <w:bottom w:val="none" w:sz="0" w:space="0" w:color="auto"/>
        <w:right w:val="none" w:sz="0" w:space="0" w:color="auto"/>
      </w:divBdr>
      <w:divsChild>
        <w:div w:id="287977693">
          <w:marLeft w:val="0"/>
          <w:marRight w:val="0"/>
          <w:marTop w:val="0"/>
          <w:marBottom w:val="0"/>
          <w:divBdr>
            <w:top w:val="none" w:sz="0" w:space="0" w:color="auto"/>
            <w:left w:val="none" w:sz="0" w:space="0" w:color="auto"/>
            <w:bottom w:val="none" w:sz="0" w:space="0" w:color="auto"/>
            <w:right w:val="none" w:sz="0" w:space="0" w:color="auto"/>
          </w:divBdr>
          <w:divsChild>
            <w:div w:id="778329508">
              <w:marLeft w:val="0"/>
              <w:marRight w:val="0"/>
              <w:marTop w:val="0"/>
              <w:marBottom w:val="0"/>
              <w:divBdr>
                <w:top w:val="none" w:sz="0" w:space="0" w:color="auto"/>
                <w:left w:val="none" w:sz="0" w:space="0" w:color="auto"/>
                <w:bottom w:val="none" w:sz="0" w:space="0" w:color="auto"/>
                <w:right w:val="none" w:sz="0" w:space="0" w:color="auto"/>
              </w:divBdr>
              <w:divsChild>
                <w:div w:id="2146776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096760">
      <w:bodyDiv w:val="1"/>
      <w:marLeft w:val="0"/>
      <w:marRight w:val="0"/>
      <w:marTop w:val="0"/>
      <w:marBottom w:val="0"/>
      <w:divBdr>
        <w:top w:val="none" w:sz="0" w:space="0" w:color="auto"/>
        <w:left w:val="none" w:sz="0" w:space="0" w:color="auto"/>
        <w:bottom w:val="none" w:sz="0" w:space="0" w:color="auto"/>
        <w:right w:val="none" w:sz="0" w:space="0" w:color="auto"/>
      </w:divBdr>
      <w:divsChild>
        <w:div w:id="262618364">
          <w:marLeft w:val="0"/>
          <w:marRight w:val="0"/>
          <w:marTop w:val="0"/>
          <w:marBottom w:val="0"/>
          <w:divBdr>
            <w:top w:val="none" w:sz="0" w:space="0" w:color="auto"/>
            <w:left w:val="none" w:sz="0" w:space="0" w:color="auto"/>
            <w:bottom w:val="none" w:sz="0" w:space="0" w:color="auto"/>
            <w:right w:val="none" w:sz="0" w:space="0" w:color="auto"/>
          </w:divBdr>
          <w:divsChild>
            <w:div w:id="441800630">
              <w:marLeft w:val="0"/>
              <w:marRight w:val="0"/>
              <w:marTop w:val="0"/>
              <w:marBottom w:val="0"/>
              <w:divBdr>
                <w:top w:val="none" w:sz="0" w:space="0" w:color="auto"/>
                <w:left w:val="none" w:sz="0" w:space="0" w:color="auto"/>
                <w:bottom w:val="none" w:sz="0" w:space="0" w:color="auto"/>
                <w:right w:val="none" w:sz="0" w:space="0" w:color="auto"/>
              </w:divBdr>
              <w:divsChild>
                <w:div w:id="156383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255238">
      <w:bodyDiv w:val="1"/>
      <w:marLeft w:val="0"/>
      <w:marRight w:val="0"/>
      <w:marTop w:val="0"/>
      <w:marBottom w:val="0"/>
      <w:divBdr>
        <w:top w:val="none" w:sz="0" w:space="0" w:color="auto"/>
        <w:left w:val="none" w:sz="0" w:space="0" w:color="auto"/>
        <w:bottom w:val="none" w:sz="0" w:space="0" w:color="auto"/>
        <w:right w:val="none" w:sz="0" w:space="0" w:color="auto"/>
      </w:divBdr>
      <w:divsChild>
        <w:div w:id="138689888">
          <w:marLeft w:val="0"/>
          <w:marRight w:val="0"/>
          <w:marTop w:val="0"/>
          <w:marBottom w:val="0"/>
          <w:divBdr>
            <w:top w:val="none" w:sz="0" w:space="0" w:color="auto"/>
            <w:left w:val="none" w:sz="0" w:space="0" w:color="auto"/>
            <w:bottom w:val="none" w:sz="0" w:space="0" w:color="auto"/>
            <w:right w:val="none" w:sz="0" w:space="0" w:color="auto"/>
          </w:divBdr>
          <w:divsChild>
            <w:div w:id="1324624479">
              <w:marLeft w:val="0"/>
              <w:marRight w:val="0"/>
              <w:marTop w:val="0"/>
              <w:marBottom w:val="0"/>
              <w:divBdr>
                <w:top w:val="none" w:sz="0" w:space="0" w:color="auto"/>
                <w:left w:val="none" w:sz="0" w:space="0" w:color="auto"/>
                <w:bottom w:val="none" w:sz="0" w:space="0" w:color="auto"/>
                <w:right w:val="none" w:sz="0" w:space="0" w:color="auto"/>
              </w:divBdr>
              <w:divsChild>
                <w:div w:id="29452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023599">
      <w:bodyDiv w:val="1"/>
      <w:marLeft w:val="0"/>
      <w:marRight w:val="0"/>
      <w:marTop w:val="0"/>
      <w:marBottom w:val="0"/>
      <w:divBdr>
        <w:top w:val="none" w:sz="0" w:space="0" w:color="auto"/>
        <w:left w:val="none" w:sz="0" w:space="0" w:color="auto"/>
        <w:bottom w:val="none" w:sz="0" w:space="0" w:color="auto"/>
        <w:right w:val="none" w:sz="0" w:space="0" w:color="auto"/>
      </w:divBdr>
      <w:divsChild>
        <w:div w:id="1946227875">
          <w:marLeft w:val="0"/>
          <w:marRight w:val="0"/>
          <w:marTop w:val="0"/>
          <w:marBottom w:val="0"/>
          <w:divBdr>
            <w:top w:val="none" w:sz="0" w:space="0" w:color="auto"/>
            <w:left w:val="none" w:sz="0" w:space="0" w:color="auto"/>
            <w:bottom w:val="none" w:sz="0" w:space="0" w:color="auto"/>
            <w:right w:val="none" w:sz="0" w:space="0" w:color="auto"/>
          </w:divBdr>
          <w:divsChild>
            <w:div w:id="450591615">
              <w:marLeft w:val="0"/>
              <w:marRight w:val="0"/>
              <w:marTop w:val="0"/>
              <w:marBottom w:val="0"/>
              <w:divBdr>
                <w:top w:val="none" w:sz="0" w:space="0" w:color="auto"/>
                <w:left w:val="none" w:sz="0" w:space="0" w:color="auto"/>
                <w:bottom w:val="none" w:sz="0" w:space="0" w:color="auto"/>
                <w:right w:val="none" w:sz="0" w:space="0" w:color="auto"/>
              </w:divBdr>
              <w:divsChild>
                <w:div w:id="149541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807327">
      <w:bodyDiv w:val="1"/>
      <w:marLeft w:val="0"/>
      <w:marRight w:val="0"/>
      <w:marTop w:val="0"/>
      <w:marBottom w:val="0"/>
      <w:divBdr>
        <w:top w:val="none" w:sz="0" w:space="0" w:color="auto"/>
        <w:left w:val="none" w:sz="0" w:space="0" w:color="auto"/>
        <w:bottom w:val="none" w:sz="0" w:space="0" w:color="auto"/>
        <w:right w:val="none" w:sz="0" w:space="0" w:color="auto"/>
      </w:divBdr>
      <w:divsChild>
        <w:div w:id="1335573750">
          <w:marLeft w:val="0"/>
          <w:marRight w:val="0"/>
          <w:marTop w:val="0"/>
          <w:marBottom w:val="0"/>
          <w:divBdr>
            <w:top w:val="none" w:sz="0" w:space="0" w:color="auto"/>
            <w:left w:val="none" w:sz="0" w:space="0" w:color="auto"/>
            <w:bottom w:val="none" w:sz="0" w:space="0" w:color="auto"/>
            <w:right w:val="none" w:sz="0" w:space="0" w:color="auto"/>
          </w:divBdr>
          <w:divsChild>
            <w:div w:id="1116482775">
              <w:marLeft w:val="0"/>
              <w:marRight w:val="0"/>
              <w:marTop w:val="0"/>
              <w:marBottom w:val="0"/>
              <w:divBdr>
                <w:top w:val="none" w:sz="0" w:space="0" w:color="auto"/>
                <w:left w:val="none" w:sz="0" w:space="0" w:color="auto"/>
                <w:bottom w:val="none" w:sz="0" w:space="0" w:color="auto"/>
                <w:right w:val="none" w:sz="0" w:space="0" w:color="auto"/>
              </w:divBdr>
              <w:divsChild>
                <w:div w:id="18189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375058">
      <w:bodyDiv w:val="1"/>
      <w:marLeft w:val="0"/>
      <w:marRight w:val="0"/>
      <w:marTop w:val="0"/>
      <w:marBottom w:val="0"/>
      <w:divBdr>
        <w:top w:val="none" w:sz="0" w:space="0" w:color="auto"/>
        <w:left w:val="none" w:sz="0" w:space="0" w:color="auto"/>
        <w:bottom w:val="none" w:sz="0" w:space="0" w:color="auto"/>
        <w:right w:val="none" w:sz="0" w:space="0" w:color="auto"/>
      </w:divBdr>
      <w:divsChild>
        <w:div w:id="777605938">
          <w:marLeft w:val="0"/>
          <w:marRight w:val="0"/>
          <w:marTop w:val="0"/>
          <w:marBottom w:val="0"/>
          <w:divBdr>
            <w:top w:val="none" w:sz="0" w:space="0" w:color="auto"/>
            <w:left w:val="none" w:sz="0" w:space="0" w:color="auto"/>
            <w:bottom w:val="none" w:sz="0" w:space="0" w:color="auto"/>
            <w:right w:val="none" w:sz="0" w:space="0" w:color="auto"/>
          </w:divBdr>
          <w:divsChild>
            <w:div w:id="1763067847">
              <w:marLeft w:val="0"/>
              <w:marRight w:val="0"/>
              <w:marTop w:val="0"/>
              <w:marBottom w:val="0"/>
              <w:divBdr>
                <w:top w:val="none" w:sz="0" w:space="0" w:color="auto"/>
                <w:left w:val="none" w:sz="0" w:space="0" w:color="auto"/>
                <w:bottom w:val="none" w:sz="0" w:space="0" w:color="auto"/>
                <w:right w:val="none" w:sz="0" w:space="0" w:color="auto"/>
              </w:divBdr>
              <w:divsChild>
                <w:div w:id="30346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057139">
      <w:bodyDiv w:val="1"/>
      <w:marLeft w:val="0"/>
      <w:marRight w:val="0"/>
      <w:marTop w:val="0"/>
      <w:marBottom w:val="0"/>
      <w:divBdr>
        <w:top w:val="none" w:sz="0" w:space="0" w:color="auto"/>
        <w:left w:val="none" w:sz="0" w:space="0" w:color="auto"/>
        <w:bottom w:val="none" w:sz="0" w:space="0" w:color="auto"/>
        <w:right w:val="none" w:sz="0" w:space="0" w:color="auto"/>
      </w:divBdr>
      <w:divsChild>
        <w:div w:id="975989559">
          <w:marLeft w:val="0"/>
          <w:marRight w:val="0"/>
          <w:marTop w:val="0"/>
          <w:marBottom w:val="0"/>
          <w:divBdr>
            <w:top w:val="none" w:sz="0" w:space="0" w:color="auto"/>
            <w:left w:val="none" w:sz="0" w:space="0" w:color="auto"/>
            <w:bottom w:val="none" w:sz="0" w:space="0" w:color="auto"/>
            <w:right w:val="none" w:sz="0" w:space="0" w:color="auto"/>
          </w:divBdr>
          <w:divsChild>
            <w:div w:id="1448819194">
              <w:marLeft w:val="0"/>
              <w:marRight w:val="0"/>
              <w:marTop w:val="0"/>
              <w:marBottom w:val="0"/>
              <w:divBdr>
                <w:top w:val="none" w:sz="0" w:space="0" w:color="auto"/>
                <w:left w:val="none" w:sz="0" w:space="0" w:color="auto"/>
                <w:bottom w:val="none" w:sz="0" w:space="0" w:color="auto"/>
                <w:right w:val="none" w:sz="0" w:space="0" w:color="auto"/>
              </w:divBdr>
              <w:divsChild>
                <w:div w:id="151927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290971">
      <w:bodyDiv w:val="1"/>
      <w:marLeft w:val="0"/>
      <w:marRight w:val="0"/>
      <w:marTop w:val="0"/>
      <w:marBottom w:val="0"/>
      <w:divBdr>
        <w:top w:val="none" w:sz="0" w:space="0" w:color="auto"/>
        <w:left w:val="none" w:sz="0" w:space="0" w:color="auto"/>
        <w:bottom w:val="none" w:sz="0" w:space="0" w:color="auto"/>
        <w:right w:val="none" w:sz="0" w:space="0" w:color="auto"/>
      </w:divBdr>
      <w:divsChild>
        <w:div w:id="1458832469">
          <w:marLeft w:val="0"/>
          <w:marRight w:val="0"/>
          <w:marTop w:val="96"/>
          <w:marBottom w:val="0"/>
          <w:divBdr>
            <w:top w:val="none" w:sz="0" w:space="0" w:color="auto"/>
            <w:left w:val="none" w:sz="0" w:space="0" w:color="auto"/>
            <w:bottom w:val="none" w:sz="0" w:space="0" w:color="auto"/>
            <w:right w:val="none" w:sz="0" w:space="0" w:color="auto"/>
          </w:divBdr>
        </w:div>
        <w:div w:id="1789740002">
          <w:marLeft w:val="0"/>
          <w:marRight w:val="0"/>
          <w:marTop w:val="96"/>
          <w:marBottom w:val="0"/>
          <w:divBdr>
            <w:top w:val="none" w:sz="0" w:space="0" w:color="auto"/>
            <w:left w:val="none" w:sz="0" w:space="0" w:color="auto"/>
            <w:bottom w:val="none" w:sz="0" w:space="0" w:color="auto"/>
            <w:right w:val="none" w:sz="0" w:space="0" w:color="auto"/>
          </w:divBdr>
        </w:div>
      </w:divsChild>
    </w:div>
    <w:div w:id="1313943301">
      <w:bodyDiv w:val="1"/>
      <w:marLeft w:val="0"/>
      <w:marRight w:val="0"/>
      <w:marTop w:val="0"/>
      <w:marBottom w:val="0"/>
      <w:divBdr>
        <w:top w:val="none" w:sz="0" w:space="0" w:color="auto"/>
        <w:left w:val="none" w:sz="0" w:space="0" w:color="auto"/>
        <w:bottom w:val="none" w:sz="0" w:space="0" w:color="auto"/>
        <w:right w:val="none" w:sz="0" w:space="0" w:color="auto"/>
      </w:divBdr>
      <w:divsChild>
        <w:div w:id="53311311">
          <w:marLeft w:val="0"/>
          <w:marRight w:val="0"/>
          <w:marTop w:val="0"/>
          <w:marBottom w:val="0"/>
          <w:divBdr>
            <w:top w:val="none" w:sz="0" w:space="0" w:color="auto"/>
            <w:left w:val="none" w:sz="0" w:space="0" w:color="auto"/>
            <w:bottom w:val="none" w:sz="0" w:space="0" w:color="auto"/>
            <w:right w:val="none" w:sz="0" w:space="0" w:color="auto"/>
          </w:divBdr>
          <w:divsChild>
            <w:div w:id="1829979274">
              <w:marLeft w:val="0"/>
              <w:marRight w:val="0"/>
              <w:marTop w:val="0"/>
              <w:marBottom w:val="0"/>
              <w:divBdr>
                <w:top w:val="none" w:sz="0" w:space="0" w:color="auto"/>
                <w:left w:val="none" w:sz="0" w:space="0" w:color="auto"/>
                <w:bottom w:val="none" w:sz="0" w:space="0" w:color="auto"/>
                <w:right w:val="none" w:sz="0" w:space="0" w:color="auto"/>
              </w:divBdr>
              <w:divsChild>
                <w:div w:id="114781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591245">
      <w:bodyDiv w:val="1"/>
      <w:marLeft w:val="0"/>
      <w:marRight w:val="0"/>
      <w:marTop w:val="0"/>
      <w:marBottom w:val="0"/>
      <w:divBdr>
        <w:top w:val="none" w:sz="0" w:space="0" w:color="auto"/>
        <w:left w:val="none" w:sz="0" w:space="0" w:color="auto"/>
        <w:bottom w:val="none" w:sz="0" w:space="0" w:color="auto"/>
        <w:right w:val="none" w:sz="0" w:space="0" w:color="auto"/>
      </w:divBdr>
      <w:divsChild>
        <w:div w:id="2014840538">
          <w:marLeft w:val="0"/>
          <w:marRight w:val="0"/>
          <w:marTop w:val="0"/>
          <w:marBottom w:val="0"/>
          <w:divBdr>
            <w:top w:val="none" w:sz="0" w:space="0" w:color="auto"/>
            <w:left w:val="none" w:sz="0" w:space="0" w:color="auto"/>
            <w:bottom w:val="none" w:sz="0" w:space="0" w:color="auto"/>
            <w:right w:val="none" w:sz="0" w:space="0" w:color="auto"/>
          </w:divBdr>
          <w:divsChild>
            <w:div w:id="979765969">
              <w:marLeft w:val="0"/>
              <w:marRight w:val="0"/>
              <w:marTop w:val="0"/>
              <w:marBottom w:val="0"/>
              <w:divBdr>
                <w:top w:val="none" w:sz="0" w:space="0" w:color="auto"/>
                <w:left w:val="none" w:sz="0" w:space="0" w:color="auto"/>
                <w:bottom w:val="none" w:sz="0" w:space="0" w:color="auto"/>
                <w:right w:val="none" w:sz="0" w:space="0" w:color="auto"/>
              </w:divBdr>
              <w:divsChild>
                <w:div w:id="213301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677670">
      <w:bodyDiv w:val="1"/>
      <w:marLeft w:val="0"/>
      <w:marRight w:val="0"/>
      <w:marTop w:val="0"/>
      <w:marBottom w:val="0"/>
      <w:divBdr>
        <w:top w:val="none" w:sz="0" w:space="0" w:color="auto"/>
        <w:left w:val="none" w:sz="0" w:space="0" w:color="auto"/>
        <w:bottom w:val="none" w:sz="0" w:space="0" w:color="auto"/>
        <w:right w:val="none" w:sz="0" w:space="0" w:color="auto"/>
      </w:divBdr>
      <w:divsChild>
        <w:div w:id="1758290249">
          <w:marLeft w:val="0"/>
          <w:marRight w:val="0"/>
          <w:marTop w:val="0"/>
          <w:marBottom w:val="0"/>
          <w:divBdr>
            <w:top w:val="none" w:sz="0" w:space="0" w:color="auto"/>
            <w:left w:val="none" w:sz="0" w:space="0" w:color="auto"/>
            <w:bottom w:val="none" w:sz="0" w:space="0" w:color="auto"/>
            <w:right w:val="none" w:sz="0" w:space="0" w:color="auto"/>
          </w:divBdr>
          <w:divsChild>
            <w:div w:id="1533417630">
              <w:marLeft w:val="0"/>
              <w:marRight w:val="0"/>
              <w:marTop w:val="0"/>
              <w:marBottom w:val="0"/>
              <w:divBdr>
                <w:top w:val="none" w:sz="0" w:space="0" w:color="auto"/>
                <w:left w:val="none" w:sz="0" w:space="0" w:color="auto"/>
                <w:bottom w:val="none" w:sz="0" w:space="0" w:color="auto"/>
                <w:right w:val="none" w:sz="0" w:space="0" w:color="auto"/>
              </w:divBdr>
              <w:divsChild>
                <w:div w:id="97367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248899">
      <w:bodyDiv w:val="1"/>
      <w:marLeft w:val="0"/>
      <w:marRight w:val="0"/>
      <w:marTop w:val="0"/>
      <w:marBottom w:val="0"/>
      <w:divBdr>
        <w:top w:val="none" w:sz="0" w:space="0" w:color="auto"/>
        <w:left w:val="none" w:sz="0" w:space="0" w:color="auto"/>
        <w:bottom w:val="none" w:sz="0" w:space="0" w:color="auto"/>
        <w:right w:val="none" w:sz="0" w:space="0" w:color="auto"/>
      </w:divBdr>
    </w:div>
    <w:div w:id="1718117498">
      <w:bodyDiv w:val="1"/>
      <w:marLeft w:val="0"/>
      <w:marRight w:val="0"/>
      <w:marTop w:val="0"/>
      <w:marBottom w:val="0"/>
      <w:divBdr>
        <w:top w:val="none" w:sz="0" w:space="0" w:color="auto"/>
        <w:left w:val="none" w:sz="0" w:space="0" w:color="auto"/>
        <w:bottom w:val="none" w:sz="0" w:space="0" w:color="auto"/>
        <w:right w:val="none" w:sz="0" w:space="0" w:color="auto"/>
      </w:divBdr>
      <w:divsChild>
        <w:div w:id="740519649">
          <w:marLeft w:val="0"/>
          <w:marRight w:val="0"/>
          <w:marTop w:val="0"/>
          <w:marBottom w:val="0"/>
          <w:divBdr>
            <w:top w:val="none" w:sz="0" w:space="0" w:color="auto"/>
            <w:left w:val="none" w:sz="0" w:space="0" w:color="auto"/>
            <w:bottom w:val="none" w:sz="0" w:space="0" w:color="auto"/>
            <w:right w:val="none" w:sz="0" w:space="0" w:color="auto"/>
          </w:divBdr>
          <w:divsChild>
            <w:div w:id="1512135637">
              <w:marLeft w:val="0"/>
              <w:marRight w:val="0"/>
              <w:marTop w:val="0"/>
              <w:marBottom w:val="0"/>
              <w:divBdr>
                <w:top w:val="none" w:sz="0" w:space="0" w:color="auto"/>
                <w:left w:val="none" w:sz="0" w:space="0" w:color="auto"/>
                <w:bottom w:val="none" w:sz="0" w:space="0" w:color="auto"/>
                <w:right w:val="none" w:sz="0" w:space="0" w:color="auto"/>
              </w:divBdr>
              <w:divsChild>
                <w:div w:id="197814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435939">
      <w:bodyDiv w:val="1"/>
      <w:marLeft w:val="0"/>
      <w:marRight w:val="0"/>
      <w:marTop w:val="0"/>
      <w:marBottom w:val="0"/>
      <w:divBdr>
        <w:top w:val="none" w:sz="0" w:space="0" w:color="auto"/>
        <w:left w:val="none" w:sz="0" w:space="0" w:color="auto"/>
        <w:bottom w:val="none" w:sz="0" w:space="0" w:color="auto"/>
        <w:right w:val="none" w:sz="0" w:space="0" w:color="auto"/>
      </w:divBdr>
    </w:div>
    <w:div w:id="1733384950">
      <w:bodyDiv w:val="1"/>
      <w:marLeft w:val="0"/>
      <w:marRight w:val="0"/>
      <w:marTop w:val="0"/>
      <w:marBottom w:val="0"/>
      <w:divBdr>
        <w:top w:val="none" w:sz="0" w:space="0" w:color="auto"/>
        <w:left w:val="none" w:sz="0" w:space="0" w:color="auto"/>
        <w:bottom w:val="none" w:sz="0" w:space="0" w:color="auto"/>
        <w:right w:val="none" w:sz="0" w:space="0" w:color="auto"/>
      </w:divBdr>
    </w:div>
    <w:div w:id="1748764484">
      <w:bodyDiv w:val="1"/>
      <w:marLeft w:val="0"/>
      <w:marRight w:val="0"/>
      <w:marTop w:val="0"/>
      <w:marBottom w:val="0"/>
      <w:divBdr>
        <w:top w:val="none" w:sz="0" w:space="0" w:color="auto"/>
        <w:left w:val="none" w:sz="0" w:space="0" w:color="auto"/>
        <w:bottom w:val="none" w:sz="0" w:space="0" w:color="auto"/>
        <w:right w:val="none" w:sz="0" w:space="0" w:color="auto"/>
      </w:divBdr>
      <w:divsChild>
        <w:div w:id="1431975579">
          <w:marLeft w:val="0"/>
          <w:marRight w:val="0"/>
          <w:marTop w:val="0"/>
          <w:marBottom w:val="0"/>
          <w:divBdr>
            <w:top w:val="none" w:sz="0" w:space="0" w:color="auto"/>
            <w:left w:val="none" w:sz="0" w:space="0" w:color="auto"/>
            <w:bottom w:val="none" w:sz="0" w:space="0" w:color="auto"/>
            <w:right w:val="none" w:sz="0" w:space="0" w:color="auto"/>
          </w:divBdr>
          <w:divsChild>
            <w:div w:id="972060949">
              <w:marLeft w:val="0"/>
              <w:marRight w:val="0"/>
              <w:marTop w:val="0"/>
              <w:marBottom w:val="0"/>
              <w:divBdr>
                <w:top w:val="none" w:sz="0" w:space="0" w:color="auto"/>
                <w:left w:val="none" w:sz="0" w:space="0" w:color="auto"/>
                <w:bottom w:val="none" w:sz="0" w:space="0" w:color="auto"/>
                <w:right w:val="none" w:sz="0" w:space="0" w:color="auto"/>
              </w:divBdr>
              <w:divsChild>
                <w:div w:id="100952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109738">
      <w:bodyDiv w:val="1"/>
      <w:marLeft w:val="0"/>
      <w:marRight w:val="0"/>
      <w:marTop w:val="0"/>
      <w:marBottom w:val="0"/>
      <w:divBdr>
        <w:top w:val="none" w:sz="0" w:space="0" w:color="auto"/>
        <w:left w:val="none" w:sz="0" w:space="0" w:color="auto"/>
        <w:bottom w:val="none" w:sz="0" w:space="0" w:color="auto"/>
        <w:right w:val="none" w:sz="0" w:space="0" w:color="auto"/>
      </w:divBdr>
      <w:divsChild>
        <w:div w:id="298920932">
          <w:marLeft w:val="1080"/>
          <w:marRight w:val="0"/>
          <w:marTop w:val="0"/>
          <w:marBottom w:val="0"/>
          <w:divBdr>
            <w:top w:val="none" w:sz="0" w:space="0" w:color="auto"/>
            <w:left w:val="none" w:sz="0" w:space="0" w:color="auto"/>
            <w:bottom w:val="none" w:sz="0" w:space="0" w:color="auto"/>
            <w:right w:val="none" w:sz="0" w:space="0" w:color="auto"/>
          </w:divBdr>
        </w:div>
      </w:divsChild>
    </w:div>
    <w:div w:id="1863013420">
      <w:bodyDiv w:val="1"/>
      <w:marLeft w:val="0"/>
      <w:marRight w:val="0"/>
      <w:marTop w:val="0"/>
      <w:marBottom w:val="0"/>
      <w:divBdr>
        <w:top w:val="none" w:sz="0" w:space="0" w:color="auto"/>
        <w:left w:val="none" w:sz="0" w:space="0" w:color="auto"/>
        <w:bottom w:val="none" w:sz="0" w:space="0" w:color="auto"/>
        <w:right w:val="none" w:sz="0" w:space="0" w:color="auto"/>
      </w:divBdr>
    </w:div>
    <w:div w:id="2123261307">
      <w:bodyDiv w:val="1"/>
      <w:marLeft w:val="0"/>
      <w:marRight w:val="0"/>
      <w:marTop w:val="0"/>
      <w:marBottom w:val="0"/>
      <w:divBdr>
        <w:top w:val="none" w:sz="0" w:space="0" w:color="auto"/>
        <w:left w:val="none" w:sz="0" w:space="0" w:color="auto"/>
        <w:bottom w:val="none" w:sz="0" w:space="0" w:color="auto"/>
        <w:right w:val="none" w:sz="0" w:space="0" w:color="auto"/>
      </w:divBdr>
      <w:divsChild>
        <w:div w:id="68120510">
          <w:marLeft w:val="0"/>
          <w:marRight w:val="0"/>
          <w:marTop w:val="0"/>
          <w:marBottom w:val="0"/>
          <w:divBdr>
            <w:top w:val="none" w:sz="0" w:space="0" w:color="auto"/>
            <w:left w:val="none" w:sz="0" w:space="0" w:color="auto"/>
            <w:bottom w:val="none" w:sz="0" w:space="0" w:color="auto"/>
            <w:right w:val="none" w:sz="0" w:space="0" w:color="auto"/>
          </w:divBdr>
          <w:divsChild>
            <w:div w:id="746074379">
              <w:marLeft w:val="0"/>
              <w:marRight w:val="0"/>
              <w:marTop w:val="0"/>
              <w:marBottom w:val="0"/>
              <w:divBdr>
                <w:top w:val="none" w:sz="0" w:space="0" w:color="auto"/>
                <w:left w:val="none" w:sz="0" w:space="0" w:color="auto"/>
                <w:bottom w:val="none" w:sz="0" w:space="0" w:color="auto"/>
                <w:right w:val="none" w:sz="0" w:space="0" w:color="auto"/>
              </w:divBdr>
              <w:divsChild>
                <w:div w:id="42673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7764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hyperlink" Target="http://www.mmediu.ro/articol/date-gis/434" TargetMode="External"/><Relationship Id="rId39" Type="http://schemas.openxmlformats.org/officeDocument/2006/relationships/image" Target="media/image25.jpeg"/><Relationship Id="rId21" Type="http://schemas.openxmlformats.org/officeDocument/2006/relationships/image" Target="media/image11.png"/><Relationship Id="rId34" Type="http://schemas.openxmlformats.org/officeDocument/2006/relationships/image" Target="media/image22.emf"/><Relationship Id="rId42" Type="http://schemas.openxmlformats.org/officeDocument/2006/relationships/header" Target="header7.xml"/><Relationship Id="rId47" Type="http://schemas.openxmlformats.org/officeDocument/2006/relationships/header" Target="header9.xml"/><Relationship Id="rId50" Type="http://schemas.openxmlformats.org/officeDocument/2006/relationships/footer" Target="footer9.xml"/><Relationship Id="rId55" Type="http://schemas.openxmlformats.org/officeDocument/2006/relationships/image" Target="media/image29.jpeg"/><Relationship Id="rId63" Type="http://schemas.openxmlformats.org/officeDocument/2006/relationships/oleObject" Target="embeddings/Microsoft_PowerPoint_97-2003_Presentation2.ppt"/><Relationship Id="rId68" Type="http://schemas.openxmlformats.org/officeDocument/2006/relationships/hyperlink" Target="http://www.brucebyersconsulting.com/wp-content/uploads/2011/07/Ukraine-Biodiversity-Analysis-Report-1-2011.pdf" TargetMode="External"/><Relationship Id="rId76" Type="http://schemas.openxmlformats.org/officeDocument/2006/relationships/hyperlink" Target="http://ec.europa.eu/europe2020/europe-2020-in-a-nutshell/priorities/sustainable-growth/index_en.htm" TargetMode="External"/><Relationship Id="rId84" Type="http://schemas.openxmlformats.org/officeDocument/2006/relationships/hyperlink" Target="http://en.wikipedia.org/wiki/Ukrainian_Cultural_Heritage_Village" TargetMode="External"/><Relationship Id="rId89" Type="http://schemas.openxmlformats.org/officeDocument/2006/relationships/footer" Target="footer14.xml"/><Relationship Id="rId7" Type="http://schemas.openxmlformats.org/officeDocument/2006/relationships/footnotes" Target="footnotes.xml"/><Relationship Id="rId71" Type="http://schemas.openxmlformats.org/officeDocument/2006/relationships/hyperlink" Target="http://ro.wikipedia.org/wiki/Muzeul_Florean" TargetMode="External"/><Relationship Id="rId92" Type="http://schemas.microsoft.com/office/2011/relationships/people" Target="people.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7.jpeg"/><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0.emf"/><Relationship Id="rId37" Type="http://schemas.openxmlformats.org/officeDocument/2006/relationships/header" Target="header5.xml"/><Relationship Id="rId40" Type="http://schemas.openxmlformats.org/officeDocument/2006/relationships/header" Target="header6.xml"/><Relationship Id="rId45" Type="http://schemas.openxmlformats.org/officeDocument/2006/relationships/footer" Target="footer7.xml"/><Relationship Id="rId53" Type="http://schemas.openxmlformats.org/officeDocument/2006/relationships/header" Target="header11.xml"/><Relationship Id="rId58" Type="http://schemas.openxmlformats.org/officeDocument/2006/relationships/image" Target="media/image30.jpeg"/><Relationship Id="rId66" Type="http://schemas.openxmlformats.org/officeDocument/2006/relationships/image" Target="media/image36.jpeg"/><Relationship Id="rId74" Type="http://schemas.openxmlformats.org/officeDocument/2006/relationships/hyperlink" Target="http://www.history.alberta.ca/ukrainianvillage/" TargetMode="External"/><Relationship Id="rId79" Type="http://schemas.openxmlformats.org/officeDocument/2006/relationships/footer" Target="footer12.xml"/><Relationship Id="rId87" Type="http://schemas.openxmlformats.org/officeDocument/2006/relationships/hyperlink" Target="http://culture.pl/en/article/polish-and-ukrainian-tserkvas-make-unesco-list" TargetMode="External"/><Relationship Id="rId5" Type="http://schemas.openxmlformats.org/officeDocument/2006/relationships/settings" Target="settings.xml"/><Relationship Id="rId61" Type="http://schemas.openxmlformats.org/officeDocument/2006/relationships/oleObject" Target="embeddings/Microsoft_PowerPoint_97-2003_Presentation1.ppt"/><Relationship Id="rId82" Type="http://schemas.openxmlformats.org/officeDocument/2006/relationships/hyperlink" Target="http://ypef.eu/files/booklet/ang/ukraine.pdf" TargetMode="External"/><Relationship Id="rId90"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header" Target="header4.xml"/><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footer" Target="footer6.xml"/><Relationship Id="rId48" Type="http://schemas.openxmlformats.org/officeDocument/2006/relationships/footer" Target="footer8.xml"/><Relationship Id="rId56" Type="http://schemas.openxmlformats.org/officeDocument/2006/relationships/header" Target="header12.xml"/><Relationship Id="rId64" Type="http://schemas.openxmlformats.org/officeDocument/2006/relationships/image" Target="media/image34.jpeg"/><Relationship Id="rId69" Type="http://schemas.openxmlformats.org/officeDocument/2006/relationships/image" Target="media/image37.emf"/><Relationship Id="rId77" Type="http://schemas.openxmlformats.org/officeDocument/2006/relationships/hyperlink" Target="http://ec.europa.eu/europe2020/europe-2020-in-a-nutshell/priorities/inclusive-growth/index_en.htm" TargetMode="External"/><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hyperlink" Target="http://en.wikipedia.org/wiki/Ukrainian_Cultural_Heritage_Village" TargetMode="External"/><Relationship Id="rId80" Type="http://schemas.openxmlformats.org/officeDocument/2006/relationships/header" Target="header14.xml"/><Relationship Id="rId85" Type="http://schemas.openxmlformats.org/officeDocument/2006/relationships/hyperlink" Target="http://whc.unesco.org/en/statesparties/ua"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emf"/><Relationship Id="rId33" Type="http://schemas.openxmlformats.org/officeDocument/2006/relationships/image" Target="media/image21.emf"/><Relationship Id="rId38" Type="http://schemas.openxmlformats.org/officeDocument/2006/relationships/footer" Target="footer4.xml"/><Relationship Id="rId46" Type="http://schemas.openxmlformats.org/officeDocument/2006/relationships/image" Target="media/image26.png"/><Relationship Id="rId59" Type="http://schemas.openxmlformats.org/officeDocument/2006/relationships/image" Target="media/image31.jpeg"/><Relationship Id="rId67" Type="http://schemas.openxmlformats.org/officeDocument/2006/relationships/hyperlink" Target="http://ypef.eu/files/booklet/ang/ukraine.pdf" TargetMode="External"/><Relationship Id="rId20" Type="http://schemas.openxmlformats.org/officeDocument/2006/relationships/image" Target="media/image10.jpeg"/><Relationship Id="rId41" Type="http://schemas.openxmlformats.org/officeDocument/2006/relationships/footer" Target="footer5.xml"/><Relationship Id="rId54" Type="http://schemas.openxmlformats.org/officeDocument/2006/relationships/footer" Target="footer10.xml"/><Relationship Id="rId62" Type="http://schemas.openxmlformats.org/officeDocument/2006/relationships/image" Target="media/image33.wmf"/><Relationship Id="rId70" Type="http://schemas.openxmlformats.org/officeDocument/2006/relationships/image" Target="media/image38.emf"/><Relationship Id="rId75" Type="http://schemas.openxmlformats.org/officeDocument/2006/relationships/hyperlink" Target="http://culture.pl/en/article/polish-and-ukrainian-tserkvas-make-unesco-list" TargetMode="External"/><Relationship Id="rId83" Type="http://schemas.openxmlformats.org/officeDocument/2006/relationships/hyperlink" Target="http://www.brucebyersconsulting.com/wp-content/uploads/2011/07/Ukraine-Biodiversity-Analysis-Report-1-2011.pdf" TargetMode="External"/><Relationship Id="rId88" Type="http://schemas.openxmlformats.org/officeDocument/2006/relationships/header" Target="header15.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3.png"/><Relationship Id="rId28" Type="http://schemas.openxmlformats.org/officeDocument/2006/relationships/footer" Target="footer3.xml"/><Relationship Id="rId36" Type="http://schemas.openxmlformats.org/officeDocument/2006/relationships/image" Target="media/image24.emf"/><Relationship Id="rId49" Type="http://schemas.openxmlformats.org/officeDocument/2006/relationships/header" Target="header10.xml"/><Relationship Id="rId57" Type="http://schemas.openxmlformats.org/officeDocument/2006/relationships/footer" Target="footer11.xml"/><Relationship Id="rId10" Type="http://schemas.openxmlformats.org/officeDocument/2006/relationships/image" Target="media/image2.jpeg"/><Relationship Id="rId31" Type="http://schemas.openxmlformats.org/officeDocument/2006/relationships/image" Target="media/image19.emf"/><Relationship Id="rId44" Type="http://schemas.openxmlformats.org/officeDocument/2006/relationships/header" Target="header8.xml"/><Relationship Id="rId52" Type="http://schemas.openxmlformats.org/officeDocument/2006/relationships/image" Target="media/image28.png"/><Relationship Id="rId60" Type="http://schemas.openxmlformats.org/officeDocument/2006/relationships/image" Target="media/image32.wmf"/><Relationship Id="rId65" Type="http://schemas.openxmlformats.org/officeDocument/2006/relationships/image" Target="media/image35.jpeg"/><Relationship Id="rId73" Type="http://schemas.openxmlformats.org/officeDocument/2006/relationships/hyperlink" Target="http://whc.unesco.org/en/statesparties/ua" TargetMode="External"/><Relationship Id="rId78" Type="http://schemas.openxmlformats.org/officeDocument/2006/relationships/header" Target="header13.xml"/><Relationship Id="rId81" Type="http://schemas.openxmlformats.org/officeDocument/2006/relationships/footer" Target="footer13.xml"/><Relationship Id="rId86" Type="http://schemas.openxmlformats.org/officeDocument/2006/relationships/hyperlink" Target="http://www.history.alberta.ca/ukrainianvillage/" TargetMode="External"/><Relationship Id="rId4" Type="http://schemas.microsoft.com/office/2007/relationships/stylesWithEffects" Target="stylesWithEffects.xml"/><Relationship Id="rId9" Type="http://schemas.openxmlformats.org/officeDocument/2006/relationships/header" Target="header1.xml"/></Relationships>
</file>

<file path=word/_rels/header10.xml.rels><?xml version="1.0" encoding="UTF-8" standalone="yes"?>
<Relationships xmlns="http://schemas.openxmlformats.org/package/2006/relationships"><Relationship Id="rId1" Type="http://schemas.openxmlformats.org/officeDocument/2006/relationships/image" Target="media/image16.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16.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16.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16.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16.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16.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456A17-933D-407E-8FE6-28FE23FBDE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140</Pages>
  <Words>43007</Words>
  <Characters>245144</Characters>
  <Application>Microsoft Office Word</Application>
  <DocSecurity>0</DocSecurity>
  <Lines>2042</Lines>
  <Paragraphs>575</Paragraphs>
  <ScaleCrop>false</ScaleCrop>
  <HeadingPairs>
    <vt:vector size="2" baseType="variant">
      <vt:variant>
        <vt:lpstr>Title</vt:lpstr>
      </vt:variant>
      <vt:variant>
        <vt:i4>1</vt:i4>
      </vt:variant>
    </vt:vector>
  </HeadingPairs>
  <TitlesOfParts>
    <vt:vector size="1" baseType="lpstr">
      <vt:lpstr>Pagina de semnături</vt:lpstr>
    </vt:vector>
  </TitlesOfParts>
  <Company>ISPE</Company>
  <LinksUpToDate>false</LinksUpToDate>
  <CharactersWithSpaces>287576</CharactersWithSpaces>
  <SharedDoc>false</SharedDoc>
  <HLinks>
    <vt:vector size="276" baseType="variant">
      <vt:variant>
        <vt:i4>5898243</vt:i4>
      </vt:variant>
      <vt:variant>
        <vt:i4>174</vt:i4>
      </vt:variant>
      <vt:variant>
        <vt:i4>0</vt:i4>
      </vt:variant>
      <vt:variant>
        <vt:i4>5</vt:i4>
      </vt:variant>
      <vt:variant>
        <vt:lpwstr>http://ec.europa.eu/europe2020/europe-2020-in-a-nutshell/priorities/inclusive-growth/index_en.htm</vt:lpwstr>
      </vt:variant>
      <vt:variant>
        <vt:lpwstr/>
      </vt:variant>
      <vt:variant>
        <vt:i4>3670136</vt:i4>
      </vt:variant>
      <vt:variant>
        <vt:i4>171</vt:i4>
      </vt:variant>
      <vt:variant>
        <vt:i4>0</vt:i4>
      </vt:variant>
      <vt:variant>
        <vt:i4>5</vt:i4>
      </vt:variant>
      <vt:variant>
        <vt:lpwstr>http://ec.europa.eu/europe2020/europe-2020-in-a-nutshell/priorities/sustainable-growth/index_en.htm</vt:lpwstr>
      </vt:variant>
      <vt:variant>
        <vt:lpwstr/>
      </vt:variant>
      <vt:variant>
        <vt:i4>1638405</vt:i4>
      </vt:variant>
      <vt:variant>
        <vt:i4>164</vt:i4>
      </vt:variant>
      <vt:variant>
        <vt:i4>0</vt:i4>
      </vt:variant>
      <vt:variant>
        <vt:i4>5</vt:i4>
      </vt:variant>
      <vt:variant>
        <vt:lpwstr/>
      </vt:variant>
      <vt:variant>
        <vt:lpwstr>_Toc415148969</vt:lpwstr>
      </vt:variant>
      <vt:variant>
        <vt:i4>1638404</vt:i4>
      </vt:variant>
      <vt:variant>
        <vt:i4>158</vt:i4>
      </vt:variant>
      <vt:variant>
        <vt:i4>0</vt:i4>
      </vt:variant>
      <vt:variant>
        <vt:i4>5</vt:i4>
      </vt:variant>
      <vt:variant>
        <vt:lpwstr/>
      </vt:variant>
      <vt:variant>
        <vt:lpwstr>_Toc415148968</vt:lpwstr>
      </vt:variant>
      <vt:variant>
        <vt:i4>1638411</vt:i4>
      </vt:variant>
      <vt:variant>
        <vt:i4>152</vt:i4>
      </vt:variant>
      <vt:variant>
        <vt:i4>0</vt:i4>
      </vt:variant>
      <vt:variant>
        <vt:i4>5</vt:i4>
      </vt:variant>
      <vt:variant>
        <vt:lpwstr/>
      </vt:variant>
      <vt:variant>
        <vt:lpwstr>_Toc415148967</vt:lpwstr>
      </vt:variant>
      <vt:variant>
        <vt:i4>1638410</vt:i4>
      </vt:variant>
      <vt:variant>
        <vt:i4>146</vt:i4>
      </vt:variant>
      <vt:variant>
        <vt:i4>0</vt:i4>
      </vt:variant>
      <vt:variant>
        <vt:i4>5</vt:i4>
      </vt:variant>
      <vt:variant>
        <vt:lpwstr/>
      </vt:variant>
      <vt:variant>
        <vt:lpwstr>_Toc415148966</vt:lpwstr>
      </vt:variant>
      <vt:variant>
        <vt:i4>1638409</vt:i4>
      </vt:variant>
      <vt:variant>
        <vt:i4>140</vt:i4>
      </vt:variant>
      <vt:variant>
        <vt:i4>0</vt:i4>
      </vt:variant>
      <vt:variant>
        <vt:i4>5</vt:i4>
      </vt:variant>
      <vt:variant>
        <vt:lpwstr/>
      </vt:variant>
      <vt:variant>
        <vt:lpwstr>_Toc415148965</vt:lpwstr>
      </vt:variant>
      <vt:variant>
        <vt:i4>1638408</vt:i4>
      </vt:variant>
      <vt:variant>
        <vt:i4>134</vt:i4>
      </vt:variant>
      <vt:variant>
        <vt:i4>0</vt:i4>
      </vt:variant>
      <vt:variant>
        <vt:i4>5</vt:i4>
      </vt:variant>
      <vt:variant>
        <vt:lpwstr/>
      </vt:variant>
      <vt:variant>
        <vt:lpwstr>_Toc415148964</vt:lpwstr>
      </vt:variant>
      <vt:variant>
        <vt:i4>1638415</vt:i4>
      </vt:variant>
      <vt:variant>
        <vt:i4>128</vt:i4>
      </vt:variant>
      <vt:variant>
        <vt:i4>0</vt:i4>
      </vt:variant>
      <vt:variant>
        <vt:i4>5</vt:i4>
      </vt:variant>
      <vt:variant>
        <vt:lpwstr/>
      </vt:variant>
      <vt:variant>
        <vt:lpwstr>_Toc415148963</vt:lpwstr>
      </vt:variant>
      <vt:variant>
        <vt:i4>1638414</vt:i4>
      </vt:variant>
      <vt:variant>
        <vt:i4>122</vt:i4>
      </vt:variant>
      <vt:variant>
        <vt:i4>0</vt:i4>
      </vt:variant>
      <vt:variant>
        <vt:i4>5</vt:i4>
      </vt:variant>
      <vt:variant>
        <vt:lpwstr/>
      </vt:variant>
      <vt:variant>
        <vt:lpwstr>_Toc415148962</vt:lpwstr>
      </vt:variant>
      <vt:variant>
        <vt:i4>1638413</vt:i4>
      </vt:variant>
      <vt:variant>
        <vt:i4>116</vt:i4>
      </vt:variant>
      <vt:variant>
        <vt:i4>0</vt:i4>
      </vt:variant>
      <vt:variant>
        <vt:i4>5</vt:i4>
      </vt:variant>
      <vt:variant>
        <vt:lpwstr/>
      </vt:variant>
      <vt:variant>
        <vt:lpwstr>_Toc415148961</vt:lpwstr>
      </vt:variant>
      <vt:variant>
        <vt:i4>1638412</vt:i4>
      </vt:variant>
      <vt:variant>
        <vt:i4>110</vt:i4>
      </vt:variant>
      <vt:variant>
        <vt:i4>0</vt:i4>
      </vt:variant>
      <vt:variant>
        <vt:i4>5</vt:i4>
      </vt:variant>
      <vt:variant>
        <vt:lpwstr/>
      </vt:variant>
      <vt:variant>
        <vt:lpwstr>_Toc415148960</vt:lpwstr>
      </vt:variant>
      <vt:variant>
        <vt:i4>1703941</vt:i4>
      </vt:variant>
      <vt:variant>
        <vt:i4>104</vt:i4>
      </vt:variant>
      <vt:variant>
        <vt:i4>0</vt:i4>
      </vt:variant>
      <vt:variant>
        <vt:i4>5</vt:i4>
      </vt:variant>
      <vt:variant>
        <vt:lpwstr/>
      </vt:variant>
      <vt:variant>
        <vt:lpwstr>_Toc415148959</vt:lpwstr>
      </vt:variant>
      <vt:variant>
        <vt:i4>1703940</vt:i4>
      </vt:variant>
      <vt:variant>
        <vt:i4>98</vt:i4>
      </vt:variant>
      <vt:variant>
        <vt:i4>0</vt:i4>
      </vt:variant>
      <vt:variant>
        <vt:i4>5</vt:i4>
      </vt:variant>
      <vt:variant>
        <vt:lpwstr/>
      </vt:variant>
      <vt:variant>
        <vt:lpwstr>_Toc415148958</vt:lpwstr>
      </vt:variant>
      <vt:variant>
        <vt:i4>1703947</vt:i4>
      </vt:variant>
      <vt:variant>
        <vt:i4>92</vt:i4>
      </vt:variant>
      <vt:variant>
        <vt:i4>0</vt:i4>
      </vt:variant>
      <vt:variant>
        <vt:i4>5</vt:i4>
      </vt:variant>
      <vt:variant>
        <vt:lpwstr/>
      </vt:variant>
      <vt:variant>
        <vt:lpwstr>_Toc415148957</vt:lpwstr>
      </vt:variant>
      <vt:variant>
        <vt:i4>1703946</vt:i4>
      </vt:variant>
      <vt:variant>
        <vt:i4>86</vt:i4>
      </vt:variant>
      <vt:variant>
        <vt:i4>0</vt:i4>
      </vt:variant>
      <vt:variant>
        <vt:i4>5</vt:i4>
      </vt:variant>
      <vt:variant>
        <vt:lpwstr/>
      </vt:variant>
      <vt:variant>
        <vt:lpwstr>_Toc415148956</vt:lpwstr>
      </vt:variant>
      <vt:variant>
        <vt:i4>1703945</vt:i4>
      </vt:variant>
      <vt:variant>
        <vt:i4>80</vt:i4>
      </vt:variant>
      <vt:variant>
        <vt:i4>0</vt:i4>
      </vt:variant>
      <vt:variant>
        <vt:i4>5</vt:i4>
      </vt:variant>
      <vt:variant>
        <vt:lpwstr/>
      </vt:variant>
      <vt:variant>
        <vt:lpwstr>_Toc415148955</vt:lpwstr>
      </vt:variant>
      <vt:variant>
        <vt:i4>1703944</vt:i4>
      </vt:variant>
      <vt:variant>
        <vt:i4>74</vt:i4>
      </vt:variant>
      <vt:variant>
        <vt:i4>0</vt:i4>
      </vt:variant>
      <vt:variant>
        <vt:i4>5</vt:i4>
      </vt:variant>
      <vt:variant>
        <vt:lpwstr/>
      </vt:variant>
      <vt:variant>
        <vt:lpwstr>_Toc415148954</vt:lpwstr>
      </vt:variant>
      <vt:variant>
        <vt:i4>1703951</vt:i4>
      </vt:variant>
      <vt:variant>
        <vt:i4>68</vt:i4>
      </vt:variant>
      <vt:variant>
        <vt:i4>0</vt:i4>
      </vt:variant>
      <vt:variant>
        <vt:i4>5</vt:i4>
      </vt:variant>
      <vt:variant>
        <vt:lpwstr/>
      </vt:variant>
      <vt:variant>
        <vt:lpwstr>_Toc415148953</vt:lpwstr>
      </vt:variant>
      <vt:variant>
        <vt:i4>1703950</vt:i4>
      </vt:variant>
      <vt:variant>
        <vt:i4>62</vt:i4>
      </vt:variant>
      <vt:variant>
        <vt:i4>0</vt:i4>
      </vt:variant>
      <vt:variant>
        <vt:i4>5</vt:i4>
      </vt:variant>
      <vt:variant>
        <vt:lpwstr/>
      </vt:variant>
      <vt:variant>
        <vt:lpwstr>_Toc415148952</vt:lpwstr>
      </vt:variant>
      <vt:variant>
        <vt:i4>1703949</vt:i4>
      </vt:variant>
      <vt:variant>
        <vt:i4>56</vt:i4>
      </vt:variant>
      <vt:variant>
        <vt:i4>0</vt:i4>
      </vt:variant>
      <vt:variant>
        <vt:i4>5</vt:i4>
      </vt:variant>
      <vt:variant>
        <vt:lpwstr/>
      </vt:variant>
      <vt:variant>
        <vt:lpwstr>_Toc415148951</vt:lpwstr>
      </vt:variant>
      <vt:variant>
        <vt:i4>1703948</vt:i4>
      </vt:variant>
      <vt:variant>
        <vt:i4>50</vt:i4>
      </vt:variant>
      <vt:variant>
        <vt:i4>0</vt:i4>
      </vt:variant>
      <vt:variant>
        <vt:i4>5</vt:i4>
      </vt:variant>
      <vt:variant>
        <vt:lpwstr/>
      </vt:variant>
      <vt:variant>
        <vt:lpwstr>_Toc415148950</vt:lpwstr>
      </vt:variant>
      <vt:variant>
        <vt:i4>1769477</vt:i4>
      </vt:variant>
      <vt:variant>
        <vt:i4>44</vt:i4>
      </vt:variant>
      <vt:variant>
        <vt:i4>0</vt:i4>
      </vt:variant>
      <vt:variant>
        <vt:i4>5</vt:i4>
      </vt:variant>
      <vt:variant>
        <vt:lpwstr/>
      </vt:variant>
      <vt:variant>
        <vt:lpwstr>_Toc415148949</vt:lpwstr>
      </vt:variant>
      <vt:variant>
        <vt:i4>1769476</vt:i4>
      </vt:variant>
      <vt:variant>
        <vt:i4>38</vt:i4>
      </vt:variant>
      <vt:variant>
        <vt:i4>0</vt:i4>
      </vt:variant>
      <vt:variant>
        <vt:i4>5</vt:i4>
      </vt:variant>
      <vt:variant>
        <vt:lpwstr/>
      </vt:variant>
      <vt:variant>
        <vt:lpwstr>_Toc415148948</vt:lpwstr>
      </vt:variant>
      <vt:variant>
        <vt:i4>1769483</vt:i4>
      </vt:variant>
      <vt:variant>
        <vt:i4>32</vt:i4>
      </vt:variant>
      <vt:variant>
        <vt:i4>0</vt:i4>
      </vt:variant>
      <vt:variant>
        <vt:i4>5</vt:i4>
      </vt:variant>
      <vt:variant>
        <vt:lpwstr/>
      </vt:variant>
      <vt:variant>
        <vt:lpwstr>_Toc415148947</vt:lpwstr>
      </vt:variant>
      <vt:variant>
        <vt:i4>1769482</vt:i4>
      </vt:variant>
      <vt:variant>
        <vt:i4>26</vt:i4>
      </vt:variant>
      <vt:variant>
        <vt:i4>0</vt:i4>
      </vt:variant>
      <vt:variant>
        <vt:i4>5</vt:i4>
      </vt:variant>
      <vt:variant>
        <vt:lpwstr/>
      </vt:variant>
      <vt:variant>
        <vt:lpwstr>_Toc415148946</vt:lpwstr>
      </vt:variant>
      <vt:variant>
        <vt:i4>1769481</vt:i4>
      </vt:variant>
      <vt:variant>
        <vt:i4>20</vt:i4>
      </vt:variant>
      <vt:variant>
        <vt:i4>0</vt:i4>
      </vt:variant>
      <vt:variant>
        <vt:i4>5</vt:i4>
      </vt:variant>
      <vt:variant>
        <vt:lpwstr/>
      </vt:variant>
      <vt:variant>
        <vt:lpwstr>_Toc415148945</vt:lpwstr>
      </vt:variant>
      <vt:variant>
        <vt:i4>1769480</vt:i4>
      </vt:variant>
      <vt:variant>
        <vt:i4>14</vt:i4>
      </vt:variant>
      <vt:variant>
        <vt:i4>0</vt:i4>
      </vt:variant>
      <vt:variant>
        <vt:i4>5</vt:i4>
      </vt:variant>
      <vt:variant>
        <vt:lpwstr/>
      </vt:variant>
      <vt:variant>
        <vt:lpwstr>_Toc415148944</vt:lpwstr>
      </vt:variant>
      <vt:variant>
        <vt:i4>1769487</vt:i4>
      </vt:variant>
      <vt:variant>
        <vt:i4>8</vt:i4>
      </vt:variant>
      <vt:variant>
        <vt:i4>0</vt:i4>
      </vt:variant>
      <vt:variant>
        <vt:i4>5</vt:i4>
      </vt:variant>
      <vt:variant>
        <vt:lpwstr/>
      </vt:variant>
      <vt:variant>
        <vt:lpwstr>_Toc415148943</vt:lpwstr>
      </vt:variant>
      <vt:variant>
        <vt:i4>1769486</vt:i4>
      </vt:variant>
      <vt:variant>
        <vt:i4>2</vt:i4>
      </vt:variant>
      <vt:variant>
        <vt:i4>0</vt:i4>
      </vt:variant>
      <vt:variant>
        <vt:i4>5</vt:i4>
      </vt:variant>
      <vt:variant>
        <vt:lpwstr/>
      </vt:variant>
      <vt:variant>
        <vt:lpwstr>_Toc415148942</vt:lpwstr>
      </vt:variant>
      <vt:variant>
        <vt:i4>6160439</vt:i4>
      </vt:variant>
      <vt:variant>
        <vt:i4>2048</vt:i4>
      </vt:variant>
      <vt:variant>
        <vt:i4>1025</vt:i4>
      </vt:variant>
      <vt:variant>
        <vt:i4>1</vt:i4>
      </vt:variant>
      <vt:variant>
        <vt:lpwstr>20150324132943283_0002</vt:lpwstr>
      </vt:variant>
      <vt:variant>
        <vt:lpwstr/>
      </vt:variant>
      <vt:variant>
        <vt:i4>2097219</vt:i4>
      </vt:variant>
      <vt:variant>
        <vt:i4>97395</vt:i4>
      </vt:variant>
      <vt:variant>
        <vt:i4>1033</vt:i4>
      </vt:variant>
      <vt:variant>
        <vt:i4>1</vt:i4>
      </vt:variant>
      <vt:variant>
        <vt:lpwstr>Natura 2000_Botosani</vt:lpwstr>
      </vt:variant>
      <vt:variant>
        <vt:lpwstr/>
      </vt:variant>
      <vt:variant>
        <vt:i4>3670075</vt:i4>
      </vt:variant>
      <vt:variant>
        <vt:i4>103317</vt:i4>
      </vt:variant>
      <vt:variant>
        <vt:i4>1041</vt:i4>
      </vt:variant>
      <vt:variant>
        <vt:i4>1</vt:i4>
      </vt:variant>
      <vt:variant>
        <vt:lpwstr>Natura 2000_Maramures</vt:lpwstr>
      </vt:variant>
      <vt:variant>
        <vt:lpwstr/>
      </vt:variant>
      <vt:variant>
        <vt:i4>2293867</vt:i4>
      </vt:variant>
      <vt:variant>
        <vt:i4>104920</vt:i4>
      </vt:variant>
      <vt:variant>
        <vt:i4>1042</vt:i4>
      </vt:variant>
      <vt:variant>
        <vt:i4>1</vt:i4>
      </vt:variant>
      <vt:variant>
        <vt:lpwstr>Natura 2000_Satu Mare</vt:lpwstr>
      </vt:variant>
      <vt:variant>
        <vt:lpwstr/>
      </vt:variant>
      <vt:variant>
        <vt:i4>5111896</vt:i4>
      </vt:variant>
      <vt:variant>
        <vt:i4>106685</vt:i4>
      </vt:variant>
      <vt:variant>
        <vt:i4>1043</vt:i4>
      </vt:variant>
      <vt:variant>
        <vt:i4>1</vt:i4>
      </vt:variant>
      <vt:variant>
        <vt:lpwstr>Natura 2000_Suceava</vt:lpwstr>
      </vt:variant>
      <vt:variant>
        <vt:lpwstr/>
      </vt:variant>
      <vt:variant>
        <vt:i4>7798909</vt:i4>
      </vt:variant>
      <vt:variant>
        <vt:i4>111640</vt:i4>
      </vt:variant>
      <vt:variant>
        <vt:i4>1044</vt:i4>
      </vt:variant>
      <vt:variant>
        <vt:i4>1</vt:i4>
      </vt:variant>
      <vt:variant>
        <vt:lpwstr>Tulcea</vt:lpwstr>
      </vt:variant>
      <vt:variant>
        <vt:lpwstr/>
      </vt:variant>
      <vt:variant>
        <vt:i4>6225973</vt:i4>
      </vt:variant>
      <vt:variant>
        <vt:i4>111646</vt:i4>
      </vt:variant>
      <vt:variant>
        <vt:i4>1045</vt:i4>
      </vt:variant>
      <vt:variant>
        <vt:i4>1</vt:i4>
      </vt:variant>
      <vt:variant>
        <vt:lpwstr>Natura 2000_Tulcea</vt:lpwstr>
      </vt:variant>
      <vt:variant>
        <vt:lpwstr/>
      </vt:variant>
      <vt:variant>
        <vt:i4>1900648</vt:i4>
      </vt:variant>
      <vt:variant>
        <vt:i4>-1</vt:i4>
      </vt:variant>
      <vt:variant>
        <vt:i4>2056</vt:i4>
      </vt:variant>
      <vt:variant>
        <vt:i4>1</vt:i4>
      </vt:variant>
      <vt:variant>
        <vt:lpwstr>Sigla ISPE - 2014</vt:lpwstr>
      </vt:variant>
      <vt:variant>
        <vt:lpwstr/>
      </vt:variant>
      <vt:variant>
        <vt:i4>1900648</vt:i4>
      </vt:variant>
      <vt:variant>
        <vt:i4>-1</vt:i4>
      </vt:variant>
      <vt:variant>
        <vt:i4>2059</vt:i4>
      </vt:variant>
      <vt:variant>
        <vt:i4>1</vt:i4>
      </vt:variant>
      <vt:variant>
        <vt:lpwstr>Sigla ISPE - 2014</vt:lpwstr>
      </vt:variant>
      <vt:variant>
        <vt:lpwstr/>
      </vt:variant>
      <vt:variant>
        <vt:i4>1900648</vt:i4>
      </vt:variant>
      <vt:variant>
        <vt:i4>-1</vt:i4>
      </vt:variant>
      <vt:variant>
        <vt:i4>2060</vt:i4>
      </vt:variant>
      <vt:variant>
        <vt:i4>1</vt:i4>
      </vt:variant>
      <vt:variant>
        <vt:lpwstr>Sigla ISPE - 2014</vt:lpwstr>
      </vt:variant>
      <vt:variant>
        <vt:lpwstr/>
      </vt:variant>
      <vt:variant>
        <vt:i4>7209032</vt:i4>
      </vt:variant>
      <vt:variant>
        <vt:i4>-1</vt:i4>
      </vt:variant>
      <vt:variant>
        <vt:i4>2061</vt:i4>
      </vt:variant>
      <vt:variant>
        <vt:i4>1</vt:i4>
      </vt:variant>
      <vt:variant>
        <vt:lpwstr>Sigla TUV Rheinlan (2014-1)</vt:lpwstr>
      </vt:variant>
      <vt:variant>
        <vt:lpwstr/>
      </vt:variant>
      <vt:variant>
        <vt:i4>1900648</vt:i4>
      </vt:variant>
      <vt:variant>
        <vt:i4>-1</vt:i4>
      </vt:variant>
      <vt:variant>
        <vt:i4>2065</vt:i4>
      </vt:variant>
      <vt:variant>
        <vt:i4>1</vt:i4>
      </vt:variant>
      <vt:variant>
        <vt:lpwstr>Sigla ISPE - 2014</vt:lpwstr>
      </vt:variant>
      <vt:variant>
        <vt:lpwstr/>
      </vt:variant>
      <vt:variant>
        <vt:i4>1900648</vt:i4>
      </vt:variant>
      <vt:variant>
        <vt:i4>-1</vt:i4>
      </vt:variant>
      <vt:variant>
        <vt:i4>2074</vt:i4>
      </vt:variant>
      <vt:variant>
        <vt:i4>1</vt:i4>
      </vt:variant>
      <vt:variant>
        <vt:lpwstr>Sigla ISPE - 2014</vt:lpwstr>
      </vt:variant>
      <vt:variant>
        <vt:lpwstr/>
      </vt:variant>
      <vt:variant>
        <vt:i4>1900648</vt:i4>
      </vt:variant>
      <vt:variant>
        <vt:i4>-1</vt:i4>
      </vt:variant>
      <vt:variant>
        <vt:i4>2079</vt:i4>
      </vt:variant>
      <vt:variant>
        <vt:i4>1</vt:i4>
      </vt:variant>
      <vt:variant>
        <vt:lpwstr>Sigla ISPE - 2014</vt:lpwstr>
      </vt:variant>
      <vt:variant>
        <vt:lpwstr/>
      </vt:variant>
      <vt:variant>
        <vt:i4>1900648</vt:i4>
      </vt:variant>
      <vt:variant>
        <vt:i4>-1</vt:i4>
      </vt:variant>
      <vt:variant>
        <vt:i4>2084</vt:i4>
      </vt:variant>
      <vt:variant>
        <vt:i4>1</vt:i4>
      </vt:variant>
      <vt:variant>
        <vt:lpwstr>Sigla ISPE - 2014</vt:lpwstr>
      </vt:variant>
      <vt:variant>
        <vt:lpwstr/>
      </vt:variant>
      <vt:variant>
        <vt:i4>1900648</vt:i4>
      </vt:variant>
      <vt:variant>
        <vt:i4>-1</vt:i4>
      </vt:variant>
      <vt:variant>
        <vt:i4>2089</vt:i4>
      </vt:variant>
      <vt:variant>
        <vt:i4>1</vt:i4>
      </vt:variant>
      <vt:variant>
        <vt:lpwstr>Sigla ISPE - 2014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Pagina de semnături</dc:title>
  <dc:creator>ispe-20488_MM</dc:creator>
  <cp:lastModifiedBy>Claudia Gosman</cp:lastModifiedBy>
  <cp:revision>3</cp:revision>
  <cp:lastPrinted>2015-05-08T06:35:00Z</cp:lastPrinted>
  <dcterms:created xsi:type="dcterms:W3CDTF">2015-05-18T06:21:00Z</dcterms:created>
  <dcterms:modified xsi:type="dcterms:W3CDTF">2015-05-18T06:33:00Z</dcterms:modified>
</cp:coreProperties>
</file>